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dp" ContentType="image/vnd.ms-photo"/>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2A5532">
      <w:pPr>
        <w:jc w:val="center"/>
        <w:rPr>
          <w:rFonts w:hint="eastAsia" w:ascii="Times New Roman" w:hAnsi="Times New Roman" w:cs="Times New Roman" w:eastAsiaTheme="minorEastAsia"/>
          <w:bCs/>
          <w:color w:val="000000" w:themeColor="text1"/>
          <w:w w:val="99"/>
          <w:kern w:val="2"/>
          <w:sz w:val="44"/>
          <w:szCs w:val="44"/>
          <w14:textFill>
            <w14:solidFill>
              <w14:schemeClr w14:val="tx1"/>
            </w14:solidFill>
          </w14:textFill>
        </w:rPr>
      </w:pPr>
    </w:p>
    <w:p w14:paraId="6E24CDC6">
      <w:pPr>
        <w:jc w:val="center"/>
        <w:rPr>
          <w:rFonts w:hint="eastAsia" w:ascii="Times New Roman" w:hAnsi="Times New Roman" w:cs="Times New Roman" w:eastAsiaTheme="minorEastAsia"/>
          <w:bCs/>
          <w:color w:val="000000" w:themeColor="text1"/>
          <w:w w:val="99"/>
          <w:kern w:val="2"/>
          <w:sz w:val="44"/>
          <w:szCs w:val="44"/>
          <w14:textFill>
            <w14:solidFill>
              <w14:schemeClr w14:val="tx1"/>
            </w14:solidFill>
          </w14:textFill>
        </w:rPr>
      </w:pPr>
    </w:p>
    <w:p w14:paraId="1C50E730">
      <w:pPr>
        <w:jc w:val="center"/>
        <w:rPr>
          <w:rFonts w:hint="eastAsia" w:ascii="Times New Roman" w:hAnsi="Times New Roman" w:cs="Times New Roman" w:eastAsiaTheme="minorEastAsia"/>
          <w:bCs/>
          <w:color w:val="000000" w:themeColor="text1"/>
          <w:w w:val="99"/>
          <w:kern w:val="2"/>
          <w:sz w:val="44"/>
          <w:szCs w:val="44"/>
          <w14:textFill>
            <w14:solidFill>
              <w14:schemeClr w14:val="tx1"/>
            </w14:solidFill>
          </w14:textFill>
        </w:rPr>
      </w:pPr>
    </w:p>
    <w:p w14:paraId="78D52CB1">
      <w:pPr>
        <w:jc w:val="center"/>
        <w:rPr>
          <w:rFonts w:hint="eastAsia" w:ascii="Times New Roman" w:hAnsi="Times New Roman" w:cs="Times New Roman" w:eastAsiaTheme="minorEastAsia"/>
          <w:bCs/>
          <w:color w:val="000000" w:themeColor="text1"/>
          <w:w w:val="99"/>
          <w:kern w:val="2"/>
          <w:sz w:val="44"/>
          <w:szCs w:val="44"/>
          <w14:textFill>
            <w14:solidFill>
              <w14:schemeClr w14:val="tx1"/>
            </w14:solidFill>
          </w14:textFill>
        </w:rPr>
      </w:pPr>
    </w:p>
    <w:p w14:paraId="6B56BB9F">
      <w:pPr>
        <w:jc w:val="center"/>
        <w:rPr>
          <w:rFonts w:hint="eastAsia" w:ascii="Times New Roman" w:hAnsi="Times New Roman" w:cs="Times New Roman" w:eastAsiaTheme="minorEastAsia"/>
          <w:color w:val="000000" w:themeColor="text1"/>
          <w:w w:val="99"/>
          <w:kern w:val="2"/>
          <w:sz w:val="44"/>
          <w:szCs w:val="44"/>
          <w:lang w:eastAsia="zh-CN"/>
          <w14:textFill>
            <w14:solidFill>
              <w14:schemeClr w14:val="tx1"/>
            </w14:solidFill>
          </w14:textFill>
        </w:rPr>
      </w:pPr>
      <w:r>
        <w:rPr>
          <w:rFonts w:hint="eastAsia" w:ascii="Times New Roman" w:hAnsi="Times New Roman" w:cs="Times New Roman" w:eastAsiaTheme="minorEastAsia"/>
          <w:color w:val="000000" w:themeColor="text1"/>
          <w:w w:val="99"/>
          <w:kern w:val="2"/>
          <w:sz w:val="44"/>
          <w:szCs w:val="44"/>
          <w:lang w:eastAsia="zh-CN"/>
          <w14:textFill>
            <w14:solidFill>
              <w14:schemeClr w14:val="tx1"/>
            </w14:solidFill>
          </w14:textFill>
        </w:rPr>
        <w:t>第五采油厂杏南二转油站及站外系统改造</w:t>
      </w:r>
    </w:p>
    <w:p w14:paraId="15AC90D0">
      <w:pPr>
        <w:jc w:val="center"/>
        <w:rPr>
          <w:rFonts w:ascii="Times New Roman" w:hAnsi="Times New Roman" w:cs="Times New Roman" w:eastAsiaTheme="minorEastAsia"/>
          <w:color w:val="000000" w:themeColor="text1"/>
          <w:w w:val="99"/>
          <w:kern w:val="2"/>
          <w:sz w:val="44"/>
          <w:szCs w:val="44"/>
          <w14:textFill>
            <w14:solidFill>
              <w14:schemeClr w14:val="tx1"/>
            </w14:solidFill>
          </w14:textFill>
        </w:rPr>
      </w:pPr>
      <w:r>
        <w:rPr>
          <w:rFonts w:hint="eastAsia" w:ascii="Times New Roman" w:hAnsi="Times New Roman" w:cs="Times New Roman" w:eastAsiaTheme="minorEastAsia"/>
          <w:color w:val="000000" w:themeColor="text1"/>
          <w:w w:val="99"/>
          <w:kern w:val="2"/>
          <w:sz w:val="44"/>
          <w:szCs w:val="44"/>
          <w:lang w:eastAsia="zh-CN"/>
          <w14:textFill>
            <w14:solidFill>
              <w14:schemeClr w14:val="tx1"/>
            </w14:solidFill>
          </w14:textFill>
        </w:rPr>
        <w:t>工程项目</w:t>
      </w:r>
    </w:p>
    <w:p w14:paraId="66E29EE9">
      <w:pPr>
        <w:jc w:val="center"/>
        <w:rPr>
          <w:rFonts w:ascii="Times New Roman" w:hAnsi="Times New Roman" w:cs="Times New Roman" w:eastAsiaTheme="minorEastAsia"/>
          <w:color w:val="000000" w:themeColor="text1"/>
          <w:w w:val="99"/>
          <w:kern w:val="2"/>
          <w:sz w:val="72"/>
          <w:szCs w:val="72"/>
          <w14:textFill>
            <w14:solidFill>
              <w14:schemeClr w14:val="tx1"/>
            </w14:solidFill>
          </w14:textFill>
        </w:rPr>
      </w:pPr>
      <w:r>
        <w:rPr>
          <w:rFonts w:ascii="Times New Roman" w:hAnsi="Times New Roman" w:cs="Times New Roman" w:eastAsiaTheme="minorEastAsia"/>
          <w:color w:val="000000" w:themeColor="text1"/>
          <w:w w:val="99"/>
          <w:kern w:val="2"/>
          <w:sz w:val="72"/>
          <w:szCs w:val="72"/>
          <w14:textFill>
            <w14:solidFill>
              <w14:schemeClr w14:val="tx1"/>
            </w14:solidFill>
          </w14:textFill>
        </w:rPr>
        <w:t>环境影响报告书</w:t>
      </w:r>
    </w:p>
    <w:p w14:paraId="009AA639">
      <w:pPr>
        <w:ind w:firstLine="560"/>
        <w:rPr>
          <w:rFonts w:ascii="Times New Roman" w:hAnsi="Times New Roman" w:cs="Times New Roman" w:eastAsiaTheme="minorEastAsia"/>
          <w:snapToGrid w:val="0"/>
          <w:color w:val="000000" w:themeColor="text1"/>
          <w:w w:val="99"/>
          <w:sz w:val="28"/>
          <w14:textFill>
            <w14:solidFill>
              <w14:schemeClr w14:val="tx1"/>
            </w14:solidFill>
          </w14:textFill>
        </w:rPr>
      </w:pPr>
      <w:r>
        <w:rPr>
          <w:rFonts w:ascii="Times New Roman" w:hAnsi="Times New Roman" w:cs="Times New Roman" w:eastAsiaTheme="minorEastAsia"/>
          <w:snapToGrid w:val="0"/>
          <w:color w:val="000000" w:themeColor="text1"/>
          <w:w w:val="99"/>
          <w:sz w:val="28"/>
          <w14:textFill>
            <w14:solidFill>
              <w14:schemeClr w14:val="tx1"/>
            </w14:solidFill>
          </w14:textFill>
        </w:rPr>
        <w:t xml:space="preserve">  </w:t>
      </w:r>
    </w:p>
    <w:p w14:paraId="7532EBBA">
      <w:pPr>
        <w:ind w:firstLine="560"/>
        <w:rPr>
          <w:rFonts w:ascii="Times New Roman" w:hAnsi="Times New Roman" w:cs="Times New Roman" w:eastAsiaTheme="minorEastAsia"/>
          <w:snapToGrid w:val="0"/>
          <w:color w:val="000000" w:themeColor="text1"/>
          <w:w w:val="99"/>
          <w:sz w:val="28"/>
          <w14:textFill>
            <w14:solidFill>
              <w14:schemeClr w14:val="tx1"/>
            </w14:solidFill>
          </w14:textFill>
        </w:rPr>
      </w:pPr>
    </w:p>
    <w:p w14:paraId="5F016ADF">
      <w:pPr>
        <w:ind w:firstLine="560"/>
        <w:rPr>
          <w:rFonts w:ascii="Times New Roman" w:hAnsi="Times New Roman" w:cs="Times New Roman" w:eastAsiaTheme="minorEastAsia"/>
          <w:snapToGrid w:val="0"/>
          <w:color w:val="000000" w:themeColor="text1"/>
          <w:w w:val="99"/>
          <w:sz w:val="28"/>
          <w14:textFill>
            <w14:solidFill>
              <w14:schemeClr w14:val="tx1"/>
            </w14:solidFill>
          </w14:textFill>
        </w:rPr>
      </w:pPr>
    </w:p>
    <w:p w14:paraId="2F301DAF">
      <w:pPr>
        <w:pStyle w:val="104"/>
        <w:rPr>
          <w:rFonts w:ascii="Times New Roman" w:hAnsi="Times New Roman" w:cs="Times New Roman" w:eastAsiaTheme="minorEastAsia"/>
          <w:color w:val="000000" w:themeColor="text1"/>
          <w:w w:val="99"/>
          <w14:textFill>
            <w14:solidFill>
              <w14:schemeClr w14:val="tx1"/>
            </w14:solidFill>
          </w14:textFill>
        </w:rPr>
      </w:pPr>
    </w:p>
    <w:p w14:paraId="03236E4A">
      <w:pPr>
        <w:pStyle w:val="104"/>
        <w:rPr>
          <w:rFonts w:ascii="Times New Roman" w:hAnsi="Times New Roman" w:cs="Times New Roman" w:eastAsiaTheme="minorEastAsia"/>
          <w:color w:val="000000" w:themeColor="text1"/>
          <w:w w:val="99"/>
          <w14:textFill>
            <w14:solidFill>
              <w14:schemeClr w14:val="tx1"/>
            </w14:solidFill>
          </w14:textFill>
        </w:rPr>
      </w:pPr>
    </w:p>
    <w:p w14:paraId="04883A31">
      <w:pPr>
        <w:pStyle w:val="104"/>
        <w:rPr>
          <w:rFonts w:ascii="Times New Roman" w:hAnsi="Times New Roman" w:cs="Times New Roman" w:eastAsiaTheme="minorEastAsia"/>
          <w:color w:val="000000" w:themeColor="text1"/>
          <w:w w:val="99"/>
          <w14:textFill>
            <w14:solidFill>
              <w14:schemeClr w14:val="tx1"/>
            </w14:solidFill>
          </w14:textFill>
        </w:rPr>
      </w:pPr>
    </w:p>
    <w:p w14:paraId="0D8180B2">
      <w:pPr>
        <w:rPr>
          <w:rFonts w:ascii="Times New Roman" w:hAnsi="Times New Roman" w:cs="Times New Roman" w:eastAsiaTheme="minorEastAsia"/>
          <w:color w:val="000000" w:themeColor="text1"/>
          <w:w w:val="99"/>
          <w14:textFill>
            <w14:solidFill>
              <w14:schemeClr w14:val="tx1"/>
            </w14:solidFill>
          </w14:textFill>
        </w:rPr>
      </w:pPr>
    </w:p>
    <w:p w14:paraId="694DD411">
      <w:pPr>
        <w:pStyle w:val="101"/>
        <w:spacing w:before="120" w:after="48"/>
        <w:rPr>
          <w:rFonts w:eastAsiaTheme="minorEastAsia"/>
          <w:color w:val="000000" w:themeColor="text1"/>
          <w:w w:val="99"/>
          <w14:textFill>
            <w14:solidFill>
              <w14:schemeClr w14:val="tx1"/>
            </w14:solidFill>
          </w14:textFill>
        </w:rPr>
      </w:pPr>
    </w:p>
    <w:p w14:paraId="1998FD27">
      <w:pPr>
        <w:rPr>
          <w:rFonts w:ascii="Times New Roman" w:hAnsi="Times New Roman" w:cs="Times New Roman" w:eastAsiaTheme="minorEastAsia"/>
          <w:color w:val="000000" w:themeColor="text1"/>
          <w:w w:val="99"/>
          <w14:textFill>
            <w14:solidFill>
              <w14:schemeClr w14:val="tx1"/>
            </w14:solidFill>
          </w14:textFill>
        </w:rPr>
      </w:pPr>
    </w:p>
    <w:p w14:paraId="17EE1A78">
      <w:pPr>
        <w:pStyle w:val="101"/>
        <w:spacing w:before="120" w:after="48"/>
        <w:rPr>
          <w:rFonts w:eastAsiaTheme="minorEastAsia"/>
          <w:color w:val="000000" w:themeColor="text1"/>
          <w:w w:val="99"/>
          <w14:textFill>
            <w14:solidFill>
              <w14:schemeClr w14:val="tx1"/>
            </w14:solidFill>
          </w14:textFill>
        </w:rPr>
      </w:pPr>
    </w:p>
    <w:p w14:paraId="7C48BDAC">
      <w:pPr>
        <w:rPr>
          <w:rFonts w:eastAsiaTheme="minorEastAsia"/>
          <w:color w:val="000000" w:themeColor="text1"/>
          <w:w w:val="99"/>
          <w14:textFill>
            <w14:solidFill>
              <w14:schemeClr w14:val="tx1"/>
            </w14:solidFill>
          </w14:textFill>
        </w:rPr>
      </w:pPr>
    </w:p>
    <w:p w14:paraId="14C2D69B">
      <w:pPr>
        <w:rPr>
          <w:rFonts w:eastAsiaTheme="minorEastAsia"/>
          <w:color w:val="000000" w:themeColor="text1"/>
          <w:w w:val="99"/>
          <w14:textFill>
            <w14:solidFill>
              <w14:schemeClr w14:val="tx1"/>
            </w14:solidFill>
          </w14:textFill>
        </w:rPr>
      </w:pPr>
    </w:p>
    <w:p w14:paraId="4109D684">
      <w:pPr>
        <w:rPr>
          <w:rFonts w:eastAsiaTheme="minorEastAsia"/>
          <w:color w:val="000000" w:themeColor="text1"/>
          <w:w w:val="99"/>
          <w14:textFill>
            <w14:solidFill>
              <w14:schemeClr w14:val="tx1"/>
            </w14:solidFill>
          </w14:textFill>
        </w:rPr>
      </w:pPr>
    </w:p>
    <w:p w14:paraId="5D4331D0">
      <w:pPr>
        <w:rPr>
          <w:rFonts w:eastAsiaTheme="minorEastAsia"/>
          <w:color w:val="000000" w:themeColor="text1"/>
          <w:w w:val="99"/>
          <w14:textFill>
            <w14:solidFill>
              <w14:schemeClr w14:val="tx1"/>
            </w14:solidFill>
          </w14:textFill>
        </w:rPr>
      </w:pPr>
    </w:p>
    <w:p w14:paraId="7C7A505E">
      <w:pPr>
        <w:rPr>
          <w:rFonts w:eastAsiaTheme="minorEastAsia"/>
          <w:color w:val="000000" w:themeColor="text1"/>
          <w:w w:val="99"/>
          <w14:textFill>
            <w14:solidFill>
              <w14:schemeClr w14:val="tx1"/>
            </w14:solidFill>
          </w14:textFill>
        </w:rPr>
      </w:pPr>
    </w:p>
    <w:p w14:paraId="4E890CDD">
      <w:pPr>
        <w:rPr>
          <w:rFonts w:eastAsiaTheme="minorEastAsia"/>
          <w:color w:val="000000" w:themeColor="text1"/>
          <w:w w:val="99"/>
          <w14:textFill>
            <w14:solidFill>
              <w14:schemeClr w14:val="tx1"/>
            </w14:solidFill>
          </w14:textFill>
        </w:rPr>
      </w:pPr>
    </w:p>
    <w:p w14:paraId="0892EFE2">
      <w:pPr>
        <w:rPr>
          <w:rFonts w:eastAsiaTheme="minorEastAsia"/>
          <w:color w:val="000000" w:themeColor="text1"/>
          <w:w w:val="99"/>
          <w14:textFill>
            <w14:solidFill>
              <w14:schemeClr w14:val="tx1"/>
            </w14:solidFill>
          </w14:textFill>
        </w:rPr>
      </w:pPr>
    </w:p>
    <w:p w14:paraId="1B7C3795">
      <w:pPr>
        <w:rPr>
          <w:rFonts w:eastAsiaTheme="minorEastAsia"/>
          <w:color w:val="000000" w:themeColor="text1"/>
          <w:w w:val="99"/>
          <w14:textFill>
            <w14:solidFill>
              <w14:schemeClr w14:val="tx1"/>
            </w14:solidFill>
          </w14:textFill>
        </w:rPr>
      </w:pPr>
    </w:p>
    <w:p w14:paraId="1E2D5DD3">
      <w:pPr>
        <w:rPr>
          <w:rFonts w:eastAsiaTheme="minorEastAsia"/>
          <w:color w:val="000000" w:themeColor="text1"/>
          <w:w w:val="99"/>
          <w14:textFill>
            <w14:solidFill>
              <w14:schemeClr w14:val="tx1"/>
            </w14:solidFill>
          </w14:textFill>
        </w:rPr>
      </w:pPr>
    </w:p>
    <w:p w14:paraId="23C6716C">
      <w:pPr>
        <w:rPr>
          <w:rFonts w:eastAsiaTheme="minorEastAsia"/>
          <w:color w:val="000000" w:themeColor="text1"/>
          <w:w w:val="99"/>
          <w14:textFill>
            <w14:solidFill>
              <w14:schemeClr w14:val="tx1"/>
            </w14:solidFill>
          </w14:textFill>
        </w:rPr>
      </w:pPr>
    </w:p>
    <w:p w14:paraId="272E5324">
      <w:pPr>
        <w:rPr>
          <w:rFonts w:eastAsiaTheme="minorEastAsia"/>
          <w:color w:val="000000" w:themeColor="text1"/>
          <w:w w:val="99"/>
          <w14:textFill>
            <w14:solidFill>
              <w14:schemeClr w14:val="tx1"/>
            </w14:solidFill>
          </w14:textFill>
        </w:rPr>
      </w:pPr>
    </w:p>
    <w:p w14:paraId="04A7B8FD">
      <w:pPr>
        <w:rPr>
          <w:rFonts w:eastAsiaTheme="minorEastAsia"/>
          <w:color w:val="000000" w:themeColor="text1"/>
          <w:w w:val="99"/>
          <w14:textFill>
            <w14:solidFill>
              <w14:schemeClr w14:val="tx1"/>
            </w14:solidFill>
          </w14:textFill>
        </w:rPr>
      </w:pPr>
    </w:p>
    <w:p w14:paraId="2A758089">
      <w:pPr>
        <w:rPr>
          <w:rFonts w:ascii="Times New Roman" w:hAnsi="Times New Roman" w:cs="Times New Roman" w:eastAsiaTheme="minorEastAsia"/>
          <w:color w:val="000000" w:themeColor="text1"/>
          <w:w w:val="99"/>
          <w14:textFill>
            <w14:solidFill>
              <w14:schemeClr w14:val="tx1"/>
            </w14:solidFill>
          </w14:textFill>
        </w:rPr>
      </w:pPr>
    </w:p>
    <w:p w14:paraId="2AA8BD3C">
      <w:pPr>
        <w:pStyle w:val="101"/>
        <w:spacing w:before="120" w:after="48"/>
        <w:rPr>
          <w:rFonts w:eastAsiaTheme="minorEastAsia"/>
          <w:color w:val="000000" w:themeColor="text1"/>
          <w:w w:val="99"/>
          <w14:textFill>
            <w14:solidFill>
              <w14:schemeClr w14:val="tx1"/>
            </w14:solidFill>
          </w14:textFill>
        </w:rPr>
      </w:pPr>
    </w:p>
    <w:p w14:paraId="110C4757">
      <w:pPr>
        <w:pStyle w:val="104"/>
        <w:rPr>
          <w:rFonts w:ascii="Times New Roman" w:hAnsi="Times New Roman" w:cs="Times New Roman" w:eastAsiaTheme="minorEastAsia"/>
          <w:color w:val="000000" w:themeColor="text1"/>
          <w:w w:val="99"/>
          <w14:textFill>
            <w14:solidFill>
              <w14:schemeClr w14:val="tx1"/>
            </w14:solidFill>
          </w14:textFill>
        </w:rPr>
      </w:pPr>
    </w:p>
    <w:p w14:paraId="4AD333CF">
      <w:pPr>
        <w:spacing w:line="360" w:lineRule="auto"/>
        <w:jc w:val="center"/>
        <w:rPr>
          <w:rFonts w:hint="eastAsia" w:ascii="Times New Roman" w:hAnsi="Times New Roman" w:cs="Times New Roman" w:eastAsiaTheme="minorEastAsia"/>
          <w:color w:val="000000" w:themeColor="text1"/>
          <w:w w:val="99"/>
          <w:kern w:val="2"/>
          <w:sz w:val="30"/>
          <w:szCs w:val="30"/>
          <w:lang w:eastAsia="zh-CN"/>
          <w14:textFill>
            <w14:solidFill>
              <w14:schemeClr w14:val="tx1"/>
            </w14:solidFill>
          </w14:textFill>
        </w:rPr>
      </w:pPr>
      <w:r>
        <w:rPr>
          <w:rFonts w:ascii="Times New Roman" w:hAnsi="Times New Roman" w:cs="Times New Roman" w:eastAsiaTheme="minorEastAsia"/>
          <w:color w:val="000000" w:themeColor="text1"/>
          <w:w w:val="99"/>
          <w:kern w:val="2"/>
          <w:sz w:val="30"/>
          <w:szCs w:val="30"/>
          <w14:textFill>
            <w14:solidFill>
              <w14:schemeClr w14:val="tx1"/>
            </w14:solidFill>
          </w14:textFill>
        </w:rPr>
        <w:t>建设单位：大庆油田有限责任公司</w:t>
      </w:r>
      <w:r>
        <w:rPr>
          <w:rFonts w:hint="eastAsia" w:ascii="Times New Roman" w:hAnsi="Times New Roman" w:cs="Times New Roman" w:eastAsiaTheme="minorEastAsia"/>
          <w:color w:val="000000" w:themeColor="text1"/>
          <w:w w:val="99"/>
          <w:kern w:val="2"/>
          <w:sz w:val="30"/>
          <w:szCs w:val="30"/>
          <w:lang w:eastAsia="zh-CN"/>
          <w14:textFill>
            <w14:solidFill>
              <w14:schemeClr w14:val="tx1"/>
            </w14:solidFill>
          </w14:textFill>
        </w:rPr>
        <w:t>第</w:t>
      </w:r>
      <w:r>
        <w:rPr>
          <w:rFonts w:hint="eastAsia" w:ascii="Times New Roman" w:hAnsi="Times New Roman" w:cs="Times New Roman" w:eastAsiaTheme="minorEastAsia"/>
          <w:color w:val="000000" w:themeColor="text1"/>
          <w:w w:val="99"/>
          <w:kern w:val="2"/>
          <w:sz w:val="30"/>
          <w:szCs w:val="30"/>
          <w:lang w:val="en-US" w:eastAsia="zh-CN"/>
          <w14:textFill>
            <w14:solidFill>
              <w14:schemeClr w14:val="tx1"/>
            </w14:solidFill>
          </w14:textFill>
        </w:rPr>
        <w:t>五</w:t>
      </w:r>
      <w:r>
        <w:rPr>
          <w:rFonts w:hint="eastAsia" w:ascii="Times New Roman" w:hAnsi="Times New Roman" w:cs="Times New Roman" w:eastAsiaTheme="minorEastAsia"/>
          <w:color w:val="000000" w:themeColor="text1"/>
          <w:w w:val="99"/>
          <w:kern w:val="2"/>
          <w:sz w:val="30"/>
          <w:szCs w:val="30"/>
          <w:lang w:eastAsia="zh-CN"/>
          <w14:textFill>
            <w14:solidFill>
              <w14:schemeClr w14:val="tx1"/>
            </w14:solidFill>
          </w14:textFill>
        </w:rPr>
        <w:t>采油厂</w:t>
      </w:r>
    </w:p>
    <w:p w14:paraId="66C3BB9E">
      <w:pPr>
        <w:spacing w:line="360" w:lineRule="auto"/>
        <w:ind w:firstLine="1544" w:firstLineChars="520"/>
        <w:rPr>
          <w:rFonts w:hint="eastAsia" w:ascii="Times New Roman" w:hAnsi="Times New Roman" w:cs="Times New Roman" w:eastAsiaTheme="minorEastAsia"/>
          <w:color w:val="000000" w:themeColor="text1"/>
          <w:w w:val="99"/>
          <w:kern w:val="2"/>
          <w:sz w:val="30"/>
          <w:szCs w:val="30"/>
          <w:lang w:eastAsia="zh-CN"/>
          <w14:textFill>
            <w14:solidFill>
              <w14:schemeClr w14:val="tx1"/>
            </w14:solidFill>
          </w14:textFill>
        </w:rPr>
      </w:pPr>
      <w:r>
        <w:rPr>
          <w:rFonts w:ascii="Times New Roman" w:hAnsi="Times New Roman" w:cs="Times New Roman" w:eastAsiaTheme="minorEastAsia"/>
          <w:color w:val="000000" w:themeColor="text1"/>
          <w:w w:val="99"/>
          <w:kern w:val="2"/>
          <w:sz w:val="30"/>
          <w:szCs w:val="30"/>
          <w14:textFill>
            <w14:solidFill>
              <w14:schemeClr w14:val="tx1"/>
            </w14:solidFill>
          </w14:textFill>
        </w:rPr>
        <w:t>编制单位：</w:t>
      </w:r>
      <w:bookmarkStart w:id="621" w:name="_GoBack"/>
      <w:bookmarkEnd w:id="621"/>
      <w:r>
        <w:rPr>
          <w:rFonts w:hint="eastAsia" w:ascii="Times New Roman" w:hAnsi="Times New Roman" w:cs="Times New Roman" w:eastAsiaTheme="minorEastAsia"/>
          <w:color w:val="000000" w:themeColor="text1"/>
          <w:w w:val="99"/>
          <w:kern w:val="2"/>
          <w:sz w:val="30"/>
          <w:szCs w:val="30"/>
          <w:lang w:eastAsia="zh-CN"/>
          <w14:textFill>
            <w14:solidFill>
              <w14:schemeClr w14:val="tx1"/>
            </w14:solidFill>
          </w14:textFill>
        </w:rPr>
        <w:t>湖南葆华环保有限公司</w:t>
      </w:r>
    </w:p>
    <w:p w14:paraId="2A66B2C2">
      <w:pPr>
        <w:tabs>
          <w:tab w:val="left" w:pos="796"/>
        </w:tabs>
        <w:jc w:val="center"/>
        <w:rPr>
          <w:rFonts w:ascii="Times New Roman" w:hAnsi="Times New Roman" w:cs="Times New Roman" w:eastAsiaTheme="minorEastAsia"/>
          <w:b/>
          <w:color w:val="000000" w:themeColor="text1"/>
          <w:w w:val="99"/>
          <w:kern w:val="2"/>
          <w:sz w:val="44"/>
          <w:szCs w:val="44"/>
          <w14:textFill>
            <w14:solidFill>
              <w14:schemeClr w14:val="tx1"/>
            </w14:solidFill>
          </w14:textFill>
        </w:rPr>
      </w:pPr>
      <w:r>
        <w:rPr>
          <w:rFonts w:ascii="Times New Roman" w:hAnsi="Times New Roman" w:cs="Times New Roman" w:eastAsiaTheme="minorEastAsia"/>
          <w:color w:val="000000" w:themeColor="text1"/>
          <w:w w:val="99"/>
          <w:kern w:val="2"/>
          <w:sz w:val="30"/>
          <w:szCs w:val="30"/>
          <w14:textFill>
            <w14:solidFill>
              <w14:schemeClr w14:val="tx1"/>
            </w14:solidFill>
          </w14:textFill>
        </w:rPr>
        <w:t>编制日期：2023年</w:t>
      </w:r>
      <w:r>
        <w:rPr>
          <w:rFonts w:hint="eastAsia" w:ascii="Times New Roman" w:hAnsi="Times New Roman" w:cs="Times New Roman" w:eastAsiaTheme="minorEastAsia"/>
          <w:color w:val="000000" w:themeColor="text1"/>
          <w:w w:val="99"/>
          <w:kern w:val="2"/>
          <w:sz w:val="30"/>
          <w:szCs w:val="30"/>
          <w:lang w:val="en-US" w:eastAsia="zh-CN"/>
          <w14:textFill>
            <w14:solidFill>
              <w14:schemeClr w14:val="tx1"/>
            </w14:solidFill>
          </w14:textFill>
        </w:rPr>
        <w:t>10</w:t>
      </w:r>
      <w:r>
        <w:rPr>
          <w:rFonts w:ascii="Times New Roman" w:hAnsi="Times New Roman" w:cs="Times New Roman" w:eastAsiaTheme="minorEastAsia"/>
          <w:color w:val="000000" w:themeColor="text1"/>
          <w:w w:val="99"/>
          <w:kern w:val="2"/>
          <w:sz w:val="30"/>
          <w:szCs w:val="30"/>
          <w14:textFill>
            <w14:solidFill>
              <w14:schemeClr w14:val="tx1"/>
            </w14:solidFill>
          </w14:textFill>
        </w:rPr>
        <w:t>月</w:t>
      </w:r>
    </w:p>
    <w:p w14:paraId="12760144">
      <w:pPr>
        <w:tabs>
          <w:tab w:val="left" w:pos="796"/>
        </w:tabs>
        <w:jc w:val="center"/>
        <w:rPr>
          <w:rFonts w:ascii="Times New Roman" w:hAnsi="Times New Roman" w:cs="Times New Roman" w:eastAsiaTheme="minorEastAsia"/>
          <w:b/>
          <w:color w:val="000000" w:themeColor="text1"/>
          <w:w w:val="99"/>
          <w:kern w:val="2"/>
          <w:sz w:val="44"/>
          <w:szCs w:val="44"/>
          <w14:textFill>
            <w14:solidFill>
              <w14:schemeClr w14:val="tx1"/>
            </w14:solidFill>
          </w14:textFill>
        </w:rPr>
      </w:pPr>
    </w:p>
    <w:p w14:paraId="541B441A">
      <w:pPr>
        <w:tabs>
          <w:tab w:val="left" w:pos="796"/>
        </w:tabs>
        <w:jc w:val="center"/>
        <w:rPr>
          <w:rFonts w:ascii="Times New Roman" w:hAnsi="Times New Roman" w:cs="Times New Roman" w:eastAsiaTheme="minorEastAsia"/>
          <w:b/>
          <w:color w:val="000000" w:themeColor="text1"/>
          <w:w w:val="99"/>
          <w:kern w:val="2"/>
          <w:sz w:val="44"/>
          <w:szCs w:val="44"/>
          <w14:textFill>
            <w14:solidFill>
              <w14:schemeClr w14:val="tx1"/>
            </w14:solidFill>
          </w14:textFill>
        </w:rPr>
      </w:pPr>
    </w:p>
    <w:p w14:paraId="7ADF08D6">
      <w:pPr>
        <w:pStyle w:val="101"/>
        <w:spacing w:before="120" w:after="48"/>
        <w:rPr>
          <w:color w:val="000000" w:themeColor="text1"/>
          <w:lang w:val="zh-CN" w:bidi="zh-CN"/>
          <w14:textFill>
            <w14:solidFill>
              <w14:schemeClr w14:val="tx1"/>
            </w14:solidFill>
          </w14:textFill>
        </w:rPr>
      </w:pPr>
    </w:p>
    <w:p w14:paraId="7CB4BA04">
      <w:pPr>
        <w:tabs>
          <w:tab w:val="left" w:pos="796"/>
        </w:tabs>
        <w:jc w:val="both"/>
        <w:rPr>
          <w:rFonts w:ascii="Times New Roman" w:hAnsi="Times New Roman" w:cs="Times New Roman" w:eastAsiaTheme="minorEastAsia"/>
          <w:b/>
          <w:color w:val="000000" w:themeColor="text1"/>
          <w:w w:val="99"/>
          <w:sz w:val="36"/>
          <w:szCs w:val="36"/>
          <w14:textFill>
            <w14:solidFill>
              <w14:schemeClr w14:val="tx1"/>
            </w14:solidFill>
          </w14:textFill>
        </w:rPr>
      </w:pPr>
      <w:r>
        <w:rPr>
          <w:rFonts w:ascii="Times New Roman" w:hAnsi="Times New Roman" w:cs="Times New Roman" w:eastAsiaTheme="minorEastAsia"/>
          <w:b/>
          <w:color w:val="000000" w:themeColor="text1"/>
          <w:w w:val="99"/>
          <w:sz w:val="36"/>
          <w:szCs w:val="36"/>
          <w:lang w:val="en-US"/>
          <w14:textFill>
            <w14:solidFill>
              <w14:schemeClr w14:val="tx1"/>
            </w14:solidFill>
          </w14:textFill>
        </w:rPr>
        <w:t xml:space="preserve">       </w:t>
      </w:r>
    </w:p>
    <w:sdt>
      <w:sdtPr>
        <w:rPr>
          <w:rFonts w:ascii="宋体" w:hAnsi="宋体" w:eastAsia="宋体" w:cs="宋体"/>
          <w:color w:val="000000" w:themeColor="text1"/>
          <w:sz w:val="22"/>
          <w:szCs w:val="22"/>
          <w:lang w:val="zh-CN" w:bidi="zh-CN"/>
          <w14:textFill>
            <w14:solidFill>
              <w14:schemeClr w14:val="tx1"/>
            </w14:solidFill>
          </w14:textFill>
        </w:rPr>
        <w:id w:val="1804113678"/>
        <w:docPartObj>
          <w:docPartGallery w:val="Table of Contents"/>
          <w:docPartUnique/>
        </w:docPartObj>
      </w:sdtPr>
      <w:sdtEndPr>
        <w:rPr>
          <w:rFonts w:ascii="Times New Roman" w:hAnsi="Times New Roman" w:cs="Times New Roman" w:eastAsiaTheme="minorEastAsia"/>
          <w:bCs/>
          <w:color w:val="000000" w:themeColor="text1"/>
          <w:sz w:val="24"/>
          <w:szCs w:val="24"/>
          <w:lang w:val="zh-CN" w:bidi="zh-CN"/>
          <w14:textFill>
            <w14:solidFill>
              <w14:schemeClr w14:val="tx1"/>
            </w14:solidFill>
          </w14:textFill>
        </w:rPr>
      </w:sdtEndPr>
      <w:sdtContent>
        <w:p w14:paraId="2E48A914">
          <w:pPr>
            <w:pStyle w:val="2746"/>
            <w:jc w:val="center"/>
            <w:rPr>
              <w:color w:val="000000" w:themeColor="text1"/>
              <w14:textFill>
                <w14:solidFill>
                  <w14:schemeClr w14:val="tx1"/>
                </w14:solidFill>
              </w14:textFill>
            </w:rPr>
          </w:pPr>
          <w:r>
            <w:rPr>
              <w:color w:val="000000" w:themeColor="text1"/>
              <w:lang w:val="zh-CN"/>
              <w14:textFill>
                <w14:solidFill>
                  <w14:schemeClr w14:val="tx1"/>
                </w14:solidFill>
              </w14:textFill>
            </w:rPr>
            <w:t>目录</w:t>
          </w:r>
        </w:p>
        <w:p w14:paraId="7D60643A">
          <w:pPr>
            <w:pStyle w:val="54"/>
            <w:tabs>
              <w:tab w:val="right" w:leader="dot" w:pos="9064"/>
            </w:tabs>
            <w:spacing w:before="0" w:line="360" w:lineRule="exact"/>
            <w:ind w:left="0" w:firstLine="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TOC \o "1-3" \h \z \u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fldChar w:fldCharType="begin"/>
          </w:r>
          <w:r>
            <w:instrText xml:space="preserve"> HYPERLINK \l "_Toc117794500" </w:instrText>
          </w:r>
          <w:r>
            <w:fldChar w:fldCharType="separate"/>
          </w:r>
          <w:r>
            <w:rPr>
              <w:rStyle w:val="94"/>
              <w:rFonts w:ascii="Times New Roman" w:hAnsi="Times New Roman" w:cs="Times New Roman" w:eastAsiaTheme="minorEastAsia"/>
              <w:b w:val="0"/>
              <w:color w:val="000000" w:themeColor="text1"/>
              <w:w w:val="99"/>
              <w:lang w:val="en-US"/>
              <w14:textFill>
                <w14:solidFill>
                  <w14:schemeClr w14:val="tx1"/>
                </w14:solidFill>
              </w14:textFill>
            </w:rPr>
            <w:t>1.</w:t>
          </w:r>
          <w:r>
            <w:rPr>
              <w:rStyle w:val="94"/>
              <w:rFonts w:ascii="Times New Roman" w:hAnsi="Times New Roman" w:cs="Times New Roman" w:eastAsiaTheme="minorEastAsia"/>
              <w:b w:val="0"/>
              <w:color w:val="000000" w:themeColor="text1"/>
              <w:w w:val="99"/>
              <w14:textFill>
                <w14:solidFill>
                  <w14:schemeClr w14:val="tx1"/>
                </w14:solidFill>
              </w14:textFill>
            </w:rPr>
            <w:t>概述</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_Toc117794500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75F1FB14">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"_Toc117794501" </w:instrText>
          </w:r>
          <w:r>
            <w:fldChar w:fldCharType="separate"/>
          </w:r>
          <w:r>
            <w:rPr>
              <w:rStyle w:val="94"/>
              <w:rFonts w:ascii="Times New Roman" w:hAnsi="Times New Roman" w:cs="Times New Roman" w:eastAsiaTheme="minorEastAsia"/>
              <w:b w:val="0"/>
              <w:color w:val="000000" w:themeColor="text1"/>
              <w:w w:val="99"/>
              <w:lang w:val="en-US"/>
              <w14:textFill>
                <w14:solidFill>
                  <w14:schemeClr w14:val="tx1"/>
                </w14:solidFill>
              </w14:textFill>
            </w:rPr>
            <w:t>1.1 建设项目由来</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_Toc117794501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5F3A31C3">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"_Toc117794502" </w:instrText>
          </w:r>
          <w:r>
            <w:fldChar w:fldCharType="separate"/>
          </w:r>
          <w:r>
            <w:rPr>
              <w:rStyle w:val="94"/>
              <w:rFonts w:ascii="Times New Roman" w:hAnsi="Times New Roman" w:cs="Times New Roman" w:eastAsiaTheme="minorEastAsia"/>
              <w:b w:val="0"/>
              <w:color w:val="000000" w:themeColor="text1"/>
              <w:w w:val="99"/>
              <w:lang w:val="en-US"/>
              <w14:textFill>
                <w14:solidFill>
                  <w14:schemeClr w14:val="tx1"/>
                </w14:solidFill>
              </w14:textFill>
            </w:rPr>
            <w:t>1.2 建设项目的特点</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_Toc117794502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2</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12EA16C2">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"_Toc117794505" </w:instrText>
          </w:r>
          <w:r>
            <w:fldChar w:fldCharType="separate"/>
          </w:r>
          <w:r>
            <w:rPr>
              <w:rStyle w:val="94"/>
              <w:rFonts w:ascii="Times New Roman" w:hAnsi="Times New Roman" w:cs="Times New Roman" w:eastAsiaTheme="minorEastAsia"/>
              <w:b w:val="0"/>
              <w:color w:val="000000" w:themeColor="text1"/>
              <w:w w:val="99"/>
              <w:lang w:val="en-US"/>
              <w14:textFill>
                <w14:solidFill>
                  <w14:schemeClr w14:val="tx1"/>
                </w14:solidFill>
              </w14:textFill>
            </w:rPr>
            <w:t>1.3 环境影响评价的工作过程</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_Toc117794505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2</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3977DB1B">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"_Toc117794506" </w:instrText>
          </w:r>
          <w:r>
            <w:fldChar w:fldCharType="separate"/>
          </w:r>
          <w:r>
            <w:rPr>
              <w:rStyle w:val="94"/>
              <w:rFonts w:ascii="Times New Roman" w:hAnsi="Times New Roman" w:cs="Times New Roman" w:eastAsiaTheme="minorEastAsia"/>
              <w:b w:val="0"/>
              <w:color w:val="000000" w:themeColor="text1"/>
              <w:w w:val="99"/>
              <w:lang w:val="en-US"/>
              <w14:textFill>
                <w14:solidFill>
                  <w14:schemeClr w14:val="tx1"/>
                </w14:solidFill>
              </w14:textFill>
            </w:rPr>
            <w:t>1.4分析判定相关情况</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_Toc117794506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4</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0C6D2FEF">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"_Toc117794511" </w:instrText>
          </w:r>
          <w:r>
            <w:fldChar w:fldCharType="separate"/>
          </w:r>
          <w:r>
            <w:rPr>
              <w:rStyle w:val="94"/>
              <w:rFonts w:ascii="Times New Roman" w:hAnsi="Times New Roman" w:cs="Times New Roman" w:eastAsiaTheme="minorEastAsia"/>
              <w:b w:val="0"/>
              <w:color w:val="000000" w:themeColor="text1"/>
              <w:w w:val="99"/>
              <w:lang w:val="en-US"/>
              <w14:textFill>
                <w14:solidFill>
                  <w14:schemeClr w14:val="tx1"/>
                </w14:solidFill>
              </w14:textFill>
            </w:rPr>
            <w:t>1.5 关注的主要环境问题及环境影响</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_Toc117794511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26</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53D4A490">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"_Toc117794512" </w:instrText>
          </w:r>
          <w:r>
            <w:fldChar w:fldCharType="separate"/>
          </w:r>
          <w:r>
            <w:rPr>
              <w:rStyle w:val="94"/>
              <w:rFonts w:ascii="Times New Roman" w:hAnsi="Times New Roman" w:cs="Times New Roman" w:eastAsiaTheme="minorEastAsia"/>
              <w:b w:val="0"/>
              <w:color w:val="000000" w:themeColor="text1"/>
              <w:w w:val="99"/>
              <w:lang w:val="en-US"/>
              <w14:textFill>
                <w14:solidFill>
                  <w14:schemeClr w14:val="tx1"/>
                </w14:solidFill>
              </w14:textFill>
            </w:rPr>
            <w:t>1.6</w:t>
          </w:r>
          <w:r>
            <w:rPr>
              <w:rStyle w:val="94"/>
              <w:rFonts w:ascii="Times New Roman" w:hAnsi="Times New Roman" w:cs="Times New Roman" w:eastAsiaTheme="minorEastAsia"/>
              <w:b w:val="0"/>
              <w:color w:val="000000" w:themeColor="text1"/>
              <w:w w:val="99"/>
              <w14:textFill>
                <w14:solidFill>
                  <w14:schemeClr w14:val="tx1"/>
                </w14:solidFill>
              </w14:textFill>
            </w:rPr>
            <w:t>环境影响评价的主要结论</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_Toc117794512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28</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1FB9FFC2">
          <w:pPr>
            <w:pStyle w:val="54"/>
            <w:tabs>
              <w:tab w:val="right" w:leader="dot" w:pos="9064"/>
            </w:tabs>
            <w:spacing w:before="0" w:line="360" w:lineRule="exact"/>
            <w:ind w:left="0" w:firstLine="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"_Toc117794513"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2 总则</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_Toc117794513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30</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3D9567FB">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"_Toc117794514"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2.1 编制依据</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_Toc117794514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30</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39AD2FF5">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"_Toc117794520"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2.2 评价目的及原则</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_Toc117794520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33</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7A1C548A">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"_Toc117794523"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2.3 环境影响识别与评价因子筛选</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_Toc117794523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34</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0562729D">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"_Toc117794526"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2.4环境评价标准</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_Toc117794526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35</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407F656B">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"_Toc117794529"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2.5 评价工作等级</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_Toc117794529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40</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16308C8D">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"_Toc117794537"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2.6 评价范围及环境保护目标</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_Toc117794537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48</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4E9DE18A">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"_Toc117794543"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2.7 评价工作内容及重点</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_Toc117794543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51</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19E23EFB">
          <w:pPr>
            <w:pStyle w:val="54"/>
            <w:tabs>
              <w:tab w:val="right" w:leader="dot" w:pos="9064"/>
            </w:tabs>
            <w:spacing w:before="0" w:line="360" w:lineRule="exact"/>
            <w:ind w:left="0" w:firstLine="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"_Toc117794544"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3 建设项目工程分析</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_Toc117794544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52</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1796E07A">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"_Toc117794545"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3.1建设项目概况</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_Toc117794545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52</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78C5C301">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"_Toc117794549"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3.2 现有工程分析</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_Toc117794549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60</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12157453">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"_Toc117794556" </w:instrText>
          </w:r>
          <w:r>
            <w:fldChar w:fldCharType="separate"/>
          </w:r>
          <w:r>
            <w:rPr>
              <w:rStyle w:val="94"/>
              <w:rFonts w:ascii="Times New Roman" w:hAnsi="Times New Roman" w:cs="Times New Roman" w:eastAsiaTheme="minorEastAsia"/>
              <w:b w:val="0"/>
              <w:color w:val="000000" w:themeColor="text1"/>
              <w:w w:val="99"/>
              <w:lang w:val="en-US"/>
              <w14:textFill>
                <w14:solidFill>
                  <w14:schemeClr w14:val="tx1"/>
                </w14:solidFill>
              </w14:textFill>
            </w:rPr>
            <w:t>3.3 依托工程分析</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_Toc117794556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67</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1935DDFD">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"_Toc117794559" </w:instrText>
          </w:r>
          <w:r>
            <w:fldChar w:fldCharType="separate"/>
          </w:r>
          <w:r>
            <w:rPr>
              <w:rStyle w:val="94"/>
              <w:rFonts w:ascii="Times New Roman" w:hAnsi="Times New Roman" w:cs="Times New Roman" w:eastAsiaTheme="minorEastAsia"/>
              <w:b w:val="0"/>
              <w:color w:val="000000" w:themeColor="text1"/>
              <w:w w:val="99"/>
              <w:lang w:val="en-US"/>
              <w14:textFill>
                <w14:solidFill>
                  <w14:schemeClr w14:val="tx1"/>
                </w14:solidFill>
              </w14:textFill>
            </w:rPr>
            <w:t>3.4 建设项目工程分析</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_Toc117794559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69</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4F654414">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"_Toc117794562"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3.5清洁生产分析</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_Toc117794562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81</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74E87969">
          <w:pPr>
            <w:pStyle w:val="54"/>
            <w:tabs>
              <w:tab w:val="right" w:leader="dot" w:pos="9064"/>
            </w:tabs>
            <w:spacing w:before="0" w:line="360" w:lineRule="exact"/>
            <w:ind w:left="0" w:firstLine="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"_Toc117794565" </w:instrText>
          </w:r>
          <w:r>
            <w:fldChar w:fldCharType="separate"/>
          </w:r>
          <w:r>
            <w:rPr>
              <w:rStyle w:val="94"/>
              <w:rFonts w:ascii="Times New Roman" w:hAnsi="Times New Roman" w:cs="Times New Roman" w:eastAsiaTheme="minorEastAsia"/>
              <w:b w:val="0"/>
              <w:snapToGrid w:val="0"/>
              <w:color w:val="000000" w:themeColor="text1"/>
              <w:w w:val="99"/>
              <w:lang w:val="zh-CN" w:eastAsia="zh-CN"/>
              <w14:textFill>
                <w14:solidFill>
                  <w14:schemeClr w14:val="tx1"/>
                </w14:solidFill>
              </w14:textFill>
            </w:rPr>
            <w:t>4环境现状调查与评价</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_Toc117794565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83</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15869DCB">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"_Toc117794566" </w:instrText>
          </w:r>
          <w:r>
            <w:fldChar w:fldCharType="separate"/>
          </w:r>
          <w:r>
            <w:rPr>
              <w:rStyle w:val="94"/>
              <w:rFonts w:ascii="Times New Roman" w:hAnsi="Times New Roman" w:cs="Times New Roman" w:eastAsiaTheme="minorEastAsia"/>
              <w:b w:val="0"/>
              <w:snapToGrid w:val="0"/>
              <w:color w:val="000000" w:themeColor="text1"/>
              <w:w w:val="99"/>
              <w:lang w:val="zh-CN" w:eastAsia="zh-CN"/>
              <w14:textFill>
                <w14:solidFill>
                  <w14:schemeClr w14:val="tx1"/>
                </w14:solidFill>
              </w14:textFill>
            </w:rPr>
            <w:t>4.1自然环境状况</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_Toc117794566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83</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476F5DB0">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"_Toc117794576" </w:instrText>
          </w:r>
          <w:r>
            <w:fldChar w:fldCharType="separate"/>
          </w:r>
          <w:r>
            <w:rPr>
              <w:rStyle w:val="94"/>
              <w:rFonts w:ascii="Times New Roman" w:hAnsi="Times New Roman" w:cs="Times New Roman" w:eastAsiaTheme="minorEastAsia"/>
              <w:b w:val="0"/>
              <w:snapToGrid w:val="0"/>
              <w:color w:val="000000" w:themeColor="text1"/>
              <w:w w:val="99"/>
              <w:lang w:val="zh-CN" w:eastAsia="zh-CN"/>
              <w14:textFill>
                <w14:solidFill>
                  <w14:schemeClr w14:val="tx1"/>
                </w14:solidFill>
              </w14:textFill>
            </w:rPr>
            <w:t>4.2环境敏感区调查</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_Toc117794576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88</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166A0A6C">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"_Toc117794577"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4.3环境质量现状调查与评价</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_Toc117794577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88</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18DD8E42">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"_Toc117794584"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4.4区域污染源调查</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_Toc117794584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125</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46325449">
          <w:pPr>
            <w:pStyle w:val="54"/>
            <w:tabs>
              <w:tab w:val="right" w:leader="dot" w:pos="9064"/>
            </w:tabs>
            <w:spacing w:before="0" w:line="360" w:lineRule="exact"/>
            <w:ind w:left="0" w:firstLine="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"_Toc117794589"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5 环境影响预测与评价</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_Toc117794589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128</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13D855C8">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"_Toc117794590"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5.1 环境空气影响预测与评价</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_Toc117794590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128</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62F5A778">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"_Toc117794593"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5.2地表水影响分析</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_Toc117794593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131</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05269557">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"_Toc117794594"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5.3 地下水环境影响预测与评价</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_Toc117794594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132</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391A8A58">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"_Toc117794598"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5.4声环境影响分析</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_Toc117794598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136</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779CBD42">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"_Toc117794601"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5.5 固体废物环境影响分析</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_Toc117794601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138</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53157B32">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"_Toc117794602"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5.6 生态环境影响评价</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_Toc117794602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140</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30B4986D">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"_Toc117794611"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5.7土壤环境影响预测与评价</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_Toc117794611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143</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2F16EE0F">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"_Toc117794615"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5.8 环境风险评价</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_Toc117794615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146</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48320D24">
          <w:pPr>
            <w:pStyle w:val="54"/>
            <w:tabs>
              <w:tab w:val="right" w:leader="dot" w:pos="9064"/>
            </w:tabs>
            <w:spacing w:before="0" w:line="360" w:lineRule="exact"/>
            <w:ind w:left="0" w:firstLine="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"_Toc117794622"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6 环境保护措施及可行性论证</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_Toc117794622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152</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432EE6FC">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"_Toc117794623"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6.1 大气污染防治措施</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_Toc117794623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152</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79602144">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"_Toc117794624"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6.2 水污染防治措施</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_Toc117794624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152</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0051011C">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"_Toc117794627"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6.3 噪声污染控制措施</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_Toc117794627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155</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39E29605">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"_Toc117794630"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6.4 固体废物污染防治措施</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_Toc117794630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156</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44A21A5A">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"_Toc117794631"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6.5 土壤污染防治措施</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_Toc117794631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157</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57CC8023">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"_Toc117794635"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6.6生态保护措施</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_Toc117794635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158</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5A69B5CD">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"_Toc117794639"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6.7 环境风险防范措施</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_Toc117794639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160</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247062D3">
          <w:pPr>
            <w:pStyle w:val="54"/>
            <w:tabs>
              <w:tab w:val="right" w:leader="dot" w:pos="9064"/>
            </w:tabs>
            <w:spacing w:before="0" w:line="360" w:lineRule="exact"/>
            <w:ind w:left="0" w:firstLine="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"_Toc117794640"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7 环境影响经济损益分析</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_Toc117794640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165</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068BFAF8">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"_Toc117794641"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7.1 环境损失费估算</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_Toc117794641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165</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4327A60E">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"_Toc117794642"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7.2 环保投资估算及环境效益分析</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_Toc117794642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165</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1197EFB4">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"_Toc117794645"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7.3 环境经济损益分析结论</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_Toc117794645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166</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0CD38B1C">
          <w:pPr>
            <w:pStyle w:val="54"/>
            <w:tabs>
              <w:tab w:val="right" w:leader="dot" w:pos="9064"/>
            </w:tabs>
            <w:spacing w:before="0" w:line="360" w:lineRule="exact"/>
            <w:ind w:left="0" w:firstLine="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"_Toc117794646"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8 环境管理与监测计划</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_Toc117794646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167</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2A8C65EC">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"_Toc117794647"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8.1 HSE 管理体系的建立和运行</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_Toc117794647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167</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41DF917F">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"_Toc117794651"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8.2 环境监控</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_Toc117794651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168</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77A89DCF">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"_Toc117794656"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8.3 本工程污染源排放清单</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_Toc117794656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170</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1ABB0E08">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"_Toc117794657"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8.4 总量控制</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_Toc117794657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171</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1515F7E4">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"_Toc117794658"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8.5 施工期环境管理与监测计划</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_Toc117794658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171</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0F604E92">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"_Toc117794662"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8.6 运营期环境管理与监测计划</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_Toc117794662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172</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28F39823">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"_Toc117794665"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8.7 “三同时”项目一览表</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_Toc117794665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173</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24203223">
          <w:pPr>
            <w:pStyle w:val="54"/>
            <w:tabs>
              <w:tab w:val="right" w:leader="dot" w:pos="9064"/>
            </w:tabs>
            <w:spacing w:before="0" w:line="360" w:lineRule="exact"/>
            <w:ind w:left="0" w:firstLine="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"_Toc117794666"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9 环境影响评价结论</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_Toc117794666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177</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02301DC5">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"_Toc117794667"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9.1 工程概况</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_Toc117794667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177</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0AF2B2C3">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"_Toc117794668"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9.2 政策符合性结论</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_Toc117794668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177</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1BC08C0E">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"_Toc117794669"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9.3选址合理性结论</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_Toc117794669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177</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44C9BBCF">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"_Toc117794670"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9.4 环境质量现状</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_Toc117794670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178</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0F9C4581">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"_Toc117794677"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9.5</w:t>
          </w:r>
          <w:r>
            <w:rPr>
              <w:rStyle w:val="94"/>
              <w:rFonts w:ascii="Times New Roman" w:hAnsi="Times New Roman" w:cs="Times New Roman" w:eastAsiaTheme="minorEastAsia"/>
              <w:b w:val="0"/>
              <w:snapToGrid w:val="0"/>
              <w:color w:val="000000" w:themeColor="text1"/>
              <w:w w:val="99"/>
              <w14:textFill>
                <w14:solidFill>
                  <w14:schemeClr w14:val="tx1"/>
                </w14:solidFill>
              </w14:textFill>
            </w:rPr>
            <w:t>环境影响分析和污染防治措施可行性结论</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_Toc117794677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179</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262FC218">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"_Toc117794686"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9.6环境影响经济损益分析结论</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_Toc117794686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180</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1135D58F">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"_Toc117794687"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9.7环境管理与监测计划结论</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_Toc117794687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181</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594E8353">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"_Toc117794688" </w:instrText>
          </w:r>
          <w:r>
            <w:fldChar w:fldCharType="separate"/>
          </w:r>
          <w:r>
            <w:rPr>
              <w:rStyle w:val="94"/>
              <w:rFonts w:ascii="Times New Roman" w:hAnsi="Times New Roman" w:cs="Times New Roman" w:eastAsiaTheme="minorEastAsia"/>
              <w:b w:val="0"/>
              <w:snapToGrid w:val="0"/>
              <w:color w:val="000000" w:themeColor="text1"/>
              <w:w w:val="99"/>
              <w:lang w:val="en-US"/>
              <w14:textFill>
                <w14:solidFill>
                  <w14:schemeClr w14:val="tx1"/>
                </w14:solidFill>
              </w14:textFill>
            </w:rPr>
            <w:t>9.8公众意见采纳情况</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_Toc117794688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181</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3410DFB8">
          <w:pPr>
            <w:pStyle w:val="66"/>
            <w:tabs>
              <w:tab w:val="right" w:leader="dot" w:pos="9064"/>
            </w:tabs>
            <w:spacing w:before="0" w:line="360" w:lineRule="exact"/>
            <w:ind w:left="0" w:firstLine="482" w:firstLineChars="20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"_Toc117794689" </w:instrText>
          </w:r>
          <w:r>
            <w:fldChar w:fldCharType="separate"/>
          </w:r>
          <w:r>
            <w:rPr>
              <w:rStyle w:val="94"/>
              <w:rFonts w:ascii="Times New Roman" w:hAnsi="Times New Roman" w:cs="Times New Roman" w:eastAsiaTheme="minorEastAsia"/>
              <w:b w:val="0"/>
              <w:color w:val="000000" w:themeColor="text1"/>
              <w:w w:val="99"/>
              <w:lang w:val="en-US"/>
              <w14:textFill>
                <w14:solidFill>
                  <w14:schemeClr w14:val="tx1"/>
                </w14:solidFill>
              </w14:textFill>
            </w:rPr>
            <w:t>9.9综合结论</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_Toc117794689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181</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06636426">
          <w:pPr>
            <w:pStyle w:val="54"/>
            <w:tabs>
              <w:tab w:val="right" w:leader="dot" w:pos="9064"/>
            </w:tabs>
            <w:spacing w:before="0" w:line="360" w:lineRule="exact"/>
            <w:ind w:left="0" w:firstLine="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"_Toc117794690" </w:instrText>
          </w:r>
          <w:r>
            <w:fldChar w:fldCharType="separate"/>
          </w:r>
          <w:r>
            <w:rPr>
              <w:rStyle w:val="94"/>
              <w:rFonts w:ascii="Times New Roman" w:hAnsi="Times New Roman" w:cs="Times New Roman" w:eastAsiaTheme="minorEastAsia"/>
              <w:b w:val="0"/>
              <w:color w:val="000000" w:themeColor="text1"/>
              <w:w w:val="99"/>
              <w:lang w:val="en-US"/>
              <w14:textFill>
                <w14:solidFill>
                  <w14:schemeClr w14:val="tx1"/>
                </w14:solidFill>
              </w14:textFill>
            </w:rPr>
            <w:t>附表1    建设项目大气环境影响评价自查表</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_Toc117794690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182</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2E05B22A">
          <w:pPr>
            <w:pStyle w:val="54"/>
            <w:tabs>
              <w:tab w:val="right" w:leader="dot" w:pos="9064"/>
            </w:tabs>
            <w:spacing w:before="0" w:line="360" w:lineRule="exact"/>
            <w:ind w:left="0" w:firstLine="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"_Toc117794691" </w:instrText>
          </w:r>
          <w:r>
            <w:fldChar w:fldCharType="separate"/>
          </w:r>
          <w:r>
            <w:rPr>
              <w:rStyle w:val="94"/>
              <w:rFonts w:ascii="Times New Roman" w:hAnsi="Times New Roman" w:cs="Times New Roman" w:eastAsiaTheme="minorEastAsia"/>
              <w:b w:val="0"/>
              <w:color w:val="000000" w:themeColor="text1"/>
              <w:w w:val="99"/>
              <w:lang w:val="en-US"/>
              <w14:textFill>
                <w14:solidFill>
                  <w14:schemeClr w14:val="tx1"/>
                </w14:solidFill>
              </w14:textFill>
            </w:rPr>
            <w:t>附表2    建设项目环境风险评价自查表</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_Toc117794691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183</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2B90BD1E">
          <w:pPr>
            <w:pStyle w:val="54"/>
            <w:tabs>
              <w:tab w:val="right" w:leader="dot" w:pos="9064"/>
            </w:tabs>
            <w:spacing w:before="0" w:line="360" w:lineRule="exact"/>
            <w:ind w:left="0" w:firstLine="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"_Toc117794692" </w:instrText>
          </w:r>
          <w:r>
            <w:fldChar w:fldCharType="separate"/>
          </w:r>
          <w:r>
            <w:rPr>
              <w:rStyle w:val="94"/>
              <w:rFonts w:ascii="Times New Roman" w:hAnsi="Times New Roman" w:cs="Times New Roman" w:eastAsiaTheme="minorEastAsia"/>
              <w:b w:val="0"/>
              <w:color w:val="000000" w:themeColor="text1"/>
              <w:w w:val="99"/>
              <w:lang w:val="en-US"/>
              <w14:textFill>
                <w14:solidFill>
                  <w14:schemeClr w14:val="tx1"/>
                </w14:solidFill>
              </w14:textFill>
            </w:rPr>
            <w:t>附表3    建设项目土壤环境影响评价自查表</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_Toc117794692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184</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6AB3E2CA">
          <w:pPr>
            <w:pStyle w:val="54"/>
            <w:tabs>
              <w:tab w:val="right" w:leader="dot" w:pos="9064"/>
            </w:tabs>
            <w:spacing w:before="0" w:line="360" w:lineRule="exact"/>
            <w:ind w:left="0" w:firstLine="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"_Toc117794693" </w:instrText>
          </w:r>
          <w:r>
            <w:fldChar w:fldCharType="separate"/>
          </w:r>
          <w:r>
            <w:rPr>
              <w:rStyle w:val="94"/>
              <w:rFonts w:ascii="Times New Roman" w:hAnsi="Times New Roman" w:cs="Times New Roman" w:eastAsiaTheme="minorEastAsia"/>
              <w:b w:val="0"/>
              <w:color w:val="000000" w:themeColor="text1"/>
              <w:w w:val="99"/>
              <w:kern w:val="21"/>
              <w:lang w:val="en-US"/>
              <w14:textFill>
                <w14:solidFill>
                  <w14:schemeClr w14:val="tx1"/>
                </w14:solidFill>
              </w14:textFill>
            </w:rPr>
            <w:t>附表4    地表水自查表</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_Toc117794693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185</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121056BF">
          <w:pPr>
            <w:pStyle w:val="54"/>
            <w:tabs>
              <w:tab w:val="right" w:leader="dot" w:pos="9064"/>
            </w:tabs>
            <w:spacing w:before="0" w:line="360" w:lineRule="exact"/>
            <w:ind w:left="0" w:firstLine="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"_Toc117794694" </w:instrText>
          </w:r>
          <w:r>
            <w:fldChar w:fldCharType="separate"/>
          </w:r>
          <w:r>
            <w:rPr>
              <w:rStyle w:val="94"/>
              <w:rFonts w:ascii="Times New Roman" w:hAnsi="Times New Roman" w:cs="Times New Roman" w:eastAsiaTheme="minorEastAsia"/>
              <w:b w:val="0"/>
              <w:color w:val="000000" w:themeColor="text1"/>
              <w:w w:val="99"/>
              <w:kern w:val="21"/>
              <w:lang w:val="en-US"/>
              <w14:textFill>
                <w14:solidFill>
                  <w14:schemeClr w14:val="tx1"/>
                </w14:solidFill>
              </w14:textFill>
            </w:rPr>
            <w:t>附表5    生态影响评价自查表</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_Toc117794694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187</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17DC9E6D">
          <w:pPr>
            <w:pStyle w:val="54"/>
            <w:tabs>
              <w:tab w:val="right" w:leader="dot" w:pos="9064"/>
            </w:tabs>
            <w:spacing w:before="0" w:line="360" w:lineRule="exact"/>
            <w:ind w:left="0" w:firstLine="0"/>
            <w:jc w:val="center"/>
            <w:rPr>
              <w:rFonts w:ascii="Times New Roman" w:hAnsi="Times New Roman" w:cs="Times New Roman" w:eastAsiaTheme="minorEastAsia"/>
              <w:b w:val="0"/>
              <w:bCs w:val="0"/>
              <w:color w:val="000000" w:themeColor="text1"/>
              <w:kern w:val="2"/>
              <w:lang w:val="en-US" w:bidi="ar-SA"/>
              <w14:textFill>
                <w14:solidFill>
                  <w14:schemeClr w14:val="tx1"/>
                </w14:solidFill>
              </w14:textFill>
            </w:rPr>
          </w:pPr>
          <w:r>
            <w:fldChar w:fldCharType="begin"/>
          </w:r>
          <w:r>
            <w:instrText xml:space="preserve"> HYPERLINK \l "_Toc117794695" </w:instrText>
          </w:r>
          <w:r>
            <w:fldChar w:fldCharType="separate"/>
          </w:r>
          <w:r>
            <w:rPr>
              <w:rStyle w:val="94"/>
              <w:rFonts w:ascii="Times New Roman" w:hAnsi="Times New Roman" w:cs="Times New Roman" w:eastAsiaTheme="minorEastAsia"/>
              <w:b w:val="0"/>
              <w:color w:val="000000" w:themeColor="text1"/>
              <w:w w:val="99"/>
              <w:kern w:val="21"/>
              <w:lang w:val="en-US"/>
              <w14:textFill>
                <w14:solidFill>
                  <w14:schemeClr w14:val="tx1"/>
                </w14:solidFill>
              </w14:textFill>
            </w:rPr>
            <w:t>附表6    声环境影响评价自查表</w:t>
          </w:r>
          <w:r>
            <w:rPr>
              <w:rFonts w:ascii="Times New Roman" w:hAnsi="Times New Roman" w:cs="Times New Roman" w:eastAsiaTheme="minorEastAsia"/>
              <w:b w:val="0"/>
              <w:color w:val="000000" w:themeColor="text1"/>
              <w14:textFill>
                <w14:solidFill>
                  <w14:schemeClr w14:val="tx1"/>
                </w14:solidFill>
              </w14:textFill>
            </w:rPr>
            <w:tab/>
          </w: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PAGEREF _Toc117794695 \h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b w:val="0"/>
              <w:color w:val="000000" w:themeColor="text1"/>
              <w14:textFill>
                <w14:solidFill>
                  <w14:schemeClr w14:val="tx1"/>
                </w14:solidFill>
              </w14:textFill>
            </w:rPr>
            <w:t>188</w:t>
          </w:r>
          <w:r>
            <w:rPr>
              <w:rFonts w:ascii="Times New Roman" w:hAnsi="Times New Roman" w:cs="Times New Roman" w:eastAsiaTheme="minorEastAsia"/>
              <w:b w:val="0"/>
              <w:color w:val="000000" w:themeColor="text1"/>
              <w14:textFill>
                <w14:solidFill>
                  <w14:schemeClr w14:val="tx1"/>
                </w14:solidFill>
              </w14:textFill>
            </w:rPr>
            <w:fldChar w:fldCharType="end"/>
          </w:r>
          <w:r>
            <w:rPr>
              <w:rFonts w:ascii="Times New Roman" w:hAnsi="Times New Roman" w:cs="Times New Roman" w:eastAsiaTheme="minorEastAsia"/>
              <w:b w:val="0"/>
              <w:color w:val="000000" w:themeColor="text1"/>
              <w14:textFill>
                <w14:solidFill>
                  <w14:schemeClr w14:val="tx1"/>
                </w14:solidFill>
              </w14:textFill>
            </w:rPr>
            <w:fldChar w:fldCharType="end"/>
          </w:r>
        </w:p>
        <w:p w14:paraId="348B2CB9">
          <w:pPr>
            <w:jc w:val="center"/>
            <w:rPr>
              <w:rFonts w:ascii="Times New Roman" w:hAnsi="Times New Roman" w:cs="Times New Roman" w:eastAsiaTheme="minorEastAsia"/>
              <w:color w:val="000000" w:themeColor="text1"/>
              <w:sz w:val="24"/>
              <w:szCs w:val="24"/>
              <w14:textFill>
                <w14:solidFill>
                  <w14:schemeClr w14:val="tx1"/>
                </w14:solidFill>
              </w14:textFill>
            </w:rPr>
          </w:pPr>
          <w:r>
            <w:rPr>
              <w:rFonts w:ascii="Times New Roman" w:hAnsi="Times New Roman" w:cs="Times New Roman" w:eastAsiaTheme="minorEastAsia"/>
              <w:bCs/>
              <w:color w:val="000000" w:themeColor="text1"/>
              <w:sz w:val="24"/>
              <w:szCs w:val="24"/>
              <w14:textFill>
                <w14:solidFill>
                  <w14:schemeClr w14:val="tx1"/>
                </w14:solidFill>
              </w14:textFill>
            </w:rPr>
            <w:fldChar w:fldCharType="end"/>
          </w:r>
        </w:p>
      </w:sdtContent>
    </w:sdt>
    <w:p w14:paraId="2381824E">
      <w:pPr>
        <w:rPr>
          <w:color w:val="000000" w:themeColor="text1"/>
          <w14:textFill>
            <w14:solidFill>
              <w14:schemeClr w14:val="tx1"/>
            </w14:solidFill>
          </w14:textFill>
        </w:rPr>
      </w:pPr>
    </w:p>
    <w:p w14:paraId="10B30016">
      <w:pPr>
        <w:rPr>
          <w:color w:val="000000" w:themeColor="text1"/>
          <w14:textFill>
            <w14:solidFill>
              <w14:schemeClr w14:val="tx1"/>
            </w14:solidFill>
          </w14:textFill>
        </w:rPr>
      </w:pPr>
    </w:p>
    <w:p w14:paraId="150B3C7B">
      <w:pPr>
        <w:rPr>
          <w:color w:val="000000" w:themeColor="text1"/>
          <w14:textFill>
            <w14:solidFill>
              <w14:schemeClr w14:val="tx1"/>
            </w14:solidFill>
          </w14:textFill>
        </w:rPr>
      </w:pPr>
    </w:p>
    <w:p w14:paraId="2CB9E7F8">
      <w:pPr>
        <w:rPr>
          <w:color w:val="000000" w:themeColor="text1"/>
          <w14:textFill>
            <w14:solidFill>
              <w14:schemeClr w14:val="tx1"/>
            </w14:solidFill>
          </w14:textFill>
        </w:rPr>
      </w:pPr>
    </w:p>
    <w:p w14:paraId="45840AE3">
      <w:pPr>
        <w:tabs>
          <w:tab w:val="center" w:pos="4537"/>
        </w:tabs>
        <w:rPr>
          <w:color w:val="000000" w:themeColor="text1"/>
          <w14:textFill>
            <w14:solidFill>
              <w14:schemeClr w14:val="tx1"/>
            </w14:solidFill>
          </w14:textFill>
        </w:rPr>
        <w:sectPr>
          <w:footerReference r:id="rId3" w:type="default"/>
          <w:type w:val="nextColumn"/>
          <w:pgSz w:w="11910" w:h="16850"/>
          <w:pgMar w:top="1418" w:right="1418" w:bottom="1418" w:left="1418" w:header="720" w:footer="720" w:gutter="0"/>
          <w:cols w:space="720" w:num="1"/>
          <w:docGrid w:linePitch="299" w:charSpace="0"/>
        </w:sectPr>
      </w:pPr>
      <w:r>
        <w:rPr>
          <w:color w:val="000000" w:themeColor="text1"/>
          <w14:textFill>
            <w14:solidFill>
              <w14:schemeClr w14:val="tx1"/>
            </w14:solidFill>
          </w14:textFill>
        </w:rPr>
        <w:tab/>
      </w:r>
    </w:p>
    <w:p w14:paraId="1F2D9FF9">
      <w:pPr>
        <w:pStyle w:val="3"/>
        <w:tabs>
          <w:tab w:val="left" w:pos="4563"/>
        </w:tabs>
        <w:spacing w:before="180" w:after="180" w:line="440" w:lineRule="exact"/>
        <w:ind w:left="0" w:firstLine="0"/>
        <w:jc w:val="both"/>
        <w:rPr>
          <w:rFonts w:ascii="Times New Roman" w:hAnsi="Times New Roman" w:cs="Times New Roman" w:eastAsiaTheme="minorEastAsia"/>
          <w:b/>
          <w:bCs/>
          <w:color w:val="000000" w:themeColor="text1"/>
          <w:w w:val="99"/>
          <w:sz w:val="30"/>
          <w:szCs w:val="30"/>
          <w14:textFill>
            <w14:solidFill>
              <w14:schemeClr w14:val="tx1"/>
            </w14:solidFill>
          </w14:textFill>
        </w:rPr>
      </w:pPr>
      <w:bookmarkStart w:id="0" w:name="_bookmark0"/>
      <w:bookmarkEnd w:id="0"/>
      <w:bookmarkStart w:id="1" w:name="_Toc117794500"/>
      <w:r>
        <w:rPr>
          <w:rFonts w:ascii="Times New Roman" w:hAnsi="Times New Roman" w:cs="Times New Roman" w:eastAsiaTheme="minorEastAsia"/>
          <w:b/>
          <w:bCs/>
          <w:color w:val="000000" w:themeColor="text1"/>
          <w:w w:val="99"/>
          <w:sz w:val="30"/>
          <w:szCs w:val="30"/>
          <w:lang w:val="en-US"/>
          <w14:textFill>
            <w14:solidFill>
              <w14:schemeClr w14:val="tx1"/>
            </w14:solidFill>
          </w14:textFill>
        </w:rPr>
        <w:t>1.</w:t>
      </w:r>
      <w:r>
        <w:rPr>
          <w:rFonts w:ascii="Times New Roman" w:hAnsi="Times New Roman" w:cs="Times New Roman" w:eastAsiaTheme="minorEastAsia"/>
          <w:b/>
          <w:bCs/>
          <w:color w:val="000000" w:themeColor="text1"/>
          <w:w w:val="99"/>
          <w:sz w:val="30"/>
          <w:szCs w:val="30"/>
          <w14:textFill>
            <w14:solidFill>
              <w14:schemeClr w14:val="tx1"/>
            </w14:solidFill>
          </w14:textFill>
        </w:rPr>
        <w:t>概述</w:t>
      </w:r>
      <w:bookmarkEnd w:id="1"/>
    </w:p>
    <w:p w14:paraId="345EDD1D">
      <w:pPr>
        <w:pStyle w:val="4"/>
        <w:tabs>
          <w:tab w:val="left" w:pos="751"/>
        </w:tabs>
        <w:spacing w:before="120" w:after="120" w:line="440" w:lineRule="exact"/>
        <w:ind w:left="0" w:firstLine="0"/>
        <w:jc w:val="both"/>
        <w:rPr>
          <w:rFonts w:ascii="Times New Roman" w:hAnsi="Times New Roman" w:cs="Times New Roman" w:eastAsiaTheme="minorEastAsia"/>
          <w:b/>
          <w:bCs/>
          <w:color w:val="000000" w:themeColor="text1"/>
          <w:w w:val="99"/>
          <w:sz w:val="28"/>
          <w:szCs w:val="28"/>
          <w:lang w:val="en-US"/>
          <w14:textFill>
            <w14:solidFill>
              <w14:schemeClr w14:val="tx1"/>
            </w14:solidFill>
          </w14:textFill>
        </w:rPr>
      </w:pPr>
      <w:bookmarkStart w:id="2" w:name="_bookmark1"/>
      <w:bookmarkEnd w:id="2"/>
      <w:bookmarkStart w:id="3" w:name="_Toc117794501"/>
      <w:r>
        <w:rPr>
          <w:rFonts w:ascii="Times New Roman" w:hAnsi="Times New Roman" w:cs="Times New Roman" w:eastAsiaTheme="minorEastAsia"/>
          <w:b/>
          <w:bCs/>
          <w:color w:val="000000" w:themeColor="text1"/>
          <w:w w:val="99"/>
          <w:sz w:val="28"/>
          <w:szCs w:val="28"/>
          <w:lang w:val="en-US"/>
          <w14:textFill>
            <w14:solidFill>
              <w14:schemeClr w14:val="tx1"/>
            </w14:solidFill>
          </w14:textFill>
        </w:rPr>
        <w:t>1.1 建设项目由来</w:t>
      </w:r>
      <w:bookmarkEnd w:id="3"/>
    </w:p>
    <w:p w14:paraId="307DE88F">
      <w:pPr>
        <w:widowControl/>
        <w:spacing w:line="440" w:lineRule="exact"/>
        <w:ind w:firstLine="474" w:firstLineChars="200"/>
        <w:jc w:val="both"/>
        <w:rPr>
          <w:rFonts w:hint="eastAsia" w:ascii="Times New Roman" w:hAnsi="Times New Roman" w:cs="Times New Roman" w:eastAsiaTheme="minorEastAsia"/>
          <w:color w:val="0000FF"/>
          <w:w w:val="99"/>
          <w:sz w:val="24"/>
          <w:szCs w:val="24"/>
          <w:lang w:val="en-US" w:eastAsia="zh-CN"/>
        </w:rPr>
      </w:pPr>
      <w:r>
        <w:rPr>
          <w:rFonts w:ascii="Times New Roman" w:hAnsi="Times New Roman" w:cs="Times New Roman" w:eastAsiaTheme="minorEastAsia"/>
          <w:color w:val="0000FF"/>
          <w:w w:val="99"/>
          <w:sz w:val="24"/>
          <w:szCs w:val="24"/>
          <w:lang w:val="en-US" w:eastAsia="zh-CN"/>
        </w:rPr>
        <w:t>大庆油田油品属于含蜡高凝点原油，集油系统通常采用加热或掺水流程，</w:t>
      </w:r>
      <w:r>
        <w:rPr>
          <w:rFonts w:hint="default" w:ascii="Times New Roman" w:hAnsi="Times New Roman" w:cs="Times New Roman" w:eastAsiaTheme="minorEastAsia"/>
          <w:color w:val="0000FF"/>
          <w:w w:val="99"/>
          <w:sz w:val="24"/>
          <w:szCs w:val="24"/>
          <w:lang w:val="en-US" w:eastAsia="zh-CN"/>
        </w:rPr>
        <w:t>是热耗占比较大的主要原因；同时，高含蜡原油无论含水高低都需要对采油井定期采取清蜡措施，主要清蜡手段是热水洗井</w:t>
      </w:r>
      <w:r>
        <w:rPr>
          <w:rFonts w:ascii="Times New Roman" w:hAnsi="Times New Roman" w:cs="Times New Roman" w:eastAsiaTheme="minorEastAsia"/>
          <w:color w:val="0000FF"/>
          <w:w w:val="99"/>
          <w:sz w:val="24"/>
          <w:szCs w:val="24"/>
          <w:lang w:val="en-US"/>
        </w:rPr>
        <w:t>，</w:t>
      </w:r>
      <w:r>
        <w:rPr>
          <w:rFonts w:ascii="Times New Roman" w:hAnsi="Times New Roman" w:cs="Times New Roman" w:eastAsiaTheme="minorEastAsia"/>
          <w:color w:val="0000FF"/>
          <w:w w:val="99"/>
          <w:sz w:val="24"/>
          <w:szCs w:val="24"/>
          <w:lang w:val="en-US" w:eastAsia="zh-CN"/>
        </w:rPr>
        <w:t>早在 1994 年，从国外了解到原油流动增强剂，后期通过技术攻关，实现了</w:t>
      </w:r>
      <w:r>
        <w:rPr>
          <w:rFonts w:hint="default" w:ascii="Times New Roman" w:hAnsi="Times New Roman" w:cs="Times New Roman" w:eastAsiaTheme="minorEastAsia"/>
          <w:color w:val="0000FF"/>
          <w:w w:val="99"/>
          <w:sz w:val="24"/>
          <w:szCs w:val="24"/>
          <w:lang w:val="en-US" w:eastAsia="zh-CN"/>
        </w:rPr>
        <w:t>药剂国产化，并研发出掺水加药工艺和单井加药量控制装置，确定了为实现井底药剂浓度稳定所需的药稀释液井口最低加入流量，形成了创新的低温输送免清蜡技术</w:t>
      </w:r>
      <w:r>
        <w:rPr>
          <w:rFonts w:hint="eastAsia" w:ascii="Times New Roman" w:hAnsi="Times New Roman" w:cs="Times New Roman" w:eastAsiaTheme="minorEastAsia"/>
          <w:color w:val="0000FF"/>
          <w:w w:val="99"/>
          <w:sz w:val="24"/>
          <w:szCs w:val="24"/>
          <w:lang w:val="en-US" w:eastAsia="zh-CN"/>
        </w:rPr>
        <w:t>。流动增强剂可提高 O/W 型乳状液的动态稳定性，同时将管线内壁转变为水润湿性，形成亲水膜，以减少或防止油相在管壁的粘附，从而达到减小采出液管输摩阻系数，减轻石蜡在油井和集油管线内壁的沉积，实现油井免清蜡和采出液地面低温输送的双重目的。并在此基础上，研发出掺水加药和单井加药量控制装置，并将药剂应用范围扩大到转油站系统。采油五厂杏南二转油站为水驱转油站，含水率为 95%左右，具备 O/W 低温集输条件，优选杏南二转油站为试验区块，对杏南二转油站及所辖 10 座计量间、162 口油井开展流动增强剂加药工艺改造，在杏南二转油站已建加药间内新建流动增强剂加药装置 1 套，配套新建加药装置至掺水加热炉进口汇管流动增强剂加药管线及阀门。新建环中井、环尾井掺水管线共 4.5km，</w:t>
      </w:r>
    </w:p>
    <w:p w14:paraId="65ACEA00">
      <w:pPr>
        <w:widowControl/>
        <w:spacing w:line="440" w:lineRule="exact"/>
        <w:ind w:firstLine="474" w:firstLineChars="200"/>
        <w:jc w:val="both"/>
        <w:rPr>
          <w:rFonts w:hint="eastAsia" w:ascii="Times New Roman" w:hAnsi="Times New Roman" w:cs="Times New Roman" w:eastAsiaTheme="minorEastAsia"/>
          <w:color w:val="000000" w:themeColor="text1"/>
          <w:w w:val="99"/>
          <w:sz w:val="24"/>
          <w:szCs w:val="24"/>
          <w:lang w:val="en-US" w:eastAsia="zh-CN"/>
          <w14:textFill>
            <w14:solidFill>
              <w14:schemeClr w14:val="tx1"/>
            </w14:solidFill>
          </w14:textFill>
        </w:rPr>
      </w:pPr>
    </w:p>
    <w:p w14:paraId="78BE3B43">
      <w:pPr>
        <w:widowControl/>
        <w:spacing w:line="440" w:lineRule="exact"/>
        <w:ind w:firstLine="474" w:firstLineChars="200"/>
        <w:jc w:val="both"/>
        <w:rPr>
          <w:rFonts w:hint="eastAsia" w:ascii="Times New Roman" w:hAnsi="Times New Roman" w:cs="Times New Roman" w:eastAsiaTheme="minorEastAsia"/>
          <w:color w:val="000000" w:themeColor="text1"/>
          <w:w w:val="99"/>
          <w:sz w:val="24"/>
          <w:szCs w:val="24"/>
          <w:lang w:val="en-US" w:eastAsia="zh-CN"/>
          <w14:textFill>
            <w14:solidFill>
              <w14:schemeClr w14:val="tx1"/>
            </w14:solidFill>
          </w14:textFill>
        </w:rPr>
      </w:pPr>
    </w:p>
    <w:p w14:paraId="1B8B70C6">
      <w:pPr>
        <w:widowControl/>
        <w:spacing w:line="440" w:lineRule="exact"/>
        <w:ind w:firstLine="474" w:firstLineChars="200"/>
        <w:jc w:val="both"/>
        <w:rPr>
          <w:rFonts w:hint="eastAsia" w:ascii="Times New Roman" w:hAnsi="Times New Roman" w:cs="Times New Roman" w:eastAsiaTheme="minorEastAsia"/>
          <w:color w:val="000000" w:themeColor="text1"/>
          <w:w w:val="99"/>
          <w:sz w:val="24"/>
          <w:szCs w:val="24"/>
          <w:lang w:val="en-US" w:eastAsia="zh-CN"/>
          <w14:textFill>
            <w14:solidFill>
              <w14:schemeClr w14:val="tx1"/>
            </w14:solidFill>
          </w14:textFill>
        </w:rPr>
      </w:pPr>
    </w:p>
    <w:p w14:paraId="36556A37">
      <w:pPr>
        <w:widowControl/>
        <w:spacing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拉油点设多功能储油装置，油井产液进入多功能储油装置进行分离、储存，分离出的伴生气用于多功能储油装置自身加热。储油装置顶部设放气管线至井场附近的放空装置，当产气量大于耗气量时，多余的伴生气通过放空装置进行外排。依据《陆上石油天然气开采工业大气污染物排放标准》（GB39728-2020）第5.7.3条要求：“对油气田放空天然气应予以回收”。为了贯彻《中华人民共和国环境保护法》、《中华人民共和国大气污染防治法》，防治环境污染，改善环境质量，避免资源浪费，促进陆上石油天然气开采工业的技术进步和可持续发展，对龙虎泡油田周边区块的生产设施和生产现状情况进行调查研究，确定对龙虎泡油田区域内可进入集油系统的11座拉油点进行治理，建设</w:t>
      </w:r>
      <w:r>
        <w:rPr>
          <w:rFonts w:hint="eastAsia" w:ascii="Times New Roman" w:hAnsi="Times New Roman" w:cs="Times New Roman" w:eastAsiaTheme="minorEastAsia"/>
          <w:color w:val="000000" w:themeColor="text1"/>
          <w:w w:val="99"/>
          <w:sz w:val="24"/>
          <w:szCs w:val="24"/>
          <w:lang w:val="en-US" w:eastAsia="zh-CN"/>
          <w14:textFill>
            <w14:solidFill>
              <w14:schemeClr w14:val="tx1"/>
            </w14:solidFill>
          </w14:textFill>
        </w:rPr>
        <w:t>第五采油厂杏南二转油站及站外系统改造工程项目</w:t>
      </w:r>
      <w:r>
        <w:rPr>
          <w:rFonts w:ascii="Times New Roman" w:hAnsi="Times New Roman" w:cs="Times New Roman" w:eastAsiaTheme="minorEastAsia"/>
          <w:color w:val="000000" w:themeColor="text1"/>
          <w:w w:val="99"/>
          <w:sz w:val="24"/>
          <w:szCs w:val="24"/>
          <w:lang w:val="en-US"/>
          <w14:textFill>
            <w14:solidFill>
              <w14:schemeClr w14:val="tx1"/>
            </w14:solidFill>
          </w14:textFill>
        </w:rPr>
        <w:t>。本项目在龙虎泡油田龙26区块内进行建设，项目拟拆除11座拉油点内九合一装置30座，并采取树状电加热流程将原拉油点产液集中输送至新建混输阀组间，再增压混输至龙一联合站内，新建混输泵2台，新建集油管道23.37km，管道电伴热30套，井口电加热器11台；新建柱上变9座，低压电力电缆0.85km，高压电力电缆0.3km，6kV架空线路14km。</w:t>
      </w:r>
    </w:p>
    <w:p w14:paraId="05D8A12B">
      <w:pPr>
        <w:widowControl/>
        <w:spacing w:line="440" w:lineRule="exact"/>
        <w:ind w:firstLine="474" w:firstLineChars="200"/>
        <w:jc w:val="both"/>
        <w:rPr>
          <w:rFonts w:ascii="Times New Roman" w:hAnsi="Times New Roman" w:cs="Times New Roman" w:eastAsiaTheme="minorEastAsia"/>
          <w:color w:val="0000FF"/>
          <w:w w:val="99"/>
          <w:sz w:val="24"/>
          <w:szCs w:val="24"/>
          <w:lang w:val="en-US"/>
        </w:rPr>
      </w:pPr>
      <w:r>
        <w:rPr>
          <w:rFonts w:ascii="Times New Roman" w:hAnsi="Times New Roman" w:cs="Times New Roman" w:eastAsiaTheme="minorEastAsia"/>
          <w:color w:val="0000FF"/>
          <w:w w:val="99"/>
          <w:sz w:val="24"/>
          <w:szCs w:val="24"/>
          <w:lang w:val="en-US"/>
        </w:rPr>
        <w:t>根据《大庆市水土保持规划》（2015～2030年），</w:t>
      </w:r>
      <w:r>
        <w:rPr>
          <w:rFonts w:ascii="Times New Roman" w:hAnsi="Times New Roman" w:cs="Times New Roman" w:eastAsiaTheme="minorEastAsia"/>
          <w:color w:val="0000FF"/>
          <w:w w:val="99"/>
          <w:sz w:val="24"/>
          <w:szCs w:val="24"/>
          <w:lang w:val="en"/>
        </w:rPr>
        <w:t>大庆市划定了市级水土流失重点预防区和重点治理区，本项目位于大庆市</w:t>
      </w:r>
      <w:r>
        <w:rPr>
          <w:rFonts w:hint="eastAsia" w:ascii="Times New Roman" w:hAnsi="Times New Roman" w:cs="Times New Roman" w:eastAsiaTheme="minorEastAsia"/>
          <w:color w:val="0000FF"/>
          <w:w w:val="99"/>
          <w:sz w:val="24"/>
          <w:szCs w:val="24"/>
          <w:lang w:val="en-US" w:eastAsia="zh-CN"/>
        </w:rPr>
        <w:t>红岗区杏树岗镇</w:t>
      </w:r>
      <w:r>
        <w:rPr>
          <w:rFonts w:ascii="Times New Roman" w:hAnsi="Times New Roman" w:cs="Times New Roman" w:eastAsiaTheme="minorEastAsia"/>
          <w:color w:val="0000FF"/>
          <w:w w:val="99"/>
          <w:sz w:val="24"/>
          <w:szCs w:val="24"/>
          <w:lang w:val="en"/>
        </w:rPr>
        <w:t>，属于市级水土流失重点治理区，且本项目拟建管线周边200m范围内分布有杏树岗</w:t>
      </w:r>
      <w:r>
        <w:rPr>
          <w:rFonts w:hint="eastAsia" w:ascii="Times New Roman" w:hAnsi="Times New Roman" w:cs="Times New Roman" w:eastAsiaTheme="minorEastAsia"/>
          <w:color w:val="0000FF"/>
          <w:w w:val="99"/>
          <w:sz w:val="24"/>
          <w:szCs w:val="24"/>
          <w:lang w:val="en-US" w:eastAsia="zh-CN"/>
        </w:rPr>
        <w:t>镇和大同村</w:t>
      </w:r>
      <w:r>
        <w:rPr>
          <w:rFonts w:ascii="Times New Roman" w:hAnsi="Times New Roman" w:cs="Times New Roman" w:eastAsiaTheme="minorEastAsia"/>
          <w:color w:val="0000FF"/>
          <w:w w:val="99"/>
          <w:sz w:val="24"/>
          <w:szCs w:val="24"/>
          <w:lang w:val="en"/>
        </w:rPr>
        <w:t>。</w:t>
      </w:r>
      <w:r>
        <w:rPr>
          <w:rFonts w:ascii="Times New Roman" w:hAnsi="Times New Roman" w:cs="Times New Roman" w:eastAsiaTheme="minorEastAsia"/>
          <w:color w:val="0000FF"/>
          <w:w w:val="99"/>
          <w:sz w:val="24"/>
          <w:szCs w:val="24"/>
          <w:lang w:val="en-US"/>
        </w:rPr>
        <w:t>根据《建设项目环境影响评价分类管理名录（2021年版）》（部令第16号），本</w:t>
      </w:r>
      <w:r>
        <w:rPr>
          <w:rFonts w:ascii="Times New Roman" w:hAnsi="Times New Roman" w:cs="Times New Roman" w:eastAsiaTheme="minorEastAsia"/>
          <w:color w:val="0000FF"/>
          <w:w w:val="99"/>
          <w:sz w:val="24"/>
        </w:rPr>
        <w:t>项目为石油开采老区块内集输管线建设，因此</w:t>
      </w:r>
      <w:r>
        <w:rPr>
          <w:rFonts w:ascii="Times New Roman" w:hAnsi="Times New Roman" w:cs="Times New Roman" w:eastAsiaTheme="minorEastAsia"/>
          <w:color w:val="0000FF"/>
          <w:w w:val="99"/>
          <w:sz w:val="24"/>
          <w:szCs w:val="24"/>
          <w:lang w:val="en-US"/>
        </w:rPr>
        <w:t>本项目属于第五项石油和天然气开采业“陆地石油开采0711”，本项目位于</w:t>
      </w:r>
      <w:r>
        <w:rPr>
          <w:rFonts w:ascii="Times New Roman" w:hAnsi="Times New Roman" w:cs="Times New Roman" w:eastAsiaTheme="minorEastAsia"/>
          <w:color w:val="0000FF"/>
          <w:w w:val="99"/>
          <w:sz w:val="24"/>
          <w:szCs w:val="24"/>
          <w:lang w:val="en"/>
        </w:rPr>
        <w:t>水土流失重点治理区</w:t>
      </w:r>
      <w:r>
        <w:rPr>
          <w:rFonts w:ascii="Times New Roman" w:hAnsi="Times New Roman" w:cs="Times New Roman" w:eastAsiaTheme="minorEastAsia"/>
          <w:color w:val="0000FF"/>
          <w:w w:val="99"/>
          <w:sz w:val="24"/>
          <w:szCs w:val="24"/>
          <w:lang w:val="en-US"/>
        </w:rPr>
        <w:t>，且本项目涉及以居住为主要功能的区域，应编制环境影响报告书。</w:t>
      </w:r>
    </w:p>
    <w:p w14:paraId="62AB9249">
      <w:pPr>
        <w:widowControl/>
        <w:spacing w:line="440" w:lineRule="exact"/>
        <w:ind w:firstLine="474" w:firstLineChars="200"/>
        <w:rPr>
          <w:rFonts w:ascii="Times New Roman" w:hAnsi="Times New Roman" w:cs="Times New Roman" w:eastAsiaTheme="minorEastAsia"/>
          <w:color w:val="0000FF"/>
          <w:w w:val="99"/>
          <w:sz w:val="24"/>
          <w:szCs w:val="24"/>
          <w:lang w:val="en-US"/>
        </w:rPr>
      </w:pPr>
      <w:r>
        <w:rPr>
          <w:rFonts w:ascii="Times New Roman" w:hAnsi="Times New Roman" w:cs="Times New Roman" w:eastAsiaTheme="minorEastAsia"/>
          <w:color w:val="0000FF"/>
          <w:w w:val="99"/>
          <w:sz w:val="24"/>
          <w:szCs w:val="24"/>
          <w:lang w:val="en-US"/>
        </w:rPr>
        <w:t>根据2017年7月16日《国务院关于修改〈建设项目环境保护管理条例〉的决定》（中华人民共和国国务院令第682号）、《中华人民共和国环境影响评价法》、《建设项目环境影响评价分类管理名录》（生态环境部部令第16号）及《关于进一步加强石油天然气行业环境影响评价管理的通知》（环办环评函[2019]910号）等法律法规，为保证建设项目与环境保护协调发展，从环境保护角度评价建设项目的可行性，大庆油田有限责任公司</w:t>
      </w:r>
      <w:r>
        <w:rPr>
          <w:rFonts w:hint="eastAsia" w:ascii="Times New Roman" w:hAnsi="Times New Roman" w:cs="Times New Roman" w:eastAsiaTheme="minorEastAsia"/>
          <w:color w:val="0000FF"/>
          <w:w w:val="99"/>
          <w:sz w:val="24"/>
          <w:szCs w:val="24"/>
          <w:lang w:val="en-US" w:eastAsia="zh-CN"/>
        </w:rPr>
        <w:t>第五采油厂</w:t>
      </w:r>
      <w:r>
        <w:rPr>
          <w:rFonts w:ascii="Times New Roman" w:hAnsi="Times New Roman" w:cs="Times New Roman" w:eastAsiaTheme="minorEastAsia"/>
          <w:color w:val="0000FF"/>
          <w:w w:val="99"/>
          <w:sz w:val="24"/>
          <w:szCs w:val="24"/>
          <w:lang w:val="en-US"/>
        </w:rPr>
        <w:t>委托</w:t>
      </w:r>
      <w:r>
        <w:rPr>
          <w:rFonts w:hint="eastAsia" w:ascii="Times New Roman" w:hAnsi="Times New Roman" w:cs="Times New Roman" w:eastAsiaTheme="minorEastAsia"/>
          <w:color w:val="0000FF"/>
          <w:w w:val="99"/>
          <w:sz w:val="24"/>
          <w:szCs w:val="24"/>
          <w:lang w:val="en-US" w:eastAsia="zh-CN"/>
        </w:rPr>
        <w:t>湖南葆华环保有限公司</w:t>
      </w:r>
      <w:r>
        <w:rPr>
          <w:rFonts w:ascii="Times New Roman" w:hAnsi="Times New Roman" w:cs="Times New Roman" w:eastAsiaTheme="minorEastAsia"/>
          <w:color w:val="0000FF"/>
          <w:w w:val="99"/>
          <w:sz w:val="24"/>
          <w:szCs w:val="24"/>
          <w:lang w:val="en-US"/>
        </w:rPr>
        <w:t>编制环境影响报告书。接受委托后，项目负责人对项目的建设方案进行了详细分析，并对拟建区域进行多次实地考察，并结合项目方案，分析了项目的类型、性质、建设规模及所在区域的环境状况，在详细研究了相关资料并进行类比调查分析的情况下，按照国家环境影响评价技术导则的要求，编制了《</w:t>
      </w:r>
      <w:r>
        <w:rPr>
          <w:rFonts w:hint="eastAsia" w:ascii="Times New Roman" w:hAnsi="Times New Roman" w:cs="Times New Roman" w:eastAsiaTheme="minorEastAsia"/>
          <w:color w:val="0000FF"/>
          <w:w w:val="99"/>
          <w:sz w:val="24"/>
          <w:szCs w:val="24"/>
          <w:lang w:val="en-US" w:eastAsia="zh-CN"/>
        </w:rPr>
        <w:t>第五采油厂杏南二转油站及站外系统改造工程项目</w:t>
      </w:r>
      <w:r>
        <w:rPr>
          <w:rFonts w:ascii="Times New Roman" w:hAnsi="Times New Roman" w:cs="Times New Roman" w:eastAsiaTheme="minorEastAsia"/>
          <w:color w:val="0000FF"/>
          <w:w w:val="99"/>
          <w:sz w:val="24"/>
          <w:szCs w:val="24"/>
          <w:lang w:val="en-US"/>
        </w:rPr>
        <w:t>环境影响报告书》。</w:t>
      </w:r>
    </w:p>
    <w:p w14:paraId="68DFD374">
      <w:pPr>
        <w:pStyle w:val="4"/>
        <w:tabs>
          <w:tab w:val="left" w:pos="751"/>
        </w:tabs>
        <w:spacing w:before="120" w:after="120" w:line="440" w:lineRule="exact"/>
        <w:ind w:left="0" w:firstLine="0"/>
        <w:jc w:val="both"/>
        <w:rPr>
          <w:rFonts w:ascii="Times New Roman" w:hAnsi="Times New Roman" w:cs="Times New Roman" w:eastAsiaTheme="minorEastAsia"/>
          <w:b/>
          <w:bCs/>
          <w:color w:val="000000" w:themeColor="text1"/>
          <w:w w:val="99"/>
          <w:sz w:val="28"/>
          <w:szCs w:val="28"/>
          <w:lang w:val="en-US"/>
          <w14:textFill>
            <w14:solidFill>
              <w14:schemeClr w14:val="tx1"/>
            </w14:solidFill>
          </w14:textFill>
        </w:rPr>
      </w:pPr>
      <w:bookmarkStart w:id="4" w:name="_bookmark2"/>
      <w:bookmarkEnd w:id="4"/>
      <w:bookmarkStart w:id="5" w:name="_Toc117794502"/>
      <w:r>
        <w:rPr>
          <w:rFonts w:ascii="Times New Roman" w:hAnsi="Times New Roman" w:cs="Times New Roman" w:eastAsiaTheme="minorEastAsia"/>
          <w:b/>
          <w:bCs/>
          <w:color w:val="000000" w:themeColor="text1"/>
          <w:w w:val="99"/>
          <w:sz w:val="28"/>
          <w:szCs w:val="28"/>
          <w:lang w:val="en-US"/>
          <w14:textFill>
            <w14:solidFill>
              <w14:schemeClr w14:val="tx1"/>
            </w14:solidFill>
          </w14:textFill>
        </w:rPr>
        <w:t>1.2 建设项目的特点</w:t>
      </w:r>
      <w:bookmarkEnd w:id="5"/>
    </w:p>
    <w:p w14:paraId="6DBFF0FD">
      <w:pPr>
        <w:keepNext/>
        <w:keepLines/>
        <w:autoSpaceDE/>
        <w:autoSpaceDN/>
        <w:spacing w:before="60" w:after="60" w:line="440" w:lineRule="exact"/>
        <w:jc w:val="both"/>
        <w:outlineLvl w:val="2"/>
        <w:rPr>
          <w:rFonts w:ascii="Times New Roman" w:hAnsi="Times New Roman" w:cs="Times New Roman" w:eastAsiaTheme="minorEastAsia"/>
          <w:b/>
          <w:bCs/>
          <w:color w:val="000000" w:themeColor="text1"/>
          <w:w w:val="99"/>
          <w:kern w:val="2"/>
          <w:sz w:val="24"/>
          <w:szCs w:val="24"/>
          <w:lang w:val="en-US" w:bidi="ar-SA"/>
          <w14:textFill>
            <w14:solidFill>
              <w14:schemeClr w14:val="tx1"/>
            </w14:solidFill>
          </w14:textFill>
        </w:rPr>
      </w:pPr>
      <w:bookmarkStart w:id="6" w:name="_Toc80971325"/>
      <w:bookmarkStart w:id="7" w:name="_Toc78816408"/>
      <w:bookmarkStart w:id="8" w:name="_Toc110438427"/>
      <w:bookmarkStart w:id="9" w:name="_Toc86141883"/>
      <w:bookmarkStart w:id="10" w:name="_Toc74812262"/>
      <w:bookmarkStart w:id="11" w:name="_Toc84929175"/>
      <w:bookmarkStart w:id="12" w:name="_Toc76976191"/>
      <w:bookmarkStart w:id="13" w:name="_Toc71371891"/>
      <w:bookmarkStart w:id="14" w:name="_Toc77067607"/>
      <w:bookmarkStart w:id="15" w:name="_Toc83209420"/>
      <w:bookmarkStart w:id="16" w:name="_Toc117794503"/>
      <w:bookmarkStart w:id="17" w:name="_Toc85640700"/>
      <w:bookmarkStart w:id="18" w:name="_Toc80588203"/>
      <w:r>
        <w:rPr>
          <w:rFonts w:ascii="Times New Roman" w:hAnsi="Times New Roman" w:cs="Times New Roman" w:eastAsiaTheme="minorEastAsia"/>
          <w:b/>
          <w:bCs/>
          <w:color w:val="000000" w:themeColor="text1"/>
          <w:w w:val="99"/>
          <w:kern w:val="2"/>
          <w:sz w:val="24"/>
          <w:szCs w:val="24"/>
          <w:lang w:val="en-US" w:bidi="ar-SA"/>
          <w14:textFill>
            <w14:solidFill>
              <w14:schemeClr w14:val="tx1"/>
            </w14:solidFill>
          </w14:textFill>
        </w:rPr>
        <w:t>1.2.1项目选址</w:t>
      </w:r>
      <w:bookmarkEnd w:id="6"/>
      <w:bookmarkEnd w:id="7"/>
      <w:bookmarkEnd w:id="8"/>
      <w:bookmarkEnd w:id="9"/>
      <w:bookmarkEnd w:id="10"/>
      <w:bookmarkEnd w:id="11"/>
      <w:bookmarkEnd w:id="12"/>
      <w:bookmarkEnd w:id="13"/>
      <w:bookmarkEnd w:id="14"/>
      <w:bookmarkEnd w:id="15"/>
      <w:bookmarkEnd w:id="16"/>
      <w:bookmarkEnd w:id="17"/>
      <w:bookmarkEnd w:id="18"/>
    </w:p>
    <w:p w14:paraId="778D10AB">
      <w:pPr>
        <w:autoSpaceDE/>
        <w:autoSpaceDN/>
        <w:spacing w:line="440" w:lineRule="exact"/>
        <w:ind w:firstLine="474" w:firstLineChars="200"/>
        <w:rPr>
          <w:rFonts w:ascii="Times New Roman" w:hAnsi="Times New Roman" w:cs="Times New Roman" w:eastAsiaTheme="minorEastAsia"/>
          <w:color w:val="000000" w:themeColor="text1"/>
          <w:w w:val="99"/>
          <w:sz w:val="24"/>
          <w:szCs w:val="24"/>
          <w:highlight w:val="red"/>
          <w:lang w:val="en-US" w:bidi="ar-SA"/>
          <w14:textFill>
            <w14:solidFill>
              <w14:schemeClr w14:val="tx1"/>
            </w14:solidFill>
          </w14:textFill>
        </w:rPr>
      </w:pPr>
      <w:r>
        <w:rPr>
          <w:rFonts w:ascii="Times New Roman" w:hAnsi="Times New Roman" w:cs="Times New Roman" w:eastAsiaTheme="minorEastAsia"/>
          <w:color w:val="0000FF"/>
          <w:w w:val="99"/>
          <w:sz w:val="24"/>
          <w:szCs w:val="24"/>
          <w:lang w:val="en-US" w:bidi="ar-SA"/>
        </w:rPr>
        <w:t>本项目选址位于</w:t>
      </w:r>
      <w:r>
        <w:rPr>
          <w:rFonts w:ascii="Times New Roman" w:hAnsi="Times New Roman" w:cs="Times New Roman" w:eastAsiaTheme="minorEastAsia"/>
          <w:color w:val="0000FF"/>
          <w:w w:val="99"/>
          <w:sz w:val="24"/>
          <w:szCs w:val="24"/>
          <w:lang w:val="en"/>
        </w:rPr>
        <w:t>大庆市</w:t>
      </w:r>
      <w:r>
        <w:rPr>
          <w:rFonts w:hint="eastAsia" w:ascii="Times New Roman" w:hAnsi="Times New Roman" w:cs="Times New Roman" w:eastAsiaTheme="minorEastAsia"/>
          <w:color w:val="0000FF"/>
          <w:w w:val="99"/>
          <w:sz w:val="24"/>
          <w:szCs w:val="24"/>
          <w:lang w:val="en-US" w:eastAsia="zh-CN"/>
        </w:rPr>
        <w:t>红岗区</w:t>
      </w:r>
      <w:r>
        <w:rPr>
          <w:rFonts w:ascii="Times New Roman" w:hAnsi="Times New Roman" w:cs="Times New Roman" w:eastAsiaTheme="minorEastAsia"/>
          <w:color w:val="0000FF"/>
          <w:w w:val="99"/>
          <w:sz w:val="24"/>
          <w:szCs w:val="24"/>
          <w:lang w:val="en"/>
        </w:rPr>
        <w:t>杏树岗</w:t>
      </w:r>
      <w:r>
        <w:rPr>
          <w:rFonts w:hint="eastAsia" w:ascii="Times New Roman" w:hAnsi="Times New Roman" w:cs="Times New Roman" w:eastAsiaTheme="minorEastAsia"/>
          <w:color w:val="0000FF"/>
          <w:w w:val="99"/>
          <w:sz w:val="24"/>
          <w:szCs w:val="24"/>
          <w:lang w:val="en-US" w:eastAsia="zh-CN"/>
        </w:rPr>
        <w:t>镇西侧</w:t>
      </w:r>
      <w:r>
        <w:rPr>
          <w:rFonts w:ascii="Times New Roman" w:hAnsi="Times New Roman" w:cs="Times New Roman" w:eastAsiaTheme="minorEastAsia"/>
          <w:color w:val="0000FF"/>
          <w:w w:val="99"/>
          <w:sz w:val="24"/>
          <w:szCs w:val="24"/>
          <w:lang w:val="en-US" w:bidi="ar-SA"/>
        </w:rPr>
        <w:t>，区域内以耕地、草地为主，项目周边分布有</w:t>
      </w:r>
      <w:r>
        <w:rPr>
          <w:rFonts w:hint="eastAsia" w:ascii="Times New Roman" w:hAnsi="Times New Roman" w:cs="Times New Roman" w:eastAsiaTheme="minorEastAsia"/>
          <w:bCs/>
          <w:color w:val="0000FF"/>
          <w:w w:val="99"/>
          <w:sz w:val="24"/>
          <w:szCs w:val="24"/>
          <w:lang w:val="en-US" w:eastAsia="zh-CN" w:bidi="ar-SA"/>
        </w:rPr>
        <w:t>杏树岗镇</w:t>
      </w:r>
      <w:r>
        <w:rPr>
          <w:rFonts w:ascii="Times New Roman" w:hAnsi="Times New Roman" w:cs="Times New Roman" w:eastAsiaTheme="minorEastAsia"/>
          <w:bCs/>
          <w:color w:val="0000FF"/>
          <w:w w:val="99"/>
          <w:sz w:val="24"/>
          <w:szCs w:val="24"/>
          <w:lang w:val="en-US" w:bidi="ar-SA"/>
        </w:rPr>
        <w:t>、</w:t>
      </w:r>
      <w:r>
        <w:rPr>
          <w:rFonts w:hint="eastAsia" w:ascii="Times New Roman" w:hAnsi="Times New Roman" w:cs="Times New Roman" w:eastAsiaTheme="minorEastAsia"/>
          <w:bCs/>
          <w:color w:val="0000FF"/>
          <w:w w:val="99"/>
          <w:sz w:val="24"/>
          <w:szCs w:val="24"/>
          <w:lang w:val="en-US" w:eastAsia="zh-CN" w:bidi="ar-SA"/>
        </w:rPr>
        <w:t>大同村</w:t>
      </w:r>
      <w:r>
        <w:rPr>
          <w:rFonts w:ascii="Times New Roman" w:hAnsi="Times New Roman" w:cs="Times New Roman" w:eastAsiaTheme="minorEastAsia"/>
          <w:bCs/>
          <w:color w:val="0000FF"/>
          <w:w w:val="99"/>
          <w:sz w:val="24"/>
          <w:szCs w:val="24"/>
          <w:lang w:val="en-US" w:bidi="ar-SA"/>
        </w:rPr>
        <w:t>、</w:t>
      </w:r>
      <w:r>
        <w:rPr>
          <w:rFonts w:hint="eastAsia" w:ascii="Times New Roman" w:hAnsi="Times New Roman" w:cs="Times New Roman" w:eastAsiaTheme="minorEastAsia"/>
          <w:bCs/>
          <w:color w:val="0000FF"/>
          <w:w w:val="99"/>
          <w:sz w:val="24"/>
          <w:szCs w:val="24"/>
          <w:lang w:val="en-US" w:eastAsia="zh-CN" w:bidi="ar-SA"/>
        </w:rPr>
        <w:t>古城子</w:t>
      </w:r>
      <w:r>
        <w:rPr>
          <w:rFonts w:ascii="Times New Roman" w:hAnsi="Times New Roman" w:cs="Times New Roman" w:eastAsiaTheme="minorEastAsia"/>
          <w:color w:val="0000FF"/>
          <w:w w:val="99"/>
          <w:sz w:val="24"/>
          <w:szCs w:val="24"/>
          <w:lang w:val="en-US" w:bidi="ar-SA"/>
        </w:rPr>
        <w:t>等村屯。本工程未在自然保护区、风景名胜区等环境敏感区域内，也不涉及生态保护红线管控范围，区域周边地表水体为古努泡子。本工程占地类型均为耕地（非基本农田）、草地（非基本草原）。本项目不新增永久占地，</w:t>
      </w:r>
      <w:r>
        <w:rPr>
          <w:rFonts w:ascii="Times New Roman" w:hAnsi="Times New Roman" w:cs="Times New Roman" w:eastAsiaTheme="minorEastAsia"/>
          <w:color w:val="000000" w:themeColor="text1"/>
          <w:w w:val="99"/>
          <w:sz w:val="24"/>
          <w:szCs w:val="24"/>
          <w:highlight w:val="red"/>
          <w:lang w:val="en-US" w:bidi="ar-SA"/>
          <w14:textFill>
            <w14:solidFill>
              <w14:schemeClr w14:val="tx1"/>
            </w14:solidFill>
          </w14:textFill>
        </w:rPr>
        <w:t>临时占地面积</w:t>
      </w:r>
      <w:r>
        <w:rPr>
          <w:rFonts w:hint="eastAsia" w:ascii="Times New Roman" w:hAnsi="Times New Roman" w:cs="Times New Roman" w:eastAsiaTheme="minorEastAsia"/>
          <w:color w:val="000000" w:themeColor="text1"/>
          <w:w w:val="99"/>
          <w:sz w:val="24"/>
          <w:szCs w:val="24"/>
          <w:highlight w:val="red"/>
          <w:lang w:val="en-US" w:eastAsia="zh-CN" w:bidi="ar-SA"/>
          <w14:textFill>
            <w14:solidFill>
              <w14:schemeClr w14:val="tx1"/>
            </w14:solidFill>
          </w14:textFill>
        </w:rPr>
        <w:t>4.5hm2</w:t>
      </w:r>
      <w:r>
        <w:rPr>
          <w:rFonts w:ascii="Times New Roman" w:hAnsi="Times New Roman" w:cs="Times New Roman" w:eastAsiaTheme="minorEastAsia"/>
          <w:color w:val="000000" w:themeColor="text1"/>
          <w:w w:val="99"/>
          <w:sz w:val="24"/>
          <w:szCs w:val="24"/>
          <w:highlight w:val="red"/>
          <w:lang w:val="en-US" w:bidi="ar-SA"/>
          <w14:textFill>
            <w14:solidFill>
              <w14:schemeClr w14:val="tx1"/>
            </w14:solidFill>
          </w14:textFill>
        </w:rPr>
        <w:t>。工程总投资</w:t>
      </w:r>
      <w:r>
        <w:rPr>
          <w:rFonts w:ascii="Times New Roman" w:hAnsi="Times New Roman" w:cs="Times New Roman" w:eastAsiaTheme="minorEastAsia"/>
          <w:bCs/>
          <w:color w:val="000000" w:themeColor="text1"/>
          <w:w w:val="99"/>
          <w:sz w:val="24"/>
          <w:szCs w:val="24"/>
          <w:highlight w:val="red"/>
          <w:lang w:val="en-US" w:bidi="ar-SA"/>
          <w14:textFill>
            <w14:solidFill>
              <w14:schemeClr w14:val="tx1"/>
            </w14:solidFill>
          </w14:textFill>
        </w:rPr>
        <w:t>2395.5</w:t>
      </w:r>
      <w:r>
        <w:rPr>
          <w:rFonts w:ascii="Times New Roman" w:hAnsi="Times New Roman" w:cs="Times New Roman" w:eastAsiaTheme="minorEastAsia"/>
          <w:color w:val="000000" w:themeColor="text1"/>
          <w:w w:val="99"/>
          <w:sz w:val="24"/>
          <w:szCs w:val="24"/>
          <w:highlight w:val="red"/>
          <w:lang w:val="en-US" w:bidi="ar-SA"/>
          <w14:textFill>
            <w14:solidFill>
              <w14:schemeClr w14:val="tx1"/>
            </w14:solidFill>
          </w14:textFill>
        </w:rPr>
        <w:t>万元。</w:t>
      </w:r>
    </w:p>
    <w:p w14:paraId="79C56C93">
      <w:pPr>
        <w:autoSpaceDE/>
        <w:autoSpaceDN/>
        <w:spacing w:line="440" w:lineRule="exact"/>
        <w:ind w:firstLine="474" w:firstLineChars="200"/>
        <w:jc w:val="both"/>
        <w:rPr>
          <w:rFonts w:ascii="Times New Roman" w:hAnsi="Times New Roman" w:cs="Times New Roman" w:eastAsiaTheme="minorEastAsia"/>
          <w:color w:val="0000FF"/>
          <w:w w:val="99"/>
          <w:sz w:val="24"/>
          <w:szCs w:val="24"/>
          <w:lang w:val="en-US" w:bidi="ar-SA"/>
        </w:rPr>
      </w:pPr>
      <w:r>
        <w:rPr>
          <w:rFonts w:ascii="Times New Roman" w:hAnsi="Times New Roman" w:cs="Times New Roman" w:eastAsiaTheme="minorEastAsia"/>
          <w:color w:val="0000FF"/>
          <w:w w:val="99"/>
          <w:sz w:val="24"/>
          <w:szCs w:val="24"/>
          <w:lang w:val="en-US" w:bidi="ar-SA"/>
        </w:rPr>
        <w:t>根据《大庆市水土保持规划》（2015～2030年），</w:t>
      </w:r>
      <w:r>
        <w:rPr>
          <w:rFonts w:ascii="Times New Roman" w:hAnsi="Times New Roman" w:cs="Times New Roman" w:eastAsiaTheme="minorEastAsia"/>
          <w:color w:val="0000FF"/>
          <w:w w:val="99"/>
          <w:sz w:val="24"/>
          <w:szCs w:val="24"/>
          <w:lang w:val="en" w:bidi="ar-SA"/>
        </w:rPr>
        <w:t>大庆市划定了市级水土流失重点预防区和重点治理区，本项目位于</w:t>
      </w:r>
      <w:r>
        <w:rPr>
          <w:rFonts w:ascii="Times New Roman" w:hAnsi="Times New Roman" w:cs="Times New Roman" w:eastAsiaTheme="minorEastAsia"/>
          <w:color w:val="0000FF"/>
          <w:w w:val="99"/>
          <w:sz w:val="24"/>
          <w:szCs w:val="24"/>
          <w:lang w:val="en"/>
        </w:rPr>
        <w:t>大庆市</w:t>
      </w:r>
      <w:r>
        <w:rPr>
          <w:rFonts w:hint="eastAsia" w:ascii="Times New Roman" w:hAnsi="Times New Roman" w:cs="Times New Roman" w:eastAsiaTheme="minorEastAsia"/>
          <w:color w:val="0000FF"/>
          <w:w w:val="99"/>
          <w:sz w:val="24"/>
          <w:szCs w:val="24"/>
          <w:lang w:val="en" w:eastAsia="zh-CN"/>
        </w:rPr>
        <w:t>红岗区杏树岗镇</w:t>
      </w:r>
      <w:r>
        <w:rPr>
          <w:rFonts w:ascii="Times New Roman" w:hAnsi="Times New Roman" w:cs="Times New Roman" w:eastAsiaTheme="minorEastAsia"/>
          <w:color w:val="0000FF"/>
          <w:w w:val="99"/>
          <w:sz w:val="24"/>
          <w:szCs w:val="24"/>
          <w:lang w:val="en" w:bidi="ar-SA"/>
        </w:rPr>
        <w:t>，属于市级水土流失重点治理区。</w:t>
      </w:r>
    </w:p>
    <w:p w14:paraId="25E3385E">
      <w:pPr>
        <w:autoSpaceDE/>
        <w:autoSpaceDN/>
        <w:spacing w:line="440" w:lineRule="exact"/>
        <w:ind w:firstLine="474" w:firstLineChars="200"/>
        <w:jc w:val="both"/>
        <w:rPr>
          <w:rFonts w:ascii="Times New Roman" w:hAnsi="Times New Roman" w:cs="Times New Roman" w:eastAsiaTheme="minorEastAsia"/>
          <w:color w:val="0000FF"/>
          <w:w w:val="99"/>
          <w:sz w:val="24"/>
          <w:szCs w:val="24"/>
          <w:lang w:val="en-US" w:bidi="ar-SA"/>
        </w:rPr>
      </w:pPr>
      <w:r>
        <w:rPr>
          <w:rFonts w:ascii="Times New Roman" w:hAnsi="Times New Roman" w:cs="Times New Roman" w:eastAsiaTheme="minorEastAsia"/>
          <w:color w:val="0000FF"/>
          <w:w w:val="99"/>
          <w:kern w:val="2"/>
          <w:sz w:val="24"/>
          <w:szCs w:val="28"/>
          <w:lang w:val="en-US" w:bidi="ar-SA"/>
        </w:rPr>
        <w:t>根据黑龙江省防沙治沙工作领导小组《关于印发&lt;关于贯彻落实《沙化土地封禁保护修复制度方案》的实施意见&gt;的通知》，</w:t>
      </w:r>
      <w:r>
        <w:rPr>
          <w:rFonts w:hint="eastAsia" w:ascii="Times New Roman" w:hAnsi="Times New Roman" w:cs="Times New Roman" w:eastAsiaTheme="minorEastAsia"/>
          <w:color w:val="0000FF"/>
          <w:w w:val="99"/>
          <w:sz w:val="24"/>
          <w:szCs w:val="24"/>
          <w:lang w:val="en" w:eastAsia="zh-CN"/>
        </w:rPr>
        <w:t>红岗区杏树岗镇</w:t>
      </w:r>
      <w:r>
        <w:rPr>
          <w:rFonts w:ascii="Times New Roman" w:hAnsi="Times New Roman" w:cs="Times New Roman" w:eastAsiaTheme="minorEastAsia"/>
          <w:color w:val="0000FF"/>
          <w:w w:val="99"/>
          <w:kern w:val="2"/>
          <w:sz w:val="24"/>
          <w:szCs w:val="28"/>
          <w:lang w:val="en-US" w:bidi="ar-SA"/>
        </w:rPr>
        <w:t>属于沙化土地所在县（区），当重点增加、恢复和保护林草植被，治理土地沙化和草原退化、沙化、碱化。</w:t>
      </w:r>
    </w:p>
    <w:p w14:paraId="18F63675">
      <w:pPr>
        <w:keepNext/>
        <w:keepLines/>
        <w:autoSpaceDE/>
        <w:autoSpaceDN/>
        <w:spacing w:before="60" w:after="60" w:line="440" w:lineRule="exact"/>
        <w:jc w:val="both"/>
        <w:outlineLvl w:val="2"/>
        <w:rPr>
          <w:rFonts w:ascii="Times New Roman" w:hAnsi="Times New Roman" w:cs="Times New Roman" w:eastAsiaTheme="minorEastAsia"/>
          <w:b/>
          <w:bCs/>
          <w:color w:val="000000" w:themeColor="text1"/>
          <w:w w:val="99"/>
          <w:kern w:val="2"/>
          <w:sz w:val="24"/>
          <w:szCs w:val="24"/>
          <w:lang w:val="en-US" w:bidi="ar-SA"/>
          <w14:textFill>
            <w14:solidFill>
              <w14:schemeClr w14:val="tx1"/>
            </w14:solidFill>
          </w14:textFill>
        </w:rPr>
      </w:pPr>
      <w:bookmarkStart w:id="19" w:name="_Toc74812263"/>
      <w:bookmarkStart w:id="20" w:name="_Toc71371892"/>
      <w:bookmarkStart w:id="21" w:name="_Toc83209421"/>
      <w:bookmarkStart w:id="22" w:name="_Toc85640701"/>
      <w:bookmarkStart w:id="23" w:name="_Toc86141884"/>
      <w:bookmarkStart w:id="24" w:name="_Toc80971326"/>
      <w:bookmarkStart w:id="25" w:name="_Toc76976192"/>
      <w:bookmarkStart w:id="26" w:name="_Toc80588204"/>
      <w:bookmarkStart w:id="27" w:name="_Toc117794504"/>
      <w:bookmarkStart w:id="28" w:name="_Toc77067608"/>
      <w:bookmarkStart w:id="29" w:name="_Toc78816409"/>
      <w:bookmarkStart w:id="30" w:name="_Toc110438428"/>
      <w:bookmarkStart w:id="31" w:name="_Toc84929176"/>
      <w:r>
        <w:rPr>
          <w:rFonts w:ascii="Times New Roman" w:hAnsi="Times New Roman" w:cs="Times New Roman" w:eastAsiaTheme="minorEastAsia"/>
          <w:b/>
          <w:bCs/>
          <w:color w:val="000000" w:themeColor="text1"/>
          <w:w w:val="99"/>
          <w:kern w:val="2"/>
          <w:sz w:val="24"/>
          <w:szCs w:val="24"/>
          <w:lang w:val="en-US" w:bidi="ar-SA"/>
          <w14:textFill>
            <w14:solidFill>
              <w14:schemeClr w14:val="tx1"/>
            </w14:solidFill>
          </w14:textFill>
        </w:rPr>
        <w:t>1.2.2工艺特点</w:t>
      </w:r>
      <w:bookmarkEnd w:id="19"/>
      <w:bookmarkEnd w:id="20"/>
      <w:bookmarkEnd w:id="21"/>
      <w:bookmarkEnd w:id="22"/>
      <w:bookmarkEnd w:id="23"/>
      <w:bookmarkEnd w:id="24"/>
      <w:bookmarkEnd w:id="25"/>
      <w:bookmarkEnd w:id="26"/>
      <w:bookmarkEnd w:id="27"/>
      <w:bookmarkEnd w:id="28"/>
      <w:bookmarkEnd w:id="29"/>
      <w:bookmarkEnd w:id="30"/>
      <w:bookmarkEnd w:id="31"/>
    </w:p>
    <w:p w14:paraId="3893E4D8">
      <w:pPr>
        <w:autoSpaceDE/>
        <w:autoSpaceDN/>
        <w:spacing w:line="440" w:lineRule="exact"/>
        <w:ind w:firstLine="474" w:firstLineChars="200"/>
        <w:jc w:val="both"/>
        <w:rPr>
          <w:rFonts w:ascii="Times New Roman" w:hAnsi="Times New Roman" w:cs="Times New Roman" w:eastAsiaTheme="minorEastAsia"/>
          <w:color w:val="0000FF"/>
          <w:w w:val="99"/>
          <w:sz w:val="24"/>
          <w:szCs w:val="24"/>
          <w:lang w:val="en-US" w:bidi="ar-SA"/>
        </w:rPr>
      </w:pPr>
      <w:r>
        <w:rPr>
          <w:rFonts w:ascii="Times New Roman" w:hAnsi="Times New Roman" w:cs="Times New Roman" w:eastAsiaTheme="minorEastAsia"/>
          <w:bCs/>
          <w:color w:val="0000FF"/>
          <w:w w:val="99"/>
          <w:sz w:val="24"/>
          <w:szCs w:val="24"/>
          <w:lang w:val="en-US" w:bidi="ar-SA"/>
        </w:rPr>
        <w:t>本工程施工期主要内容包括</w:t>
      </w:r>
      <w:r>
        <w:rPr>
          <w:rFonts w:ascii="Times New Roman" w:hAnsi="Times New Roman" w:cs="Times New Roman" w:eastAsiaTheme="minorEastAsia"/>
          <w:bCs/>
          <w:color w:val="0000FF"/>
          <w:w w:val="99"/>
          <w:sz w:val="24"/>
          <w:szCs w:val="24"/>
          <w:lang w:val="en-US" w:eastAsia="zh-CN" w:bidi="ar-SA"/>
        </w:rPr>
        <w:t>在已建加药间内新建流动增强剂加药装置 1 套</w:t>
      </w:r>
      <w:r>
        <w:rPr>
          <w:rFonts w:ascii="Times New Roman" w:hAnsi="Times New Roman" w:cs="Times New Roman" w:eastAsiaTheme="minorEastAsia"/>
          <w:bCs/>
          <w:color w:val="0000FF"/>
          <w:w w:val="99"/>
          <w:sz w:val="24"/>
          <w:szCs w:val="24"/>
          <w:lang w:val="en-US" w:bidi="ar-SA"/>
        </w:rPr>
        <w:t>，</w:t>
      </w:r>
      <w:r>
        <w:rPr>
          <w:rFonts w:ascii="Times New Roman" w:hAnsi="Times New Roman" w:cs="Times New Roman" w:eastAsiaTheme="minorEastAsia"/>
          <w:bCs/>
          <w:color w:val="0000FF"/>
          <w:w w:val="99"/>
          <w:sz w:val="24"/>
          <w:szCs w:val="24"/>
          <w:lang w:val="en-US" w:eastAsia="zh-CN" w:bidi="ar-SA"/>
        </w:rPr>
        <w:t>为 3 台掺水泵和 1 台热洗泵</w:t>
      </w:r>
      <w:r>
        <w:rPr>
          <w:rFonts w:hint="eastAsia" w:ascii="Times New Roman" w:hAnsi="Times New Roman" w:cs="Times New Roman" w:eastAsiaTheme="minorEastAsia"/>
          <w:bCs/>
          <w:color w:val="0000FF"/>
          <w:w w:val="99"/>
          <w:sz w:val="24"/>
          <w:szCs w:val="24"/>
          <w:lang w:val="en-US" w:eastAsia="zh-CN" w:bidi="ar-SA"/>
        </w:rPr>
        <w:t>安装</w:t>
      </w:r>
      <w:r>
        <w:rPr>
          <w:rFonts w:ascii="Times New Roman" w:hAnsi="Times New Roman" w:cs="Times New Roman" w:eastAsiaTheme="minorEastAsia"/>
          <w:bCs/>
          <w:color w:val="0000FF"/>
          <w:w w:val="99"/>
          <w:sz w:val="24"/>
          <w:szCs w:val="24"/>
          <w:lang w:val="en-US" w:eastAsia="zh-CN" w:bidi="ar-SA"/>
        </w:rPr>
        <w:t>单台耗电计量</w:t>
      </w:r>
      <w:r>
        <w:rPr>
          <w:rFonts w:hint="eastAsia" w:ascii="Times New Roman" w:hAnsi="Times New Roman" w:cs="Times New Roman" w:eastAsiaTheme="minorEastAsia"/>
          <w:bCs/>
          <w:color w:val="0000FF"/>
          <w:w w:val="99"/>
          <w:sz w:val="24"/>
          <w:szCs w:val="24"/>
          <w:lang w:val="en-US" w:eastAsia="zh-CN" w:bidi="ar-SA"/>
        </w:rPr>
        <w:t>，每座计量间更换掺水流量计共10台，每座计量间内总掺水管线上加装 Y 型管道过滤器共10台，在计量间外单井掺水管线安装机械式掺水调节装置（计量间用）共计 64 台，每口油井新建机械式掺水调节装置（井口用）共 98 套</w:t>
      </w:r>
      <w:r>
        <w:rPr>
          <w:rFonts w:hint="default" w:ascii="Times New Roman" w:hAnsi="Times New Roman" w:cs="Times New Roman" w:eastAsiaTheme="minorEastAsia"/>
          <w:bCs/>
          <w:color w:val="0000FF"/>
          <w:w w:val="99"/>
          <w:sz w:val="24"/>
          <w:szCs w:val="24"/>
          <w:lang w:val="en-US" w:eastAsia="zh-CN" w:bidi="ar-SA"/>
        </w:rPr>
        <w:t>,新建环中井、环尾井掺水管线φ48×3.5 管线 4.5km</w:t>
      </w:r>
      <w:r>
        <w:rPr>
          <w:rFonts w:ascii="Times New Roman" w:hAnsi="Times New Roman" w:cs="Times New Roman" w:eastAsiaTheme="minorEastAsia"/>
          <w:bCs/>
          <w:color w:val="0000FF"/>
          <w:w w:val="99"/>
          <w:sz w:val="24"/>
          <w:szCs w:val="24"/>
          <w:lang w:val="en-US"/>
        </w:rPr>
        <w:t>，</w:t>
      </w:r>
      <w:r>
        <w:rPr>
          <w:rFonts w:ascii="Times New Roman" w:hAnsi="Times New Roman" w:cs="Times New Roman" w:eastAsiaTheme="minorEastAsia"/>
          <w:bCs/>
          <w:color w:val="0000FF"/>
          <w:w w:val="99"/>
          <w:sz w:val="24"/>
          <w:szCs w:val="24"/>
          <w:lang w:val="en-US" w:bidi="ar-SA"/>
        </w:rPr>
        <w:t>管沟开挖采用挖掘机等机械及人工辅助清理完成，施工作业面宽10m，施工结束后临时占地</w:t>
      </w:r>
      <w:r>
        <w:rPr>
          <w:rFonts w:hint="eastAsia" w:ascii="Times New Roman" w:hAnsi="Times New Roman" w:cs="Times New Roman" w:eastAsiaTheme="minorEastAsia"/>
          <w:bCs/>
          <w:color w:val="0000FF"/>
          <w:w w:val="99"/>
          <w:sz w:val="24"/>
          <w:szCs w:val="24"/>
          <w:lang w:val="en-US" w:bidi="ar-SA"/>
        </w:rPr>
        <w:t>地表植被</w:t>
      </w:r>
      <w:r>
        <w:rPr>
          <w:rFonts w:ascii="Times New Roman" w:hAnsi="Times New Roman" w:cs="Times New Roman" w:eastAsiaTheme="minorEastAsia"/>
          <w:bCs/>
          <w:color w:val="0000FF"/>
          <w:w w:val="99"/>
          <w:sz w:val="24"/>
          <w:szCs w:val="24"/>
          <w:lang w:val="en-US" w:bidi="ar-SA"/>
        </w:rPr>
        <w:t>。</w:t>
      </w:r>
    </w:p>
    <w:p w14:paraId="1CBF111B">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highlight w:val="red"/>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highlight w:val="red"/>
          <w:lang w:val="en-US" w:bidi="ar-SA"/>
          <w14:textFill>
            <w14:solidFill>
              <w14:schemeClr w14:val="tx1"/>
            </w14:solidFill>
          </w14:textFill>
        </w:rPr>
        <w:t>本项目</w:t>
      </w:r>
      <w:r>
        <w:rPr>
          <w:rFonts w:ascii="Times New Roman" w:hAnsi="Times New Roman" w:cs="Times New Roman" w:eastAsiaTheme="minorEastAsia"/>
          <w:color w:val="000000" w:themeColor="text1"/>
          <w:w w:val="99"/>
          <w:sz w:val="24"/>
          <w:szCs w:val="24"/>
          <w:highlight w:val="red"/>
          <w:lang w:val="en-US" w:bidi="ar-SA"/>
          <w14:textFill>
            <w14:solidFill>
              <w14:schemeClr w14:val="tx1"/>
            </w14:solidFill>
          </w14:textFill>
        </w:rPr>
        <w:t>运营期已建油井</w:t>
      </w:r>
      <w:r>
        <w:rPr>
          <w:rFonts w:ascii="Times New Roman" w:hAnsi="Times New Roman" w:cs="Times New Roman" w:eastAsiaTheme="minorEastAsia"/>
          <w:color w:val="000000" w:themeColor="text1"/>
          <w:w w:val="99"/>
          <w:kern w:val="2"/>
          <w:sz w:val="24"/>
          <w:szCs w:val="24"/>
          <w:highlight w:val="red"/>
          <w:lang w:val="en-US" w:bidi="ar-SA"/>
          <w14:textFill>
            <w14:solidFill>
              <w14:schemeClr w14:val="tx1"/>
            </w14:solidFill>
          </w14:textFill>
        </w:rPr>
        <w:t>采取树状电加热流程将原拉油点产液集中输送至新建混输阀组间，再增压混输至龙一联合站内。</w:t>
      </w:r>
    </w:p>
    <w:p w14:paraId="68FFFC18">
      <w:pPr>
        <w:pStyle w:val="4"/>
        <w:tabs>
          <w:tab w:val="left" w:pos="751"/>
        </w:tabs>
        <w:spacing w:before="120" w:after="120" w:line="440" w:lineRule="exact"/>
        <w:ind w:left="0" w:firstLine="0"/>
        <w:jc w:val="both"/>
        <w:rPr>
          <w:rFonts w:ascii="Times New Roman" w:hAnsi="Times New Roman" w:cs="Times New Roman" w:eastAsiaTheme="minorEastAsia"/>
          <w:b/>
          <w:bCs/>
          <w:color w:val="000000" w:themeColor="text1"/>
          <w:w w:val="99"/>
          <w:sz w:val="28"/>
          <w:szCs w:val="28"/>
          <w:lang w:val="en-US"/>
          <w14:textFill>
            <w14:solidFill>
              <w14:schemeClr w14:val="tx1"/>
            </w14:solidFill>
          </w14:textFill>
        </w:rPr>
      </w:pPr>
      <w:bookmarkStart w:id="32" w:name="_bookmark3"/>
      <w:bookmarkEnd w:id="32"/>
      <w:bookmarkStart w:id="33" w:name="_Toc117794505"/>
      <w:r>
        <w:rPr>
          <w:rFonts w:ascii="Times New Roman" w:hAnsi="Times New Roman" w:cs="Times New Roman" w:eastAsiaTheme="minorEastAsia"/>
          <w:b/>
          <w:bCs/>
          <w:color w:val="000000" w:themeColor="text1"/>
          <w:w w:val="99"/>
          <w:sz w:val="28"/>
          <w:szCs w:val="28"/>
          <w:lang w:val="en-US"/>
          <w14:textFill>
            <w14:solidFill>
              <w14:schemeClr w14:val="tx1"/>
            </w14:solidFill>
          </w14:textFill>
        </w:rPr>
        <w:t>1.3 环境影响评价的工作过程</w:t>
      </w:r>
      <w:bookmarkEnd w:id="33"/>
    </w:p>
    <w:p w14:paraId="3F7702E7">
      <w:pPr>
        <w:pStyle w:val="31"/>
        <w:spacing w:line="440" w:lineRule="exact"/>
        <w:ind w:firstLine="474" w:firstLineChars="200"/>
        <w:jc w:val="both"/>
        <w:rPr>
          <w:rFonts w:ascii="Times New Roman" w:hAnsi="Times New Roman" w:cs="Times New Roman" w:eastAsiaTheme="minorEastAsia"/>
          <w:color w:val="0000FF"/>
          <w:w w:val="99"/>
          <w:sz w:val="24"/>
          <w:szCs w:val="24"/>
          <w:lang w:val="en-US"/>
        </w:rPr>
      </w:pPr>
      <w:r>
        <w:rPr>
          <w:rFonts w:ascii="Times New Roman" w:hAnsi="Times New Roman" w:cs="Times New Roman" w:eastAsiaTheme="minorEastAsia"/>
          <w:color w:val="0000FF"/>
          <w:w w:val="99"/>
          <w:sz w:val="24"/>
          <w:szCs w:val="24"/>
          <w:lang w:val="en-US"/>
        </w:rPr>
        <w:t>我单位接收委托后，按照《中华人民共和国环境保护法》(2015.1.1)、《中华人民共和国环境影响评价法》(2018.12.29)等国家有关环境影响评价规范、技术导则及环境保护管理部门的要求，依次完成以下环境影响评价工作：</w:t>
      </w:r>
    </w:p>
    <w:p w14:paraId="53B73E1F">
      <w:pPr>
        <w:pStyle w:val="31"/>
        <w:spacing w:line="440" w:lineRule="exact"/>
        <w:ind w:firstLine="474" w:firstLineChars="200"/>
        <w:jc w:val="both"/>
        <w:rPr>
          <w:rFonts w:ascii="Times New Roman" w:hAnsi="Times New Roman" w:cs="Times New Roman" w:eastAsiaTheme="minorEastAsia"/>
          <w:color w:val="0000FF"/>
          <w:w w:val="99"/>
          <w:sz w:val="24"/>
          <w:szCs w:val="24"/>
          <w:lang w:val="en-US"/>
        </w:rPr>
      </w:pPr>
      <w:r>
        <w:rPr>
          <w:rFonts w:ascii="Times New Roman" w:hAnsi="Times New Roman" w:cs="Times New Roman" w:eastAsiaTheme="minorEastAsia"/>
          <w:color w:val="0000FF"/>
          <w:w w:val="99"/>
          <w:sz w:val="24"/>
          <w:szCs w:val="24"/>
          <w:lang w:val="en-US"/>
        </w:rPr>
        <w:t>第一阶段：首先，依据《建设项目环境影响评价分类管理名录》（2021年版）规定，确定</w:t>
      </w:r>
      <w:r>
        <w:rPr>
          <w:rFonts w:hint="eastAsia" w:ascii="Times New Roman" w:hAnsi="Times New Roman" w:cs="Times New Roman" w:eastAsiaTheme="minorEastAsia"/>
          <w:color w:val="0000FF"/>
          <w:w w:val="99"/>
          <w:sz w:val="24"/>
          <w:szCs w:val="24"/>
          <w:lang w:val="en-US" w:eastAsia="zh-CN"/>
        </w:rPr>
        <w:t>第五采油厂杏南二转油站及站外系统改造工程项目</w:t>
      </w:r>
      <w:r>
        <w:rPr>
          <w:rFonts w:ascii="Times New Roman" w:hAnsi="Times New Roman" w:cs="Times New Roman" w:eastAsiaTheme="minorEastAsia"/>
          <w:color w:val="0000FF"/>
          <w:w w:val="99"/>
          <w:sz w:val="24"/>
          <w:szCs w:val="24"/>
          <w:lang w:val="en-US"/>
        </w:rPr>
        <w:t>环境影响评价技术文件类型为环境影响报告书。</w:t>
      </w:r>
    </w:p>
    <w:p w14:paraId="37D6FBCF">
      <w:pPr>
        <w:pStyle w:val="31"/>
        <w:spacing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FF"/>
          <w:w w:val="99"/>
          <w:sz w:val="24"/>
          <w:szCs w:val="24"/>
          <w:lang w:val="en-US"/>
        </w:rPr>
        <w:t>其次，在仔细研究项目地面工程建设方案的基础上，进行了初步工程分析，对项目所在区域进行实地踏勘和调研，了解项目周围情况。在此基础上，完成环境影响因素识别、评价因子筛选、评价重点和主要环境保护目标确定等工作。通过对项目概况及周围环境敏感性分析确定：</w:t>
      </w:r>
      <w:r>
        <w:rPr>
          <w:rFonts w:ascii="Times New Roman" w:hAnsi="Times New Roman" w:cs="Times New Roman" w:eastAsiaTheme="minorEastAsia"/>
          <w:color w:val="000000" w:themeColor="text1"/>
          <w:w w:val="99"/>
          <w:sz w:val="24"/>
          <w:szCs w:val="24"/>
          <w:highlight w:val="yellow"/>
          <w:lang w:val="en-US"/>
          <w14:textFill>
            <w14:solidFill>
              <w14:schemeClr w14:val="tx1"/>
            </w14:solidFill>
          </w14:textFill>
        </w:rPr>
        <w:t>确定本项目大气环境影响评价工作等级为三级；声环境影响评价工作等级确定为二级；地下水环境影响评价工作等级为二级；生态环境影响评价工作等级为三级；土壤环境影响评价工作等级为一级；地表水环境影响评价工作等级为三级B。并以此确定评价范围和评价标准，制定了工作方案。</w:t>
      </w:r>
    </w:p>
    <w:p w14:paraId="4D871827">
      <w:pPr>
        <w:pStyle w:val="31"/>
        <w:spacing w:line="440" w:lineRule="exact"/>
        <w:ind w:firstLine="474" w:firstLineChars="200"/>
        <w:jc w:val="both"/>
        <w:rPr>
          <w:rFonts w:ascii="Times New Roman" w:hAnsi="Times New Roman" w:cs="Times New Roman" w:eastAsiaTheme="minorEastAsia"/>
          <w:color w:val="0000FF"/>
          <w:w w:val="99"/>
          <w:sz w:val="24"/>
          <w:szCs w:val="24"/>
          <w:lang w:val="en-US"/>
        </w:rPr>
      </w:pPr>
      <w:r>
        <w:rPr>
          <w:rFonts w:ascii="Times New Roman" w:hAnsi="Times New Roman" w:cs="Times New Roman" w:eastAsiaTheme="minorEastAsia"/>
          <w:color w:val="0000FF"/>
          <w:w w:val="99"/>
          <w:sz w:val="24"/>
          <w:szCs w:val="24"/>
          <w:lang w:val="en-US"/>
        </w:rPr>
        <w:t>第二阶段：根据工作方案，针对各环境要素的评价工作等级，调查了评价范围内的环境状况，制定了监测方案。并进行了详细的项目工程分析，在环境质量现状监测与评价的基础上，进行各环境要素的环境影响预测和评价，编制完成各专题环境影响分析与评价章节。</w:t>
      </w:r>
    </w:p>
    <w:p w14:paraId="52B675D8">
      <w:pPr>
        <w:pStyle w:val="31"/>
        <w:spacing w:line="440" w:lineRule="exact"/>
        <w:ind w:firstLine="474" w:firstLineChars="200"/>
        <w:jc w:val="both"/>
        <w:rPr>
          <w:rFonts w:ascii="Times New Roman" w:hAnsi="Times New Roman" w:cs="Times New Roman" w:eastAsiaTheme="minorEastAsia"/>
          <w:color w:val="0000FF"/>
          <w:w w:val="99"/>
          <w:sz w:val="24"/>
          <w:szCs w:val="24"/>
          <w:lang w:val="en-US"/>
        </w:rPr>
      </w:pPr>
      <w:r>
        <w:rPr>
          <w:rFonts w:ascii="Times New Roman" w:hAnsi="Times New Roman" w:cs="Times New Roman" w:eastAsiaTheme="minorEastAsia"/>
          <w:color w:val="0000FF"/>
          <w:w w:val="99"/>
          <w:sz w:val="24"/>
          <w:szCs w:val="24"/>
          <w:lang w:val="en-US"/>
        </w:rPr>
        <w:t>第三阶段：通过工程分析、环境影响分析的结果，确定项目所采取的环保措施，并对其技术、经济可行性进行论证，进一步完善环保措施，给出污染物排放清单，完成报告的编制。具体环境影响评价工作程序见下图。</w:t>
      </w:r>
    </w:p>
    <w:p w14:paraId="3CD3CBF7">
      <w:pPr>
        <w:pStyle w:val="31"/>
        <w:jc w:val="center"/>
        <w:rPr>
          <w:rFonts w:ascii="Times New Roman" w:hAnsi="Times New Roman" w:cs="Times New Roman" w:eastAsiaTheme="minorEastAsia"/>
          <w:color w:val="0000FF"/>
          <w:w w:val="99"/>
        </w:rPr>
      </w:pPr>
      <w:r>
        <w:rPr>
          <w:rFonts w:ascii="Times New Roman" w:hAnsi="Times New Roman" w:cs="Times New Roman" w:eastAsiaTheme="minorEastAsia"/>
          <w:color w:val="0000FF"/>
          <w:w w:val="99"/>
          <w:lang w:val="en-US" w:bidi="ar-SA"/>
        </w:rPr>
        <w:drawing>
          <wp:inline distT="0" distB="0" distL="0" distR="0">
            <wp:extent cx="4846955" cy="4644390"/>
            <wp:effectExtent l="0" t="0" r="10795" b="381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2" cstate="print"/>
                    <a:stretch>
                      <a:fillRect/>
                    </a:stretch>
                  </pic:blipFill>
                  <pic:spPr>
                    <a:xfrm>
                      <a:off x="0" y="0"/>
                      <a:ext cx="4846955" cy="4644390"/>
                    </a:xfrm>
                    <a:prstGeom prst="rect">
                      <a:avLst/>
                    </a:prstGeom>
                  </pic:spPr>
                </pic:pic>
              </a:graphicData>
            </a:graphic>
          </wp:inline>
        </w:drawing>
      </w:r>
    </w:p>
    <w:p w14:paraId="24449D2C">
      <w:pPr>
        <w:pStyle w:val="31"/>
        <w:spacing w:line="440" w:lineRule="exact"/>
        <w:ind w:firstLine="476" w:firstLineChars="200"/>
        <w:jc w:val="center"/>
        <w:rPr>
          <w:rFonts w:ascii="Times New Roman" w:hAnsi="Times New Roman" w:cs="Times New Roman" w:eastAsiaTheme="minorEastAsia"/>
          <w:color w:val="0000FF"/>
          <w:w w:val="99"/>
        </w:rPr>
      </w:pPr>
      <w:bookmarkStart w:id="34" w:name="_bookmark4"/>
      <w:bookmarkEnd w:id="34"/>
      <w:r>
        <w:rPr>
          <w:rFonts w:ascii="Times New Roman" w:hAnsi="Times New Roman" w:cs="Times New Roman" w:eastAsiaTheme="minorEastAsia"/>
          <w:b/>
          <w:bCs/>
          <w:color w:val="0000FF"/>
          <w:w w:val="99"/>
          <w:sz w:val="24"/>
        </w:rPr>
        <w:t>图1.</w:t>
      </w:r>
      <w:r>
        <w:rPr>
          <w:rFonts w:ascii="Times New Roman" w:hAnsi="Times New Roman" w:cs="Times New Roman" w:eastAsiaTheme="minorEastAsia"/>
          <w:b/>
          <w:bCs/>
          <w:color w:val="0000FF"/>
          <w:w w:val="99"/>
          <w:sz w:val="24"/>
          <w:lang w:val="en-US"/>
        </w:rPr>
        <w:t>3</w:t>
      </w:r>
      <w:r>
        <w:rPr>
          <w:rFonts w:ascii="Times New Roman" w:hAnsi="Times New Roman" w:cs="Times New Roman" w:eastAsiaTheme="minorEastAsia"/>
          <w:b/>
          <w:bCs/>
          <w:color w:val="0000FF"/>
          <w:w w:val="99"/>
          <w:sz w:val="24"/>
        </w:rPr>
        <w:t>-1</w:t>
      </w:r>
      <w:r>
        <w:rPr>
          <w:rFonts w:ascii="Times New Roman" w:hAnsi="Times New Roman" w:cs="Times New Roman" w:eastAsiaTheme="minorEastAsia"/>
          <w:b/>
          <w:bCs/>
          <w:color w:val="0000FF"/>
          <w:w w:val="99"/>
          <w:sz w:val="24"/>
          <w:lang w:val="en-US"/>
        </w:rPr>
        <w:t xml:space="preserve">    </w:t>
      </w:r>
      <w:r>
        <w:rPr>
          <w:rFonts w:ascii="Times New Roman" w:hAnsi="Times New Roman" w:cs="Times New Roman" w:eastAsiaTheme="minorEastAsia"/>
          <w:b/>
          <w:bCs/>
          <w:color w:val="0000FF"/>
          <w:w w:val="99"/>
          <w:sz w:val="24"/>
        </w:rPr>
        <w:t>建设项目环境影响评价工作程序图</w:t>
      </w:r>
    </w:p>
    <w:p w14:paraId="774E5DAC">
      <w:pPr>
        <w:pStyle w:val="31"/>
        <w:spacing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202</w:t>
      </w:r>
      <w:r>
        <w:rPr>
          <w:rFonts w:hint="eastAsia" w:ascii="Times New Roman" w:hAnsi="Times New Roman" w:cs="Times New Roman" w:eastAsiaTheme="minorEastAsia"/>
          <w:color w:val="000000" w:themeColor="text1"/>
          <w:w w:val="99"/>
          <w:sz w:val="24"/>
          <w:szCs w:val="24"/>
          <w:lang w:val="en-US" w:eastAsia="zh-CN"/>
          <w14:textFill>
            <w14:solidFill>
              <w14:schemeClr w14:val="tx1"/>
            </w14:solidFill>
          </w14:textFill>
        </w:rPr>
        <w:t>4</w:t>
      </w:r>
      <w:r>
        <w:rPr>
          <w:rFonts w:ascii="Times New Roman" w:hAnsi="Times New Roman" w:cs="Times New Roman" w:eastAsiaTheme="minorEastAsia"/>
          <w:color w:val="000000" w:themeColor="text1"/>
          <w:w w:val="99"/>
          <w:sz w:val="24"/>
          <w:szCs w:val="24"/>
          <w:lang w:val="en-US"/>
          <w14:textFill>
            <w14:solidFill>
              <w14:schemeClr w14:val="tx1"/>
            </w14:solidFill>
          </w14:textFill>
        </w:rPr>
        <w:t>年</w:t>
      </w:r>
      <w:r>
        <w:rPr>
          <w:rFonts w:hint="eastAsia" w:ascii="Times New Roman" w:hAnsi="Times New Roman" w:cs="Times New Roman" w:eastAsiaTheme="minorEastAsia"/>
          <w:color w:val="000000" w:themeColor="text1"/>
          <w:w w:val="99"/>
          <w:sz w:val="24"/>
          <w:szCs w:val="24"/>
          <w:lang w:val="en-US" w:eastAsia="zh-CN"/>
          <w14:textFill>
            <w14:solidFill>
              <w14:schemeClr w14:val="tx1"/>
            </w14:solidFill>
          </w14:textFill>
        </w:rPr>
        <w:t>12</w:t>
      </w:r>
      <w:r>
        <w:rPr>
          <w:rFonts w:ascii="Times New Roman" w:hAnsi="Times New Roman" w:cs="Times New Roman" w:eastAsiaTheme="minorEastAsia"/>
          <w:color w:val="000000" w:themeColor="text1"/>
          <w:w w:val="99"/>
          <w:sz w:val="24"/>
          <w:szCs w:val="24"/>
          <w:lang w:val="en-US"/>
          <w14:textFill>
            <w14:solidFill>
              <w14:schemeClr w14:val="tx1"/>
            </w14:solidFill>
          </w14:textFill>
        </w:rPr>
        <w:t>月大庆油田有限责任公司</w:t>
      </w:r>
      <w:r>
        <w:rPr>
          <w:rFonts w:hint="eastAsia" w:ascii="Times New Roman" w:hAnsi="Times New Roman" w:cs="Times New Roman" w:eastAsiaTheme="minorEastAsia"/>
          <w:color w:val="000000" w:themeColor="text1"/>
          <w:w w:val="99"/>
          <w:sz w:val="24"/>
          <w:szCs w:val="24"/>
          <w:lang w:val="en-US" w:eastAsia="zh-CN"/>
          <w14:textFill>
            <w14:solidFill>
              <w14:schemeClr w14:val="tx1"/>
            </w14:solidFill>
          </w14:textFill>
        </w:rPr>
        <w:t>第五采油厂</w:t>
      </w:r>
      <w:r>
        <w:rPr>
          <w:rFonts w:ascii="Times New Roman" w:hAnsi="Times New Roman" w:cs="Times New Roman" w:eastAsiaTheme="minorEastAsia"/>
          <w:color w:val="000000" w:themeColor="text1"/>
          <w:w w:val="99"/>
          <w:sz w:val="24"/>
          <w:szCs w:val="24"/>
          <w:lang w:val="en-US"/>
          <w14:textFill>
            <w14:solidFill>
              <w14:schemeClr w14:val="tx1"/>
            </w14:solidFill>
          </w14:textFill>
        </w:rPr>
        <w:t>委托</w:t>
      </w:r>
      <w:r>
        <w:rPr>
          <w:rFonts w:hint="eastAsia" w:ascii="Times New Roman" w:hAnsi="Times New Roman" w:cs="Times New Roman" w:eastAsiaTheme="minorEastAsia"/>
          <w:color w:val="000000" w:themeColor="text1"/>
          <w:w w:val="99"/>
          <w:sz w:val="24"/>
          <w:szCs w:val="24"/>
          <w:lang w:val="en-US" w:eastAsia="zh-CN"/>
          <w14:textFill>
            <w14:solidFill>
              <w14:schemeClr w14:val="tx1"/>
            </w14:solidFill>
          </w14:textFill>
        </w:rPr>
        <w:t>湖南葆华环保有限公司</w:t>
      </w:r>
      <w:r>
        <w:rPr>
          <w:rFonts w:ascii="Times New Roman" w:hAnsi="Times New Roman" w:cs="Times New Roman" w:eastAsiaTheme="minorEastAsia"/>
          <w:color w:val="000000" w:themeColor="text1"/>
          <w:w w:val="99"/>
          <w:sz w:val="24"/>
          <w:szCs w:val="24"/>
          <w:lang w:val="en-US"/>
          <w14:textFill>
            <w14:solidFill>
              <w14:schemeClr w14:val="tx1"/>
            </w14:solidFill>
          </w14:textFill>
        </w:rPr>
        <w:t>编制《</w:t>
      </w:r>
      <w:r>
        <w:rPr>
          <w:rFonts w:hint="eastAsia" w:ascii="Times New Roman" w:hAnsi="Times New Roman" w:cs="Times New Roman" w:eastAsiaTheme="minorEastAsia"/>
          <w:color w:val="000000" w:themeColor="text1"/>
          <w:w w:val="99"/>
          <w:sz w:val="24"/>
          <w:szCs w:val="24"/>
          <w:lang w:val="en-US" w:eastAsia="zh-CN"/>
          <w14:textFill>
            <w14:solidFill>
              <w14:schemeClr w14:val="tx1"/>
            </w14:solidFill>
          </w14:textFill>
        </w:rPr>
        <w:t>第五采油厂杏南二转油站及站外系统改造工程项目</w:t>
      </w:r>
      <w:r>
        <w:rPr>
          <w:rFonts w:ascii="Times New Roman" w:hAnsi="Times New Roman" w:cs="Times New Roman" w:eastAsiaTheme="minorEastAsia"/>
          <w:color w:val="000000" w:themeColor="text1"/>
          <w:w w:val="99"/>
          <w:sz w:val="24"/>
          <w:szCs w:val="24"/>
          <w:lang w:val="en-US"/>
          <w14:textFill>
            <w14:solidFill>
              <w14:schemeClr w14:val="tx1"/>
            </w14:solidFill>
          </w14:textFill>
        </w:rPr>
        <w:t>环境影响报告书》，本项目环评委托后，建设单位依据《中华人民共和国环境影响评价法》、《环境影响评价公众参与办法》及建设项目环境影响评价的相关规定开展项目的公众参与工作并单独出具公众参与说明。公众参与工作采用网络公示、报纸公示以及张贴公告等相结合的方式进行。</w:t>
      </w:r>
    </w:p>
    <w:p w14:paraId="146C94A3">
      <w:pPr>
        <w:pStyle w:val="31"/>
        <w:spacing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建设项目首次环境影响评价信息公开之日为202</w:t>
      </w:r>
      <w:r>
        <w:rPr>
          <w:rFonts w:hint="eastAsia" w:ascii="Times New Roman" w:hAnsi="Times New Roman" w:cs="Times New Roman" w:eastAsiaTheme="minorEastAsia"/>
          <w:color w:val="000000" w:themeColor="text1"/>
          <w:w w:val="99"/>
          <w:kern w:val="2"/>
          <w:sz w:val="24"/>
          <w:szCs w:val="24"/>
          <w:lang w:val="en-US" w:eastAsia="zh-CN" w:bidi="ar-SA"/>
          <w14:textFill>
            <w14:solidFill>
              <w14:schemeClr w14:val="tx1"/>
            </w14:solidFill>
          </w14:textFill>
        </w:rPr>
        <w:t>4</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年</w:t>
      </w:r>
      <w:r>
        <w:rPr>
          <w:rFonts w:hint="eastAsia" w:ascii="Times New Roman" w:hAnsi="Times New Roman" w:cs="Times New Roman" w:eastAsiaTheme="minorEastAsia"/>
          <w:color w:val="000000" w:themeColor="text1"/>
          <w:w w:val="99"/>
          <w:kern w:val="2"/>
          <w:sz w:val="24"/>
          <w:szCs w:val="24"/>
          <w:lang w:val="en-US" w:eastAsia="zh-CN" w:bidi="ar-SA"/>
          <w14:textFill>
            <w14:solidFill>
              <w14:schemeClr w14:val="tx1"/>
            </w14:solidFill>
          </w14:textFill>
        </w:rPr>
        <w:t>12</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月</w:t>
      </w:r>
      <w:r>
        <w:rPr>
          <w:rFonts w:ascii="Times New Roman" w:hAnsi="Times New Roman" w:cs="Times New Roman" w:eastAsiaTheme="minorEastAsia"/>
          <w:color w:val="000000" w:themeColor="text1"/>
          <w:w w:val="99"/>
          <w:kern w:val="2"/>
          <w:sz w:val="24"/>
          <w:szCs w:val="24"/>
          <w:highlight w:val="red"/>
          <w:lang w:val="en-US" w:bidi="ar-SA"/>
          <w14:textFill>
            <w14:solidFill>
              <w14:schemeClr w14:val="tx1"/>
            </w14:solidFill>
          </w14:textFill>
        </w:rPr>
        <w:t>22日</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，通过黑龙江环保技术</w:t>
      </w:r>
      <w:r>
        <w:rPr>
          <w:rFonts w:hint="eastAsia" w:ascii="Times New Roman" w:hAnsi="Times New Roman" w:cs="Times New Roman" w:eastAsiaTheme="minorEastAsia"/>
          <w:color w:val="000000" w:themeColor="text1"/>
          <w:w w:val="99"/>
          <w:kern w:val="2"/>
          <w:sz w:val="24"/>
          <w:szCs w:val="24"/>
          <w:lang w:val="en-US" w:bidi="ar-SA"/>
          <w14:textFill>
            <w14:solidFill>
              <w14:schemeClr w14:val="tx1"/>
            </w14:solidFill>
          </w14:textFill>
        </w:rPr>
        <w:t>服务</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网</w:t>
      </w:r>
      <w:r>
        <w:rPr>
          <w:rFonts w:ascii="Times New Roman" w:hAnsi="Times New Roman" w:cs="Times New Roman" w:eastAsiaTheme="minorEastAsia"/>
          <w:color w:val="000000" w:themeColor="text1"/>
          <w:w w:val="99"/>
          <w:kern w:val="2"/>
          <w:sz w:val="24"/>
          <w:szCs w:val="24"/>
          <w:highlight w:val="red"/>
          <w:lang w:val="en-US" w:bidi="ar-SA"/>
          <w14:textFill>
            <w14:solidFill>
              <w14:schemeClr w14:val="tx1"/>
            </w14:solidFill>
          </w14:textFill>
        </w:rPr>
        <w:t>（网址为http://www.hljhbjsfw.cn/NewsDetail.aspx?ID=511）</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公开，征求意见稿公示日期为</w:t>
      </w:r>
      <w:r>
        <w:rPr>
          <w:rFonts w:ascii="Times New Roman" w:hAnsi="Times New Roman" w:cs="Times New Roman" w:eastAsiaTheme="minorEastAsia"/>
          <w:color w:val="000000" w:themeColor="text1"/>
          <w:w w:val="99"/>
          <w:kern w:val="2"/>
          <w:sz w:val="24"/>
          <w:szCs w:val="24"/>
          <w:highlight w:val="red"/>
          <w:lang w:val="en-US" w:bidi="ar-SA"/>
          <w14:textFill>
            <w14:solidFill>
              <w14:schemeClr w14:val="tx1"/>
            </w14:solidFill>
          </w14:textFill>
        </w:rPr>
        <w:t>202</w:t>
      </w:r>
      <w:r>
        <w:rPr>
          <w:rFonts w:hint="eastAsia" w:ascii="Times New Roman" w:hAnsi="Times New Roman" w:cs="Times New Roman" w:eastAsiaTheme="minorEastAsia"/>
          <w:color w:val="000000" w:themeColor="text1"/>
          <w:w w:val="99"/>
          <w:kern w:val="2"/>
          <w:sz w:val="24"/>
          <w:szCs w:val="24"/>
          <w:highlight w:val="red"/>
          <w:lang w:val="en-US" w:eastAsia="zh-CN" w:bidi="ar-SA"/>
          <w14:textFill>
            <w14:solidFill>
              <w14:schemeClr w14:val="tx1"/>
            </w14:solidFill>
          </w14:textFill>
        </w:rPr>
        <w:t>4</w:t>
      </w:r>
      <w:r>
        <w:rPr>
          <w:rFonts w:ascii="Times New Roman" w:hAnsi="Times New Roman" w:cs="Times New Roman" w:eastAsiaTheme="minorEastAsia"/>
          <w:color w:val="000000" w:themeColor="text1"/>
          <w:w w:val="99"/>
          <w:kern w:val="2"/>
          <w:sz w:val="24"/>
          <w:szCs w:val="24"/>
          <w:highlight w:val="red"/>
          <w:lang w:val="en-US" w:bidi="ar-SA"/>
          <w14:textFill>
            <w14:solidFill>
              <w14:schemeClr w14:val="tx1"/>
            </w14:solidFill>
          </w14:textFill>
        </w:rPr>
        <w:t>年1</w:t>
      </w:r>
      <w:r>
        <w:rPr>
          <w:rFonts w:hint="eastAsia" w:ascii="Times New Roman" w:hAnsi="Times New Roman" w:cs="Times New Roman" w:eastAsiaTheme="minorEastAsia"/>
          <w:color w:val="000000" w:themeColor="text1"/>
          <w:w w:val="99"/>
          <w:kern w:val="2"/>
          <w:sz w:val="24"/>
          <w:szCs w:val="24"/>
          <w:highlight w:val="red"/>
          <w:lang w:val="en-US" w:eastAsia="zh-CN" w:bidi="ar-SA"/>
          <w14:textFill>
            <w14:solidFill>
              <w14:schemeClr w14:val="tx1"/>
            </w14:solidFill>
          </w14:textFill>
        </w:rPr>
        <w:t>2</w:t>
      </w:r>
      <w:r>
        <w:rPr>
          <w:rFonts w:ascii="Times New Roman" w:hAnsi="Times New Roman" w:cs="Times New Roman" w:eastAsiaTheme="minorEastAsia"/>
          <w:color w:val="000000" w:themeColor="text1"/>
          <w:w w:val="99"/>
          <w:kern w:val="2"/>
          <w:sz w:val="24"/>
          <w:szCs w:val="24"/>
          <w:highlight w:val="red"/>
          <w:lang w:val="en-US" w:bidi="ar-SA"/>
          <w14:textFill>
            <w14:solidFill>
              <w14:schemeClr w14:val="tx1"/>
            </w14:solidFill>
          </w14:textFill>
        </w:rPr>
        <w:t>月26日-202</w:t>
      </w:r>
      <w:r>
        <w:rPr>
          <w:rFonts w:hint="eastAsia" w:ascii="Times New Roman" w:hAnsi="Times New Roman" w:cs="Times New Roman" w:eastAsiaTheme="minorEastAsia"/>
          <w:color w:val="000000" w:themeColor="text1"/>
          <w:w w:val="99"/>
          <w:kern w:val="2"/>
          <w:sz w:val="24"/>
          <w:szCs w:val="24"/>
          <w:highlight w:val="red"/>
          <w:lang w:val="en-US" w:eastAsia="zh-CN" w:bidi="ar-SA"/>
          <w14:textFill>
            <w14:solidFill>
              <w14:schemeClr w14:val="tx1"/>
            </w14:solidFill>
          </w14:textFill>
        </w:rPr>
        <w:t>4</w:t>
      </w:r>
      <w:r>
        <w:rPr>
          <w:rFonts w:ascii="Times New Roman" w:hAnsi="Times New Roman" w:cs="Times New Roman" w:eastAsiaTheme="minorEastAsia"/>
          <w:color w:val="000000" w:themeColor="text1"/>
          <w:w w:val="99"/>
          <w:kern w:val="2"/>
          <w:sz w:val="24"/>
          <w:szCs w:val="24"/>
          <w:highlight w:val="red"/>
          <w:lang w:val="en-US" w:bidi="ar-SA"/>
          <w14:textFill>
            <w14:solidFill>
              <w14:schemeClr w14:val="tx1"/>
            </w14:solidFill>
          </w14:textFill>
        </w:rPr>
        <w:t>年1</w:t>
      </w:r>
      <w:r>
        <w:rPr>
          <w:rFonts w:hint="eastAsia" w:ascii="Times New Roman" w:hAnsi="Times New Roman" w:cs="Times New Roman" w:eastAsiaTheme="minorEastAsia"/>
          <w:color w:val="000000" w:themeColor="text1"/>
          <w:w w:val="99"/>
          <w:kern w:val="2"/>
          <w:sz w:val="24"/>
          <w:szCs w:val="24"/>
          <w:highlight w:val="red"/>
          <w:lang w:val="en-US" w:eastAsia="zh-CN" w:bidi="ar-SA"/>
          <w14:textFill>
            <w14:solidFill>
              <w14:schemeClr w14:val="tx1"/>
            </w14:solidFill>
          </w14:textFill>
        </w:rPr>
        <w:t>2</w:t>
      </w:r>
      <w:r>
        <w:rPr>
          <w:rFonts w:ascii="Times New Roman" w:hAnsi="Times New Roman" w:cs="Times New Roman" w:eastAsiaTheme="minorEastAsia"/>
          <w:color w:val="000000" w:themeColor="text1"/>
          <w:w w:val="99"/>
          <w:kern w:val="2"/>
          <w:sz w:val="24"/>
          <w:szCs w:val="24"/>
          <w:highlight w:val="red"/>
          <w:lang w:val="en-US" w:bidi="ar-SA"/>
          <w14:textFill>
            <w14:solidFill>
              <w14:schemeClr w14:val="tx1"/>
            </w14:solidFill>
          </w14:textFill>
        </w:rPr>
        <w:t>月8日</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，通过黑龙江环保技术服务网（网址为</w:t>
      </w:r>
      <w:r>
        <w:rPr>
          <w:rFonts w:ascii="Times New Roman" w:hAnsi="Times New Roman" w:cs="Times New Roman" w:eastAsiaTheme="minorEastAsia"/>
          <w:color w:val="000000" w:themeColor="text1"/>
          <w:w w:val="99"/>
          <w:kern w:val="2"/>
          <w:sz w:val="24"/>
          <w:szCs w:val="24"/>
          <w:highlight w:val="red"/>
          <w:lang w:val="en-US" w:bidi="ar-SA"/>
          <w14:textFill>
            <w14:solidFill>
              <w14:schemeClr w14:val="tx1"/>
            </w14:solidFill>
          </w14:textFill>
        </w:rPr>
        <w:t>http://www.hljhbjsfw.cn/NewsDetail.aspx?ID=510）</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；报纸公示日期为</w:t>
      </w:r>
      <w:r>
        <w:rPr>
          <w:rFonts w:ascii="Times New Roman" w:hAnsi="Times New Roman" w:cs="Times New Roman" w:eastAsiaTheme="minorEastAsia"/>
          <w:color w:val="000000" w:themeColor="text1"/>
          <w:w w:val="99"/>
          <w:kern w:val="2"/>
          <w:sz w:val="24"/>
          <w:szCs w:val="24"/>
          <w:highlight w:val="red"/>
          <w:lang w:val="en-US" w:bidi="ar-SA"/>
          <w14:textFill>
            <w14:solidFill>
              <w14:schemeClr w14:val="tx1"/>
            </w14:solidFill>
          </w14:textFill>
        </w:rPr>
        <w:t>2022年10月28日、31日（大庆油田报），张贴公示日期为2022年10月26日-2022年11月8日，公示地点为附近村屯（杏树岗</w:t>
      </w:r>
      <w:r>
        <w:rPr>
          <w:rFonts w:hint="eastAsia" w:ascii="Times New Roman" w:hAnsi="Times New Roman" w:cs="Times New Roman" w:eastAsiaTheme="minorEastAsia"/>
          <w:color w:val="000000" w:themeColor="text1"/>
          <w:w w:val="99"/>
          <w:kern w:val="2"/>
          <w:sz w:val="24"/>
          <w:szCs w:val="24"/>
          <w:highlight w:val="red"/>
          <w:lang w:val="en-US" w:eastAsia="zh-CN" w:bidi="ar-SA"/>
          <w14:textFill>
            <w14:solidFill>
              <w14:schemeClr w14:val="tx1"/>
            </w14:solidFill>
          </w14:textFill>
        </w:rPr>
        <w:t>镇</w:t>
      </w:r>
      <w:r>
        <w:rPr>
          <w:rFonts w:ascii="Times New Roman" w:hAnsi="Times New Roman" w:cs="Times New Roman" w:eastAsiaTheme="minorEastAsia"/>
          <w:color w:val="000000" w:themeColor="text1"/>
          <w:w w:val="99"/>
          <w:kern w:val="2"/>
          <w:sz w:val="24"/>
          <w:szCs w:val="24"/>
          <w:highlight w:val="red"/>
          <w:lang w:val="en-US" w:bidi="ar-SA"/>
          <w14:textFill>
            <w14:solidFill>
              <w14:schemeClr w14:val="tx1"/>
            </w14:solidFill>
          </w14:textFill>
        </w:rPr>
        <w:t>、</w:t>
      </w:r>
      <w:r>
        <w:rPr>
          <w:rFonts w:hint="eastAsia" w:ascii="Times New Roman" w:hAnsi="Times New Roman" w:cs="Times New Roman" w:eastAsiaTheme="minorEastAsia"/>
          <w:color w:val="000000" w:themeColor="text1"/>
          <w:w w:val="99"/>
          <w:kern w:val="2"/>
          <w:sz w:val="24"/>
          <w:szCs w:val="24"/>
          <w:highlight w:val="red"/>
          <w:lang w:val="en-US" w:eastAsia="zh-CN" w:bidi="ar-SA"/>
          <w14:textFill>
            <w14:solidFill>
              <w14:schemeClr w14:val="tx1"/>
            </w14:solidFill>
          </w14:textFill>
        </w:rPr>
        <w:t>大同村</w:t>
      </w:r>
      <w:r>
        <w:rPr>
          <w:rFonts w:ascii="Times New Roman" w:hAnsi="Times New Roman" w:cs="Times New Roman" w:eastAsiaTheme="minorEastAsia"/>
          <w:color w:val="000000" w:themeColor="text1"/>
          <w:w w:val="99"/>
          <w:kern w:val="2"/>
          <w:sz w:val="24"/>
          <w:szCs w:val="24"/>
          <w:highlight w:val="red"/>
          <w:lang w:val="en-US" w:bidi="ar-SA"/>
          <w14:textFill>
            <w14:solidFill>
              <w14:schemeClr w14:val="tx1"/>
            </w14:solidFill>
          </w14:textFill>
        </w:rPr>
        <w:t>、</w:t>
      </w:r>
      <w:r>
        <w:rPr>
          <w:rFonts w:hint="eastAsia" w:ascii="Times New Roman" w:hAnsi="Times New Roman" w:cs="Times New Roman" w:eastAsiaTheme="minorEastAsia"/>
          <w:color w:val="000000" w:themeColor="text1"/>
          <w:w w:val="99"/>
          <w:kern w:val="2"/>
          <w:sz w:val="24"/>
          <w:szCs w:val="24"/>
          <w:highlight w:val="red"/>
          <w:lang w:val="en-US" w:eastAsia="zh-CN" w:bidi="ar-SA"/>
          <w14:textFill>
            <w14:solidFill>
              <w14:schemeClr w14:val="tx1"/>
            </w14:solidFill>
          </w14:textFill>
        </w:rPr>
        <w:t>古城子</w:t>
      </w:r>
      <w:r>
        <w:rPr>
          <w:rFonts w:ascii="Times New Roman" w:hAnsi="Times New Roman" w:cs="Times New Roman" w:eastAsiaTheme="minorEastAsia"/>
          <w:color w:val="000000" w:themeColor="text1"/>
          <w:w w:val="99"/>
          <w:kern w:val="2"/>
          <w:sz w:val="24"/>
          <w:szCs w:val="24"/>
          <w:highlight w:val="red"/>
          <w:lang w:val="en-US" w:bidi="ar-SA"/>
          <w14:textFill>
            <w14:solidFill>
              <w14:schemeClr w14:val="tx1"/>
            </w14:solidFill>
          </w14:textFill>
        </w:rPr>
        <w:t>等），</w:t>
      </w:r>
      <w:r>
        <w:rPr>
          <w:rFonts w:ascii="Times New Roman" w:hAnsi="Times New Roman" w:cs="Times New Roman" w:eastAsiaTheme="minorEastAsia"/>
          <w:color w:val="000000" w:themeColor="text1"/>
          <w:w w:val="99"/>
          <w:sz w:val="24"/>
          <w:szCs w:val="24"/>
          <w:highlight w:val="red"/>
          <w:lang w:val="en-US"/>
          <w14:textFill>
            <w14:solidFill>
              <w14:schemeClr w14:val="tx1"/>
            </w14:solidFill>
          </w14:textFill>
        </w:rPr>
        <w:t>并于2022年11月9日在黑龙江环保技术服务网（网址：http://www.hljhbjsfw.cn/NewsDetail.aspx?ID=515）进行本工程环境影响报告书全本公示和项目公众参与说明公示</w:t>
      </w:r>
      <w:r>
        <w:rPr>
          <w:rFonts w:ascii="Times New Roman" w:hAnsi="Times New Roman" w:cs="Times New Roman" w:eastAsiaTheme="minorEastAsia"/>
          <w:color w:val="000000" w:themeColor="text1"/>
          <w:w w:val="99"/>
          <w:sz w:val="24"/>
          <w:szCs w:val="24"/>
          <w:lang w:val="en-US"/>
          <w14:textFill>
            <w14:solidFill>
              <w14:schemeClr w14:val="tx1"/>
            </w14:solidFill>
          </w14:textFill>
        </w:rPr>
        <w:t>。在公示期间建设单位及环评单位未收到相关反馈，建设单位承诺将加强企业环境管理，主动公开环保信息，接受公众监督。</w:t>
      </w:r>
    </w:p>
    <w:p w14:paraId="248EDC27">
      <w:pPr>
        <w:pStyle w:val="4"/>
        <w:tabs>
          <w:tab w:val="left" w:pos="751"/>
        </w:tabs>
        <w:spacing w:before="120" w:after="120" w:line="440" w:lineRule="exact"/>
        <w:ind w:left="0" w:firstLine="0"/>
        <w:jc w:val="both"/>
        <w:rPr>
          <w:rFonts w:ascii="Times New Roman" w:hAnsi="Times New Roman" w:cs="Times New Roman" w:eastAsiaTheme="minorEastAsia"/>
          <w:b/>
          <w:bCs/>
          <w:color w:val="000000" w:themeColor="text1"/>
          <w:w w:val="99"/>
          <w:sz w:val="28"/>
          <w:szCs w:val="28"/>
          <w:lang w:val="en-US"/>
          <w14:textFill>
            <w14:solidFill>
              <w14:schemeClr w14:val="tx1"/>
            </w14:solidFill>
          </w14:textFill>
        </w:rPr>
      </w:pPr>
      <w:bookmarkStart w:id="35" w:name="_Toc117794506"/>
      <w:r>
        <w:rPr>
          <w:rFonts w:ascii="Times New Roman" w:hAnsi="Times New Roman" w:cs="Times New Roman" w:eastAsiaTheme="minorEastAsia"/>
          <w:b/>
          <w:bCs/>
          <w:color w:val="000000" w:themeColor="text1"/>
          <w:w w:val="99"/>
          <w:sz w:val="28"/>
          <w:szCs w:val="28"/>
          <w:lang w:val="en-US"/>
          <w14:textFill>
            <w14:solidFill>
              <w14:schemeClr w14:val="tx1"/>
            </w14:solidFill>
          </w14:textFill>
        </w:rPr>
        <w:t>1.4分析判定相关情况</w:t>
      </w:r>
      <w:bookmarkEnd w:id="35"/>
    </w:p>
    <w:p w14:paraId="17A07AB8">
      <w:pPr>
        <w:pStyle w:val="107"/>
        <w:tabs>
          <w:tab w:val="left" w:pos="930"/>
        </w:tabs>
        <w:spacing w:before="60" w:after="60" w:line="440" w:lineRule="exact"/>
        <w:ind w:left="0" w:firstLine="0"/>
        <w:jc w:val="both"/>
        <w:outlineLvl w:val="2"/>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bookmarkStart w:id="36" w:name="_Toc117794507"/>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1.4.1 产业政策符合性分析</w:t>
      </w:r>
      <w:bookmarkEnd w:id="36"/>
    </w:p>
    <w:p w14:paraId="0290A151">
      <w:pPr>
        <w:spacing w:line="440" w:lineRule="exact"/>
        <w:ind w:firstLine="474" w:firstLineChars="200"/>
        <w:jc w:val="both"/>
        <w:rPr>
          <w:rFonts w:ascii="Times New Roman" w:hAnsi="Times New Roman" w:cs="Times New Roman" w:eastAsiaTheme="minorEastAsia"/>
          <w:color w:val="0000FF"/>
          <w:w w:val="99"/>
          <w:sz w:val="24"/>
          <w:szCs w:val="24"/>
          <w:lang w:val="en-US"/>
        </w:rPr>
      </w:pPr>
      <w:bookmarkStart w:id="37" w:name="_Hlk69493338"/>
      <w:r>
        <w:rPr>
          <w:rFonts w:ascii="Times New Roman" w:hAnsi="Times New Roman" w:cs="Times New Roman" w:eastAsiaTheme="minorEastAsia"/>
          <w:color w:val="0000FF"/>
          <w:w w:val="99"/>
          <w:sz w:val="24"/>
          <w:szCs w:val="24"/>
          <w:lang w:val="en-US"/>
        </w:rPr>
        <w:t>根据</w:t>
      </w:r>
      <w:r>
        <w:rPr>
          <w:rFonts w:hint="eastAsia" w:ascii="Times New Roman" w:hAnsi="Times New Roman" w:cs="Times New Roman" w:eastAsiaTheme="minorEastAsia"/>
          <w:color w:val="0000FF"/>
          <w:w w:val="99"/>
          <w:sz w:val="24"/>
          <w:szCs w:val="24"/>
          <w:lang w:val="en-US" w:eastAsia="zh-CN"/>
        </w:rPr>
        <w:t>《产业结构调整指导目录（2024年本）》</w:t>
      </w:r>
      <w:r>
        <w:rPr>
          <w:rFonts w:ascii="Times New Roman" w:hAnsi="Times New Roman" w:cs="Times New Roman" w:eastAsiaTheme="minorEastAsia"/>
          <w:color w:val="0000FF"/>
          <w:w w:val="99"/>
          <w:sz w:val="24"/>
          <w:szCs w:val="24"/>
          <w:lang w:val="en-US"/>
        </w:rPr>
        <w:t>，本项目属于鼓励类“七、石油、天然气”中“3、原油、天然气、液化天然气、成品油的储运和管道输送设施、网络和液化天然气加注设施建设”，因此，该项目建设符合国家的产业政策</w:t>
      </w:r>
      <w:bookmarkEnd w:id="37"/>
      <w:r>
        <w:rPr>
          <w:rFonts w:ascii="Times New Roman" w:hAnsi="Times New Roman" w:cs="Times New Roman" w:eastAsiaTheme="minorEastAsia"/>
          <w:color w:val="0000FF"/>
          <w:w w:val="99"/>
          <w:sz w:val="24"/>
          <w:szCs w:val="24"/>
          <w:lang w:val="en-US"/>
        </w:rPr>
        <w:t>。</w:t>
      </w:r>
    </w:p>
    <w:p w14:paraId="018943F2">
      <w:pPr>
        <w:pStyle w:val="107"/>
        <w:tabs>
          <w:tab w:val="left" w:pos="930"/>
        </w:tabs>
        <w:spacing w:before="60" w:after="60" w:line="440" w:lineRule="exact"/>
        <w:ind w:left="0" w:firstLine="0"/>
        <w:jc w:val="both"/>
        <w:outlineLvl w:val="2"/>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bookmarkStart w:id="38" w:name="_Toc117794508"/>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1.4.2 相关规划符合性分析</w:t>
      </w:r>
      <w:bookmarkEnd w:id="38"/>
    </w:p>
    <w:p w14:paraId="5A6BF85E">
      <w:pPr>
        <w:autoSpaceDE/>
        <w:autoSpaceDN/>
        <w:spacing w:line="440" w:lineRule="exact"/>
        <w:jc w:val="both"/>
        <w:outlineLvl w:val="3"/>
        <w:rPr>
          <w:rFonts w:ascii="Times New Roman" w:hAnsi="Times New Roman" w:cs="Times New Roman"/>
          <w:b/>
          <w:color w:val="000000" w:themeColor="text1"/>
          <w:w w:val="99"/>
          <w:sz w:val="24"/>
          <w:szCs w:val="24"/>
          <w:lang w:val="en-US" w:bidi="ar-SA"/>
          <w14:textFill>
            <w14:solidFill>
              <w14:schemeClr w14:val="tx1"/>
            </w14:solidFill>
          </w14:textFill>
        </w:rPr>
      </w:pPr>
      <w:r>
        <w:rPr>
          <w:rFonts w:ascii="Times New Roman" w:hAnsi="Times New Roman" w:cs="Times New Roman"/>
          <w:b/>
          <w:color w:val="000000" w:themeColor="text1"/>
          <w:w w:val="99"/>
          <w:sz w:val="24"/>
          <w:szCs w:val="24"/>
          <w:lang w:val="en-US" w:bidi="ar-SA"/>
          <w14:textFill>
            <w14:solidFill>
              <w14:schemeClr w14:val="tx1"/>
            </w14:solidFill>
          </w14:textFill>
        </w:rPr>
        <w:t>1.4.2.1与《关于进一步加强石油天然气行业环境影响评价管理的通知》符合性分析</w:t>
      </w:r>
    </w:p>
    <w:p w14:paraId="7B24164C">
      <w:pPr>
        <w:autoSpaceDE/>
        <w:autoSpaceDN/>
        <w:spacing w:line="440" w:lineRule="exact"/>
        <w:ind w:firstLine="474" w:firstLineChars="200"/>
        <w:jc w:val="both"/>
        <w:rPr>
          <w:rFonts w:ascii="Times New Roman" w:hAnsi="Times New Roman" w:cs="Times New Roman"/>
          <w:color w:val="000000" w:themeColor="text1"/>
          <w:w w:val="99"/>
          <w:sz w:val="24"/>
          <w:szCs w:val="24"/>
          <w:lang w:val="en-US" w:bidi="ar-SA"/>
          <w14:textFill>
            <w14:solidFill>
              <w14:schemeClr w14:val="tx1"/>
            </w14:solidFill>
          </w14:textFill>
        </w:rPr>
      </w:pPr>
      <w:r>
        <w:rPr>
          <w:rFonts w:ascii="Times New Roman" w:hAnsi="Times New Roman" w:cs="Times New Roman"/>
          <w:color w:val="000000" w:themeColor="text1"/>
          <w:w w:val="99"/>
          <w:sz w:val="24"/>
          <w:szCs w:val="24"/>
          <w:lang w:val="en-US" w:bidi="ar-SA"/>
          <w14:textFill>
            <w14:solidFill>
              <w14:schemeClr w14:val="tx1"/>
            </w14:solidFill>
          </w14:textFill>
        </w:rPr>
        <w:t>本项目与《关于进一步加强石油天然气行业环境影响评价管理的通知》</w:t>
      </w:r>
      <w:r>
        <w:rPr>
          <w:rFonts w:ascii="Times New Roman" w:hAnsi="Times New Roman" w:cs="Times New Roman"/>
          <w:bCs/>
          <w:color w:val="000000" w:themeColor="text1"/>
          <w:w w:val="99"/>
          <w:sz w:val="24"/>
          <w:szCs w:val="24"/>
          <w:lang w:val="en-US" w:bidi="ar-SA"/>
          <w14:textFill>
            <w14:solidFill>
              <w14:schemeClr w14:val="tx1"/>
            </w14:solidFill>
          </w14:textFill>
        </w:rPr>
        <w:t>（环办环评函〔2019〕910 号）</w:t>
      </w:r>
      <w:r>
        <w:rPr>
          <w:rFonts w:ascii="Times New Roman" w:hAnsi="Times New Roman" w:cs="Times New Roman"/>
          <w:color w:val="000000" w:themeColor="text1"/>
          <w:w w:val="99"/>
          <w:sz w:val="24"/>
          <w:szCs w:val="24"/>
          <w:lang w:val="en-US" w:bidi="ar-SA"/>
          <w14:textFill>
            <w14:solidFill>
              <w14:schemeClr w14:val="tx1"/>
            </w14:solidFill>
          </w14:textFill>
        </w:rPr>
        <w:t>符合性分析见表1.4-1。</w:t>
      </w:r>
    </w:p>
    <w:p w14:paraId="32784DE2">
      <w:pPr>
        <w:autoSpaceDE/>
        <w:autoSpaceDN/>
        <w:spacing w:line="440" w:lineRule="exact"/>
        <w:ind w:firstLine="476" w:firstLineChars="200"/>
        <w:jc w:val="both"/>
        <w:rPr>
          <w:rFonts w:ascii="Times New Roman" w:hAnsi="Times New Roman" w:cs="Times New Roman"/>
          <w:b/>
          <w:color w:val="000000" w:themeColor="text1"/>
          <w:w w:val="99"/>
          <w:sz w:val="24"/>
          <w:szCs w:val="20"/>
          <w:lang w:val="en-US" w:bidi="ar-SA"/>
          <w14:textFill>
            <w14:solidFill>
              <w14:schemeClr w14:val="tx1"/>
            </w14:solidFill>
          </w14:textFill>
        </w:rPr>
      </w:pPr>
      <w:r>
        <w:rPr>
          <w:rFonts w:ascii="Times New Roman" w:hAnsi="Times New Roman" w:cs="Times New Roman"/>
          <w:b/>
          <w:bCs/>
          <w:color w:val="000000" w:themeColor="text1"/>
          <w:w w:val="99"/>
          <w:kern w:val="21"/>
          <w:sz w:val="24"/>
          <w:szCs w:val="20"/>
          <w:lang w:val="en-US" w:bidi="ar-SA"/>
          <w14:textFill>
            <w14:solidFill>
              <w14:schemeClr w14:val="tx1"/>
            </w14:solidFill>
          </w14:textFill>
        </w:rPr>
        <w:t>表1.4-1</w:t>
      </w:r>
      <w:r>
        <w:rPr>
          <w:rFonts w:ascii="Times New Roman" w:hAnsi="Times New Roman" w:cs="Times New Roman"/>
          <w:b/>
          <w:color w:val="000000" w:themeColor="text1"/>
          <w:w w:val="99"/>
          <w:kern w:val="21"/>
          <w:sz w:val="24"/>
          <w:szCs w:val="20"/>
          <w:lang w:val="en-US" w:bidi="ar-SA"/>
          <w14:textFill>
            <w14:solidFill>
              <w14:schemeClr w14:val="tx1"/>
            </w14:solidFill>
          </w14:textFill>
        </w:rPr>
        <w:t xml:space="preserve">    </w:t>
      </w:r>
      <w:r>
        <w:rPr>
          <w:rFonts w:ascii="Times New Roman" w:hAnsi="Times New Roman" w:cs="Times New Roman"/>
          <w:b/>
          <w:color w:val="000000" w:themeColor="text1"/>
          <w:w w:val="99"/>
          <w:sz w:val="24"/>
          <w:szCs w:val="24"/>
          <w:lang w:val="en-US" w:bidi="ar-SA"/>
          <w14:textFill>
            <w14:solidFill>
              <w14:schemeClr w14:val="tx1"/>
            </w14:solidFill>
          </w14:textFill>
        </w:rPr>
        <w:t>与通知符合性分析</w:t>
      </w:r>
    </w:p>
    <w:tbl>
      <w:tblPr>
        <w:tblStyle w:val="8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3030"/>
        <w:gridCol w:w="4534"/>
        <w:gridCol w:w="983"/>
      </w:tblGrid>
      <w:tr w14:paraId="16629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400" w:type="pct"/>
            <w:vAlign w:val="center"/>
          </w:tcPr>
          <w:p w14:paraId="4C509CB6">
            <w:pPr>
              <w:autoSpaceDE/>
              <w:autoSpaceDN/>
              <w:spacing w:line="320" w:lineRule="exact"/>
              <w:jc w:val="center"/>
              <w:rPr>
                <w:rFonts w:ascii="Times New Roman" w:hAnsi="Times New Roman" w:cs="Times New Roman"/>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szCs w:val="24"/>
                <w:lang w:val="en-US" w:bidi="ar-SA"/>
                <w14:textFill>
                  <w14:solidFill>
                    <w14:schemeClr w14:val="tx1"/>
                  </w14:solidFill>
                </w14:textFill>
              </w:rPr>
              <w:t>序号</w:t>
            </w:r>
          </w:p>
        </w:tc>
        <w:tc>
          <w:tcPr>
            <w:tcW w:w="1630" w:type="pct"/>
            <w:vAlign w:val="center"/>
          </w:tcPr>
          <w:p w14:paraId="4B98C224">
            <w:pPr>
              <w:autoSpaceDE/>
              <w:autoSpaceDN/>
              <w:spacing w:line="320" w:lineRule="exact"/>
              <w:jc w:val="center"/>
              <w:rPr>
                <w:rFonts w:ascii="Times New Roman" w:hAnsi="Times New Roman" w:cs="Times New Roman"/>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szCs w:val="24"/>
                <w:lang w:val="en-US" w:bidi="ar-SA"/>
                <w14:textFill>
                  <w14:solidFill>
                    <w14:schemeClr w14:val="tx1"/>
                  </w14:solidFill>
                </w14:textFill>
              </w:rPr>
              <w:t>文件要求</w:t>
            </w:r>
          </w:p>
        </w:tc>
        <w:tc>
          <w:tcPr>
            <w:tcW w:w="2439" w:type="pct"/>
            <w:vAlign w:val="center"/>
          </w:tcPr>
          <w:p w14:paraId="3E5CB89E">
            <w:pPr>
              <w:autoSpaceDE/>
              <w:autoSpaceDN/>
              <w:spacing w:line="320" w:lineRule="exact"/>
              <w:jc w:val="center"/>
              <w:rPr>
                <w:rFonts w:ascii="Times New Roman" w:hAnsi="Times New Roman" w:cs="Times New Roman"/>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szCs w:val="24"/>
                <w:lang w:val="en-US" w:bidi="ar-SA"/>
                <w14:textFill>
                  <w14:solidFill>
                    <w14:schemeClr w14:val="tx1"/>
                  </w14:solidFill>
                </w14:textFill>
              </w:rPr>
              <w:t>符合性分析</w:t>
            </w:r>
          </w:p>
        </w:tc>
        <w:tc>
          <w:tcPr>
            <w:tcW w:w="529" w:type="pct"/>
            <w:vAlign w:val="center"/>
          </w:tcPr>
          <w:p w14:paraId="06236190">
            <w:pPr>
              <w:autoSpaceDE/>
              <w:autoSpaceDN/>
              <w:spacing w:line="320" w:lineRule="exact"/>
              <w:jc w:val="center"/>
              <w:rPr>
                <w:rFonts w:ascii="Times New Roman" w:hAnsi="Times New Roman" w:cs="Times New Roman"/>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szCs w:val="24"/>
                <w:lang w:val="en-US" w:bidi="ar-SA"/>
                <w14:textFill>
                  <w14:solidFill>
                    <w14:schemeClr w14:val="tx1"/>
                  </w14:solidFill>
                </w14:textFill>
              </w:rPr>
              <w:t>符合性</w:t>
            </w:r>
          </w:p>
        </w:tc>
      </w:tr>
      <w:tr w14:paraId="3FA0C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0" w:type="pct"/>
            <w:vAlign w:val="center"/>
          </w:tcPr>
          <w:p w14:paraId="5EF42F61">
            <w:pPr>
              <w:autoSpaceDE/>
              <w:autoSpaceDN/>
              <w:spacing w:line="320" w:lineRule="exact"/>
              <w:jc w:val="center"/>
              <w:rPr>
                <w:rFonts w:ascii="Times New Roman" w:hAnsi="Times New Roman" w:cs="Times New Roman"/>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szCs w:val="24"/>
                <w:lang w:val="en-US" w:bidi="ar-SA"/>
                <w14:textFill>
                  <w14:solidFill>
                    <w14:schemeClr w14:val="tx1"/>
                  </w14:solidFill>
                </w14:textFill>
              </w:rPr>
              <w:t>1</w:t>
            </w:r>
          </w:p>
        </w:tc>
        <w:tc>
          <w:tcPr>
            <w:tcW w:w="1630" w:type="pct"/>
            <w:vAlign w:val="center"/>
          </w:tcPr>
          <w:p w14:paraId="58CA7613">
            <w:pPr>
              <w:autoSpaceDE/>
              <w:autoSpaceDN/>
              <w:spacing w:line="320" w:lineRule="exact"/>
              <w:jc w:val="both"/>
              <w:rPr>
                <w:rFonts w:ascii="Times New Roman" w:hAnsi="Times New Roman" w:cs="Times New Roman"/>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szCs w:val="24"/>
                <w:lang w:val="en-US" w:bidi="ar-SA"/>
                <w14:textFill>
                  <w14:solidFill>
                    <w14:schemeClr w14:val="tx1"/>
                  </w14:solidFill>
                </w14:textFill>
              </w:rPr>
              <w:t>油气开采项目（含新开发和滚动开发项目）原则上应当以区块为单位开展环评（以下简称区块环评），一般包括区块内拟建的新井、加密井、调整井、站场、设备、管道和电缆及其更换工程、弃置工程及配套工程等。项目环评应当深入评价项目建设、运营带来的环境影响和环境风险，提出有效的生态环境保护和环境风险防范措施。滚动开发区块产能建设项目环评文件中还应对现有工程环境影响进行回顾性评价，对存在的生态环境问题和环境风险隐患提出有效防治措施。依托其他防治设施的或者委托第三方处置的，应当论证其可行性和有效性。</w:t>
            </w:r>
          </w:p>
        </w:tc>
        <w:tc>
          <w:tcPr>
            <w:tcW w:w="2439" w:type="pct"/>
            <w:vAlign w:val="center"/>
          </w:tcPr>
          <w:p w14:paraId="6A20AEEF">
            <w:pPr>
              <w:autoSpaceDE/>
              <w:autoSpaceDN/>
              <w:spacing w:line="320" w:lineRule="exact"/>
              <w:jc w:val="both"/>
              <w:rPr>
                <w:rFonts w:ascii="Times New Roman" w:hAnsi="Times New Roman" w:cs="Times New Roman"/>
                <w:color w:val="000000" w:themeColor="text1"/>
                <w:w w:val="99"/>
                <w:kern w:val="2"/>
                <w:sz w:val="21"/>
                <w:szCs w:val="24"/>
                <w:lang w:val="en-US"/>
                <w14:textFill>
                  <w14:solidFill>
                    <w14:schemeClr w14:val="tx1"/>
                  </w14:solidFill>
                </w14:textFill>
              </w:rPr>
            </w:pPr>
            <w:r>
              <w:rPr>
                <w:rFonts w:ascii="Times New Roman" w:hAnsi="Times New Roman" w:cs="Times New Roman"/>
                <w:color w:val="000000" w:themeColor="text1"/>
                <w:w w:val="99"/>
                <w:kern w:val="2"/>
                <w:sz w:val="21"/>
                <w:szCs w:val="24"/>
                <w:lang w:val="en-US"/>
                <w14:textFill>
                  <w14:solidFill>
                    <w14:schemeClr w14:val="tx1"/>
                  </w14:solidFill>
                </w14:textFill>
              </w:rPr>
              <w:t>本项目为现有</w:t>
            </w:r>
            <w:r>
              <w:rPr>
                <w:rFonts w:hint="eastAsia" w:ascii="Times New Roman" w:hAnsi="Times New Roman" w:cs="Times New Roman"/>
                <w:color w:val="000000" w:themeColor="text1"/>
                <w:w w:val="99"/>
                <w:kern w:val="2"/>
                <w:sz w:val="21"/>
                <w:szCs w:val="24"/>
                <w:lang w:val="en-US"/>
                <w14:textFill>
                  <w14:solidFill>
                    <w14:schemeClr w14:val="tx1"/>
                  </w14:solidFill>
                </w14:textFill>
              </w:rPr>
              <w:t>龙虎泡</w:t>
            </w:r>
            <w:r>
              <w:rPr>
                <w:rFonts w:ascii="Times New Roman" w:hAnsi="Times New Roman" w:cs="Times New Roman"/>
                <w:color w:val="000000" w:themeColor="text1"/>
                <w:w w:val="99"/>
                <w:kern w:val="2"/>
                <w:sz w:val="21"/>
                <w:szCs w:val="24"/>
                <w:lang w:val="en-US"/>
                <w14:textFill>
                  <w14:solidFill>
                    <w14:schemeClr w14:val="tx1"/>
                  </w14:solidFill>
                </w14:textFill>
              </w:rPr>
              <w:t>油田龙</w:t>
            </w:r>
            <w:r>
              <w:rPr>
                <w:rFonts w:hint="eastAsia" w:ascii="Times New Roman" w:hAnsi="Times New Roman" w:cs="Times New Roman"/>
                <w:color w:val="000000" w:themeColor="text1"/>
                <w:w w:val="99"/>
                <w:kern w:val="2"/>
                <w:sz w:val="21"/>
                <w:szCs w:val="24"/>
                <w:lang w:val="en-US"/>
                <w14:textFill>
                  <w14:solidFill>
                    <w14:schemeClr w14:val="tx1"/>
                  </w14:solidFill>
                </w14:textFill>
              </w:rPr>
              <w:t>2</w:t>
            </w:r>
            <w:r>
              <w:rPr>
                <w:rFonts w:ascii="Times New Roman" w:hAnsi="Times New Roman" w:cs="Times New Roman"/>
                <w:color w:val="000000" w:themeColor="text1"/>
                <w:w w:val="99"/>
                <w:kern w:val="2"/>
                <w:sz w:val="21"/>
                <w:szCs w:val="24"/>
                <w:lang w:val="en-US"/>
                <w14:textFill>
                  <w14:solidFill>
                    <w14:schemeClr w14:val="tx1"/>
                  </w14:solidFill>
                </w14:textFill>
              </w:rPr>
              <w:t>6区块进行开发，本次环评在3.1章节中详述了龙</w:t>
            </w:r>
            <w:r>
              <w:rPr>
                <w:rFonts w:hint="eastAsia" w:ascii="Times New Roman" w:hAnsi="Times New Roman" w:cs="Times New Roman"/>
                <w:color w:val="000000" w:themeColor="text1"/>
                <w:w w:val="99"/>
                <w:kern w:val="2"/>
                <w:sz w:val="21"/>
                <w:szCs w:val="24"/>
                <w:lang w:val="en-US"/>
                <w14:textFill>
                  <w14:solidFill>
                    <w14:schemeClr w14:val="tx1"/>
                  </w14:solidFill>
                </w14:textFill>
              </w:rPr>
              <w:t>2</w:t>
            </w:r>
            <w:r>
              <w:rPr>
                <w:rFonts w:ascii="Times New Roman" w:hAnsi="Times New Roman" w:cs="Times New Roman"/>
                <w:color w:val="000000" w:themeColor="text1"/>
                <w:w w:val="99"/>
                <w:kern w:val="2"/>
                <w:sz w:val="21"/>
                <w:szCs w:val="24"/>
                <w:lang w:val="en-US"/>
                <w14:textFill>
                  <w14:solidFill>
                    <w14:schemeClr w14:val="tx1"/>
                  </w14:solidFill>
                </w14:textFill>
              </w:rPr>
              <w:t>6区块现有工程环境影响进行回顾性评价，区块内油田生产设施主要包括</w:t>
            </w:r>
            <w:r>
              <w:rPr>
                <w:rFonts w:hint="eastAsia" w:ascii="Times New Roman" w:hAnsi="Times New Roman" w:cs="Times New Roman"/>
                <w:color w:val="000000" w:themeColor="text1"/>
                <w:w w:val="99"/>
                <w:kern w:val="2"/>
                <w:sz w:val="21"/>
                <w:szCs w:val="24"/>
                <w:lang w:val="en-US"/>
                <w14:textFill>
                  <w14:solidFill>
                    <w14:schemeClr w14:val="tx1"/>
                  </w14:solidFill>
                </w14:textFill>
              </w:rPr>
              <w:t>油水井</w:t>
            </w:r>
            <w:r>
              <w:rPr>
                <w:rFonts w:ascii="Times New Roman" w:hAnsi="Times New Roman" w:cs="Times New Roman"/>
                <w:color w:val="000000" w:themeColor="text1"/>
                <w:w w:val="99"/>
                <w:kern w:val="2"/>
                <w:sz w:val="21"/>
                <w:szCs w:val="24"/>
                <w:lang w:val="en-US"/>
                <w14:textFill>
                  <w14:solidFill>
                    <w14:schemeClr w14:val="tx1"/>
                  </w14:solidFill>
                </w14:textFill>
              </w:rPr>
              <w:t>井场和</w:t>
            </w:r>
            <w:r>
              <w:rPr>
                <w:rFonts w:hint="eastAsia" w:ascii="Times New Roman" w:hAnsi="Times New Roman" w:cs="Times New Roman"/>
                <w:color w:val="000000" w:themeColor="text1"/>
                <w:w w:val="99"/>
                <w:kern w:val="2"/>
                <w:sz w:val="21"/>
                <w:szCs w:val="24"/>
                <w:lang w:val="en-US"/>
                <w14:textFill>
                  <w14:solidFill>
                    <w14:schemeClr w14:val="tx1"/>
                  </w14:solidFill>
                </w14:textFill>
              </w:rPr>
              <w:t>拉油点</w:t>
            </w:r>
            <w:r>
              <w:rPr>
                <w:rFonts w:ascii="Times New Roman" w:hAnsi="Times New Roman" w:cs="Times New Roman"/>
                <w:color w:val="000000" w:themeColor="text1"/>
                <w:w w:val="99"/>
                <w:kern w:val="2"/>
                <w:sz w:val="21"/>
                <w:szCs w:val="24"/>
                <w:lang w:val="en-US"/>
                <w14:textFill>
                  <w14:solidFill>
                    <w14:schemeClr w14:val="tx1"/>
                  </w14:solidFill>
                </w14:textFill>
              </w:rPr>
              <w:t>、场站等。废气主要为井场</w:t>
            </w:r>
            <w:r>
              <w:rPr>
                <w:rFonts w:hint="eastAsia" w:ascii="Times New Roman" w:hAnsi="Times New Roman" w:cs="Times New Roman"/>
                <w:color w:val="000000" w:themeColor="text1"/>
                <w:w w:val="99"/>
                <w:kern w:val="2"/>
                <w:sz w:val="21"/>
                <w:szCs w:val="24"/>
                <w:lang w:val="en-US"/>
                <w14:textFill>
                  <w14:solidFill>
                    <w14:schemeClr w14:val="tx1"/>
                  </w14:solidFill>
                </w14:textFill>
              </w:rPr>
              <w:t>、拉油点、场站</w:t>
            </w:r>
            <w:r>
              <w:rPr>
                <w:rFonts w:ascii="Times New Roman" w:hAnsi="Times New Roman" w:cs="Times New Roman"/>
                <w:color w:val="000000" w:themeColor="text1"/>
                <w:w w:val="99"/>
                <w:kern w:val="2"/>
                <w:sz w:val="21"/>
                <w:szCs w:val="24"/>
                <w:lang w:val="en-US"/>
                <w14:textFill>
                  <w14:solidFill>
                    <w14:schemeClr w14:val="tx1"/>
                  </w14:solidFill>
                </w14:textFill>
              </w:rPr>
              <w:t>逸散的非甲烷总烃气体、场站加热炉废气；废水主要为作业污水、洗井污水、油田采出水、场站生活污水，作业污水、洗井污水、油田采出水由</w:t>
            </w:r>
            <w:r>
              <w:rPr>
                <w:rFonts w:hint="eastAsia" w:ascii="Times New Roman" w:hAnsi="Times New Roman" w:cs="Times New Roman"/>
                <w:color w:val="000000" w:themeColor="text1"/>
                <w:w w:val="99"/>
                <w:kern w:val="2"/>
                <w:sz w:val="21"/>
                <w:szCs w:val="24"/>
                <w:lang w:val="en-US"/>
                <w14:textFill>
                  <w14:solidFill>
                    <w14:schemeClr w14:val="tx1"/>
                  </w14:solidFill>
                </w14:textFill>
              </w:rPr>
              <w:t>龙一联</w:t>
            </w:r>
            <w:r>
              <w:rPr>
                <w:rFonts w:ascii="Times New Roman" w:hAnsi="Times New Roman" w:cs="Times New Roman"/>
                <w:color w:val="000000" w:themeColor="text1"/>
                <w:w w:val="99"/>
                <w:kern w:val="2"/>
                <w:sz w:val="21"/>
                <w:szCs w:val="24"/>
                <w:lang w:val="en-US"/>
                <w14:textFill>
                  <w14:solidFill>
                    <w14:schemeClr w14:val="tx1"/>
                  </w14:solidFill>
                </w14:textFill>
              </w:rPr>
              <w:t>含油污水处理站处理达到</w:t>
            </w:r>
            <w:r>
              <w:rPr>
                <w:rFonts w:ascii="Times New Roman" w:hAnsi="Times New Roman" w:cs="Times New Roman"/>
                <w:bCs/>
                <w:color w:val="000000" w:themeColor="text1"/>
                <w:w w:val="99"/>
                <w:kern w:val="2"/>
                <w:sz w:val="21"/>
                <w:szCs w:val="24"/>
                <w:lang w:val="en-US"/>
                <w14:textFill>
                  <w14:solidFill>
                    <w14:schemeClr w14:val="tx1"/>
                  </w14:solidFill>
                </w14:textFill>
              </w:rPr>
              <w:t>《大庆油田地面工程建设设计规定》（Q/SYDQ0639-2015）中</w:t>
            </w:r>
            <w:r>
              <w:rPr>
                <w:rFonts w:hint="eastAsia" w:ascii="Times New Roman" w:hAnsi="Times New Roman" w:cs="Times New Roman"/>
                <w:bCs/>
                <w:color w:val="000000" w:themeColor="text1"/>
                <w:w w:val="99"/>
                <w:kern w:val="2"/>
                <w:sz w:val="21"/>
                <w:szCs w:val="24"/>
                <w:lang w:val="en-US"/>
                <w14:textFill>
                  <w14:solidFill>
                    <w14:schemeClr w14:val="tx1"/>
                  </w14:solidFill>
                </w14:textFill>
              </w:rPr>
              <w:t>的</w:t>
            </w:r>
            <w:r>
              <w:rPr>
                <w:rFonts w:ascii="Times New Roman" w:hAnsi="Times New Roman" w:cs="Times New Roman"/>
                <w:bCs/>
                <w:color w:val="000000" w:themeColor="text1"/>
                <w:w w:val="99"/>
                <w:kern w:val="2"/>
                <w:sz w:val="21"/>
                <w:szCs w:val="24"/>
                <w:lang w:val="en-US"/>
                <w14:textFill>
                  <w14:solidFill>
                    <w14:schemeClr w14:val="tx1"/>
                  </w14:solidFill>
                </w14:textFill>
              </w:rPr>
              <w:t>“含油量≤8mg/L、悬浮固体≤3mg/L、粒径中值≤2μm”规定后回注油层</w:t>
            </w:r>
            <w:r>
              <w:rPr>
                <w:rFonts w:ascii="Times New Roman" w:hAnsi="Times New Roman" w:cs="Times New Roman"/>
                <w:color w:val="000000" w:themeColor="text1"/>
                <w:w w:val="99"/>
                <w:kern w:val="2"/>
                <w:sz w:val="21"/>
                <w:szCs w:val="24"/>
                <w:lang w:val="en-US"/>
                <w14:textFill>
                  <w14:solidFill>
                    <w14:schemeClr w14:val="tx1"/>
                  </w14:solidFill>
                </w14:textFill>
              </w:rPr>
              <w:t>，场站生活污水拉排入场站内防渗旱厕，定期清掏堆肥处理；噪声</w:t>
            </w:r>
            <w:r>
              <w:rPr>
                <w:rFonts w:ascii="Times New Roman" w:hAnsi="Times New Roman" w:cs="Times New Roman"/>
                <w:bCs/>
                <w:color w:val="000000" w:themeColor="text1"/>
                <w:w w:val="99"/>
                <w:kern w:val="2"/>
                <w:sz w:val="21"/>
                <w:szCs w:val="24"/>
                <w:lang w:val="en-US"/>
                <w14:textFill>
                  <w14:solidFill>
                    <w14:schemeClr w14:val="tx1"/>
                  </w14:solidFill>
                </w14:textFill>
              </w:rPr>
              <w:t>主要来自抽油机、拉油点及场站各类机泵噪声</w:t>
            </w:r>
            <w:r>
              <w:rPr>
                <w:rFonts w:ascii="Times New Roman" w:hAnsi="Times New Roman" w:cs="Times New Roman"/>
                <w:color w:val="000000" w:themeColor="text1"/>
                <w:w w:val="99"/>
                <w:kern w:val="2"/>
                <w:sz w:val="21"/>
                <w:szCs w:val="24"/>
                <w:lang w:val="en-US"/>
                <w14:textFill>
                  <w14:solidFill>
                    <w14:schemeClr w14:val="tx1"/>
                  </w14:solidFill>
                </w14:textFill>
              </w:rPr>
              <w:t>；固废主要为油水作业产生的含油污泥、场站生活垃圾、含油污泥</w:t>
            </w:r>
            <w:r>
              <w:rPr>
                <w:rFonts w:ascii="Times New Roman" w:hAnsi="Times New Roman" w:cs="Times New Roman"/>
                <w:bCs/>
                <w:color w:val="000000" w:themeColor="text1"/>
                <w:w w:val="99"/>
                <w:sz w:val="21"/>
                <w:szCs w:val="21"/>
                <w:lang w:val="en-US" w:bidi="ar-SA"/>
                <w14:textFill>
                  <w14:solidFill>
                    <w14:schemeClr w14:val="tx1"/>
                  </w14:solidFill>
                </w14:textFill>
              </w:rPr>
              <w:t>由罐车拉运至</w:t>
            </w:r>
            <w:r>
              <w:rPr>
                <w:rFonts w:hint="eastAsia" w:ascii="Times New Roman" w:hAnsi="Times New Roman" w:cs="Times New Roman"/>
                <w:bCs/>
                <w:color w:val="000000" w:themeColor="text1"/>
                <w:w w:val="99"/>
                <w:sz w:val="21"/>
                <w:szCs w:val="21"/>
                <w:lang w:val="en-US" w:eastAsia="zh-CN" w:bidi="ar-SA"/>
                <w14:textFill>
                  <w14:solidFill>
                    <w14:schemeClr w14:val="tx1"/>
                  </w14:solidFill>
                </w14:textFill>
              </w:rPr>
              <w:t>第五采油厂</w:t>
            </w:r>
            <w:r>
              <w:rPr>
                <w:rFonts w:ascii="Times New Roman" w:hAnsi="Times New Roman" w:cs="Times New Roman"/>
                <w:bCs/>
                <w:color w:val="000000" w:themeColor="text1"/>
                <w:w w:val="99"/>
                <w:sz w:val="21"/>
                <w:szCs w:val="21"/>
                <w:lang w:val="en-US" w:bidi="ar-SA"/>
                <w14:textFill>
                  <w14:solidFill>
                    <w14:schemeClr w14:val="tx1"/>
                  </w14:solidFill>
                </w14:textFill>
              </w:rPr>
              <w:t>含油污泥处理站处理满足《油田含油污泥处置与利用污染控制要求》（DB23/T 3104-2022）表1中油田含油污泥经处置后泥渣利用污染物控制限值后用作油田垫井场和通井路</w:t>
            </w:r>
            <w:r>
              <w:rPr>
                <w:rFonts w:ascii="Times New Roman" w:hAnsi="Times New Roman" w:cs="Times New Roman"/>
                <w:color w:val="000000" w:themeColor="text1"/>
                <w:w w:val="99"/>
                <w:kern w:val="2"/>
                <w:sz w:val="21"/>
                <w:szCs w:val="24"/>
                <w:lang w:val="en-US"/>
                <w14:textFill>
                  <w14:solidFill>
                    <w14:schemeClr w14:val="tx1"/>
                  </w14:solidFill>
                </w14:textFill>
              </w:rPr>
              <w:t>，</w:t>
            </w:r>
            <w:r>
              <w:rPr>
                <w:rFonts w:ascii="Times New Roman" w:hAnsi="Times New Roman" w:cs="Times New Roman"/>
                <w:bCs/>
                <w:color w:val="000000" w:themeColor="text1"/>
                <w:w w:val="99"/>
                <w:kern w:val="2"/>
                <w:sz w:val="21"/>
                <w:szCs w:val="24"/>
                <w:lang w:val="en-US"/>
                <w14:textFill>
                  <w14:solidFill>
                    <w14:schemeClr w14:val="tx1"/>
                  </w14:solidFill>
                </w14:textFill>
              </w:rPr>
              <w:t>生活垃圾</w:t>
            </w:r>
            <w:r>
              <w:rPr>
                <w:rFonts w:ascii="Times New Roman" w:hAnsi="Times New Roman" w:cs="Times New Roman"/>
                <w:color w:val="000000" w:themeColor="text1"/>
                <w:w w:val="99"/>
                <w:kern w:val="2"/>
                <w:sz w:val="21"/>
                <w:szCs w:val="24"/>
                <w:lang w:val="en-US"/>
                <w14:textFill>
                  <w14:solidFill>
                    <w14:schemeClr w14:val="tx1"/>
                  </w14:solidFill>
                </w14:textFill>
              </w:rPr>
              <w:t>集中收集后拉运至大庆龙清生物科技有限公司进行处</w:t>
            </w:r>
            <w:r>
              <w:rPr>
                <w:rFonts w:ascii="Times New Roman" w:hAnsi="Times New Roman" w:cs="Times New Roman"/>
                <w:bCs/>
                <w:color w:val="000000" w:themeColor="text1"/>
                <w:w w:val="99"/>
                <w:kern w:val="2"/>
                <w:sz w:val="21"/>
                <w:szCs w:val="24"/>
                <w:lang w:val="en-US"/>
                <w14:textFill>
                  <w14:solidFill>
                    <w14:schemeClr w14:val="tx1"/>
                  </w14:solidFill>
                </w14:textFill>
              </w:rPr>
              <w:t>理</w:t>
            </w:r>
            <w:r>
              <w:rPr>
                <w:rFonts w:ascii="Times New Roman" w:hAnsi="Times New Roman" w:cs="Times New Roman"/>
                <w:color w:val="000000" w:themeColor="text1"/>
                <w:w w:val="99"/>
                <w:kern w:val="2"/>
                <w:sz w:val="21"/>
                <w:szCs w:val="24"/>
                <w:lang w:val="en-US"/>
                <w14:textFill>
                  <w14:solidFill>
                    <w14:schemeClr w14:val="tx1"/>
                  </w14:solidFill>
                </w14:textFill>
              </w:rPr>
              <w:t>。区块内生态恢复良好，未发现生态环境问题和环境风险隐患。</w:t>
            </w:r>
          </w:p>
          <w:p w14:paraId="02E40695">
            <w:pPr>
              <w:autoSpaceDE/>
              <w:autoSpaceDN/>
              <w:spacing w:line="320" w:lineRule="exact"/>
              <w:jc w:val="both"/>
              <w:rPr>
                <w:rFonts w:ascii="Times New Roman" w:hAnsi="Times New Roman" w:cs="Times New Roman"/>
                <w:color w:val="000000" w:themeColor="text1"/>
                <w:w w:val="99"/>
                <w:kern w:val="2"/>
                <w:sz w:val="21"/>
                <w:szCs w:val="24"/>
                <w:lang w:val="en-US"/>
                <w14:textFill>
                  <w14:solidFill>
                    <w14:schemeClr w14:val="tx1"/>
                  </w14:solidFill>
                </w14:textFill>
              </w:rPr>
            </w:pPr>
            <w:r>
              <w:rPr>
                <w:rFonts w:ascii="Times New Roman" w:hAnsi="Times New Roman" w:cs="Times New Roman"/>
                <w:color w:val="000000" w:themeColor="text1"/>
                <w:w w:val="99"/>
                <w:kern w:val="2"/>
                <w:sz w:val="21"/>
                <w:szCs w:val="24"/>
                <w:lang w:val="en-US"/>
                <w14:textFill>
                  <w14:solidFill>
                    <w14:schemeClr w14:val="tx1"/>
                  </w14:solidFill>
                </w14:textFill>
              </w:rPr>
              <w:t>明确了现有区块的污染物排放情况，依托设施的依托可行性及其污染物产生及排放情况，各依托设施均可有效依托。</w:t>
            </w:r>
          </w:p>
        </w:tc>
        <w:tc>
          <w:tcPr>
            <w:tcW w:w="529" w:type="pct"/>
            <w:vAlign w:val="center"/>
          </w:tcPr>
          <w:p w14:paraId="00DD29FF">
            <w:pPr>
              <w:autoSpaceDE/>
              <w:autoSpaceDN/>
              <w:spacing w:line="320" w:lineRule="exact"/>
              <w:jc w:val="center"/>
              <w:rPr>
                <w:rFonts w:ascii="Times New Roman" w:hAnsi="Times New Roman" w:cs="Times New Roman"/>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szCs w:val="24"/>
                <w:lang w:val="en-US" w:bidi="ar-SA"/>
                <w14:textFill>
                  <w14:solidFill>
                    <w14:schemeClr w14:val="tx1"/>
                  </w14:solidFill>
                </w14:textFill>
              </w:rPr>
              <w:t>符合</w:t>
            </w:r>
          </w:p>
        </w:tc>
      </w:tr>
      <w:tr w14:paraId="662FD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0" w:type="pct"/>
            <w:vAlign w:val="center"/>
          </w:tcPr>
          <w:p w14:paraId="151A0C85">
            <w:pPr>
              <w:autoSpaceDE/>
              <w:autoSpaceDN/>
              <w:spacing w:line="320" w:lineRule="exact"/>
              <w:jc w:val="center"/>
              <w:rPr>
                <w:rFonts w:ascii="Times New Roman" w:hAnsi="Times New Roman" w:cs="Times New Roman"/>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szCs w:val="24"/>
                <w:lang w:val="en-US" w:bidi="ar-SA"/>
                <w14:textFill>
                  <w14:solidFill>
                    <w14:schemeClr w14:val="tx1"/>
                  </w14:solidFill>
                </w14:textFill>
              </w:rPr>
              <w:t>2</w:t>
            </w:r>
          </w:p>
        </w:tc>
        <w:tc>
          <w:tcPr>
            <w:tcW w:w="1630" w:type="pct"/>
            <w:vAlign w:val="center"/>
          </w:tcPr>
          <w:p w14:paraId="235F0F07">
            <w:pPr>
              <w:autoSpaceDE/>
              <w:autoSpaceDN/>
              <w:spacing w:line="320" w:lineRule="exact"/>
              <w:jc w:val="both"/>
              <w:rPr>
                <w:rFonts w:ascii="Times New Roman" w:hAnsi="Times New Roman" w:cs="Times New Roman"/>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szCs w:val="24"/>
                <w:lang w:val="en-US" w:bidi="ar-SA"/>
                <w14:textFill>
                  <w14:solidFill>
                    <w14:schemeClr w14:val="tx1"/>
                  </w14:solidFill>
                </w14:textFill>
              </w:rPr>
              <w:t>确定产能建设规模后，原则上不得以勘探名义继续开展单井环评。勘探井转为生产井的，可以纳入区块环评。自2021年1月1日起，原则上不以单井形式开展环评。</w:t>
            </w:r>
          </w:p>
        </w:tc>
        <w:tc>
          <w:tcPr>
            <w:tcW w:w="2439" w:type="pct"/>
            <w:vAlign w:val="center"/>
          </w:tcPr>
          <w:p w14:paraId="10D048AD">
            <w:pPr>
              <w:autoSpaceDE/>
              <w:autoSpaceDN/>
              <w:spacing w:line="320" w:lineRule="exact"/>
              <w:jc w:val="both"/>
              <w:rPr>
                <w:rFonts w:ascii="Times New Roman" w:hAnsi="Times New Roman" w:cs="Times New Roman"/>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szCs w:val="24"/>
                <w:lang w:val="en-US" w:bidi="ar-SA"/>
                <w14:textFill>
                  <w14:solidFill>
                    <w14:schemeClr w14:val="tx1"/>
                  </w14:solidFill>
                </w14:textFill>
              </w:rPr>
              <w:t>本项目为油田</w:t>
            </w:r>
            <w:r>
              <w:rPr>
                <w:rFonts w:hint="eastAsia" w:ascii="Times New Roman" w:hAnsi="Times New Roman" w:cs="Times New Roman"/>
                <w:color w:val="000000" w:themeColor="text1"/>
                <w:w w:val="99"/>
                <w:kern w:val="2"/>
                <w:sz w:val="21"/>
                <w:szCs w:val="24"/>
                <w:lang w:val="en-US" w:bidi="ar-SA"/>
                <w14:textFill>
                  <w14:solidFill>
                    <w14:schemeClr w14:val="tx1"/>
                  </w14:solidFill>
                </w14:textFill>
              </w:rPr>
              <w:t>放空气</w:t>
            </w:r>
            <w:r>
              <w:rPr>
                <w:rFonts w:ascii="Times New Roman" w:hAnsi="Times New Roman" w:cs="Times New Roman"/>
                <w:color w:val="000000" w:themeColor="text1"/>
                <w:w w:val="99"/>
                <w:kern w:val="2"/>
                <w:sz w:val="21"/>
                <w:szCs w:val="24"/>
                <w:lang w:val="en-US" w:bidi="ar-SA"/>
                <w14:textFill>
                  <w14:solidFill>
                    <w14:schemeClr w14:val="tx1"/>
                  </w14:solidFill>
                </w14:textFill>
              </w:rPr>
              <w:t>治理项目，建设内容包括拆除区块内现有拉油点，以管线集输的方式运输处理区块内产生的原油，不以单井形式开展环评。</w:t>
            </w:r>
          </w:p>
        </w:tc>
        <w:tc>
          <w:tcPr>
            <w:tcW w:w="529" w:type="pct"/>
            <w:vAlign w:val="center"/>
          </w:tcPr>
          <w:p w14:paraId="2180D31E">
            <w:pPr>
              <w:autoSpaceDE/>
              <w:autoSpaceDN/>
              <w:spacing w:line="320" w:lineRule="exact"/>
              <w:jc w:val="center"/>
              <w:rPr>
                <w:rFonts w:ascii="Times New Roman" w:hAnsi="Times New Roman" w:cs="Times New Roman"/>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szCs w:val="24"/>
                <w:lang w:val="en-US" w:bidi="ar-SA"/>
                <w14:textFill>
                  <w14:solidFill>
                    <w14:schemeClr w14:val="tx1"/>
                  </w14:solidFill>
                </w14:textFill>
              </w:rPr>
              <w:t>符合</w:t>
            </w:r>
          </w:p>
        </w:tc>
      </w:tr>
      <w:tr w14:paraId="06F7F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0" w:type="pct"/>
            <w:vAlign w:val="center"/>
          </w:tcPr>
          <w:p w14:paraId="545FAD4C">
            <w:pPr>
              <w:autoSpaceDE/>
              <w:autoSpaceDN/>
              <w:spacing w:line="320" w:lineRule="exact"/>
              <w:jc w:val="center"/>
              <w:rPr>
                <w:rFonts w:ascii="Times New Roman" w:hAnsi="Times New Roman" w:cs="Times New Roman"/>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szCs w:val="24"/>
                <w:lang w:val="en-US" w:bidi="ar-SA"/>
                <w14:textFill>
                  <w14:solidFill>
                    <w14:schemeClr w14:val="tx1"/>
                  </w14:solidFill>
                </w14:textFill>
              </w:rPr>
              <w:t>3</w:t>
            </w:r>
          </w:p>
        </w:tc>
        <w:tc>
          <w:tcPr>
            <w:tcW w:w="1630" w:type="pct"/>
            <w:vAlign w:val="center"/>
          </w:tcPr>
          <w:p w14:paraId="75881A6B">
            <w:pPr>
              <w:autoSpaceDE/>
              <w:autoSpaceDN/>
              <w:spacing w:line="320" w:lineRule="exact"/>
              <w:jc w:val="both"/>
              <w:rPr>
                <w:rFonts w:ascii="Times New Roman" w:hAnsi="Times New Roman" w:cs="Times New Roman"/>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szCs w:val="24"/>
                <w:lang w:val="en-US" w:bidi="ar-SA"/>
                <w14:textFill>
                  <w14:solidFill>
                    <w14:schemeClr w14:val="tx1"/>
                  </w14:solidFill>
                </w14:textFill>
              </w:rPr>
              <w:t>涉及向地表水体排放污染物的陆地油气开采项目，应当符合国家和地方污染物排放标准，满足重点污染物排放总量控制要求。</w:t>
            </w:r>
          </w:p>
        </w:tc>
        <w:tc>
          <w:tcPr>
            <w:tcW w:w="2439" w:type="pct"/>
            <w:vAlign w:val="center"/>
          </w:tcPr>
          <w:p w14:paraId="016A6499">
            <w:pPr>
              <w:autoSpaceDE/>
              <w:autoSpaceDN/>
              <w:spacing w:line="320" w:lineRule="exact"/>
              <w:jc w:val="both"/>
              <w:rPr>
                <w:rFonts w:ascii="Times New Roman" w:hAnsi="Times New Roman" w:cs="Times New Roman"/>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szCs w:val="24"/>
                <w:lang w:val="en-US" w:bidi="ar-SA"/>
                <w14:textFill>
                  <w14:solidFill>
                    <w14:schemeClr w14:val="tx1"/>
                  </w14:solidFill>
                </w14:textFill>
              </w:rPr>
              <w:t>本项目施工期及运营期废水均不外排。</w:t>
            </w:r>
          </w:p>
        </w:tc>
        <w:tc>
          <w:tcPr>
            <w:tcW w:w="529" w:type="pct"/>
            <w:vAlign w:val="center"/>
          </w:tcPr>
          <w:p w14:paraId="69A20072">
            <w:pPr>
              <w:autoSpaceDE/>
              <w:autoSpaceDN/>
              <w:spacing w:line="320" w:lineRule="exact"/>
              <w:jc w:val="center"/>
              <w:rPr>
                <w:rFonts w:ascii="Times New Roman" w:hAnsi="Times New Roman" w:cs="Times New Roman"/>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szCs w:val="24"/>
                <w:lang w:val="en-US" w:bidi="ar-SA"/>
                <w14:textFill>
                  <w14:solidFill>
                    <w14:schemeClr w14:val="tx1"/>
                  </w14:solidFill>
                </w14:textFill>
              </w:rPr>
              <w:t>符合</w:t>
            </w:r>
          </w:p>
        </w:tc>
      </w:tr>
      <w:tr w14:paraId="51445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0" w:type="pct"/>
            <w:vAlign w:val="center"/>
          </w:tcPr>
          <w:p w14:paraId="72E9F37E">
            <w:pPr>
              <w:autoSpaceDE/>
              <w:autoSpaceDN/>
              <w:spacing w:line="320" w:lineRule="exact"/>
              <w:jc w:val="center"/>
              <w:rPr>
                <w:rFonts w:ascii="Times New Roman" w:hAnsi="Times New Roman" w:cs="Times New Roman"/>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szCs w:val="24"/>
                <w:lang w:val="en-US" w:bidi="ar-SA"/>
                <w14:textFill>
                  <w14:solidFill>
                    <w14:schemeClr w14:val="tx1"/>
                  </w14:solidFill>
                </w14:textFill>
              </w:rPr>
              <w:t>4</w:t>
            </w:r>
          </w:p>
        </w:tc>
        <w:tc>
          <w:tcPr>
            <w:tcW w:w="1630" w:type="pct"/>
            <w:vAlign w:val="center"/>
          </w:tcPr>
          <w:p w14:paraId="142F27EE">
            <w:pPr>
              <w:autoSpaceDE/>
              <w:autoSpaceDN/>
              <w:spacing w:line="320" w:lineRule="exact"/>
              <w:jc w:val="both"/>
              <w:rPr>
                <w:rFonts w:ascii="Times New Roman" w:hAnsi="Times New Roman" w:cs="Times New Roman"/>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szCs w:val="24"/>
                <w:lang w:val="en-US" w:bidi="ar-SA"/>
                <w14:textFill>
                  <w14:solidFill>
                    <w14:schemeClr w14:val="tx1"/>
                  </w14:solidFill>
                </w14:textFill>
              </w:rPr>
              <w:t>涉及废水回注的，应当论证回注的环境可行性，采取切实可行的地下水污染防治和监控措施，不得回注与油气开采无关的废水，严禁造成地下水污染。在相关行业污染控制标准发布前，回注的开采废水应当经处理并符合《碎屑岩油藏注水水质推荐指标及分析方法》（SY/T5329）等相关标准要求后回注，同步采取切实可行措施防治污染。回注目的层应当为地质构造封闭地层，一般应当回注到现役油气藏或枯竭废弃油气藏。</w:t>
            </w:r>
          </w:p>
        </w:tc>
        <w:tc>
          <w:tcPr>
            <w:tcW w:w="2439" w:type="pct"/>
            <w:vAlign w:val="center"/>
          </w:tcPr>
          <w:p w14:paraId="701B9260">
            <w:pPr>
              <w:autoSpaceDE/>
              <w:autoSpaceDN/>
              <w:spacing w:line="320" w:lineRule="exact"/>
              <w:jc w:val="both"/>
              <w:rPr>
                <w:rFonts w:ascii="Times New Roman" w:hAnsi="Times New Roman" w:cs="Times New Roman"/>
                <w:color w:val="000000" w:themeColor="text1"/>
                <w:w w:val="99"/>
                <w:kern w:val="2"/>
                <w:sz w:val="21"/>
                <w:szCs w:val="24"/>
                <w:lang w:val="en-US"/>
                <w14:textFill>
                  <w14:solidFill>
                    <w14:schemeClr w14:val="tx1"/>
                  </w14:solidFill>
                </w14:textFill>
              </w:rPr>
            </w:pPr>
            <w:r>
              <w:rPr>
                <w:rFonts w:ascii="Times New Roman" w:hAnsi="Times New Roman" w:cs="Times New Roman"/>
                <w:color w:val="000000" w:themeColor="text1"/>
                <w:w w:val="99"/>
                <w:kern w:val="2"/>
                <w:sz w:val="21"/>
                <w:szCs w:val="24"/>
                <w:lang w:val="en-US"/>
                <w14:textFill>
                  <w14:solidFill>
                    <w14:schemeClr w14:val="tx1"/>
                  </w14:solidFill>
                </w14:textFill>
              </w:rPr>
              <w:t>项目</w:t>
            </w:r>
            <w:r>
              <w:rPr>
                <w:rFonts w:ascii="Times New Roman" w:hAnsi="Times New Roman" w:cs="Times New Roman"/>
                <w:bCs/>
                <w:color w:val="000000" w:themeColor="text1"/>
                <w:w w:val="99"/>
                <w:kern w:val="2"/>
                <w:sz w:val="21"/>
                <w:szCs w:val="24"/>
                <w:lang w:val="en-US"/>
                <w14:textFill>
                  <w14:solidFill>
                    <w14:schemeClr w14:val="tx1"/>
                  </w14:solidFill>
                </w14:textFill>
              </w:rPr>
              <w:t>新建输油管线试压废水由罐车拉运至龙一联含油污水处理站处理达到《大庆油田地面工程建设设计规定》（Q/SYDQ0639-2015）表3中的“含油量≤8mg/L、悬浮固体≤3mg/L、粒径中值≤2μm”规定后回注油层，属于回注到现役油气藏层位。地下水防治措施采取过程防控、跟踪监测来防止污染地下水。</w:t>
            </w:r>
          </w:p>
        </w:tc>
        <w:tc>
          <w:tcPr>
            <w:tcW w:w="529" w:type="pct"/>
            <w:vAlign w:val="center"/>
          </w:tcPr>
          <w:p w14:paraId="6CCB6090">
            <w:pPr>
              <w:autoSpaceDE/>
              <w:autoSpaceDN/>
              <w:spacing w:line="320" w:lineRule="exact"/>
              <w:jc w:val="center"/>
              <w:rPr>
                <w:rFonts w:ascii="Times New Roman" w:hAnsi="Times New Roman" w:cs="Times New Roman"/>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szCs w:val="24"/>
                <w:lang w:val="en-US" w:bidi="ar-SA"/>
                <w14:textFill>
                  <w14:solidFill>
                    <w14:schemeClr w14:val="tx1"/>
                  </w14:solidFill>
                </w14:textFill>
              </w:rPr>
              <w:t>符合</w:t>
            </w:r>
          </w:p>
        </w:tc>
      </w:tr>
      <w:tr w14:paraId="6BCC6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0" w:type="pct"/>
            <w:vAlign w:val="center"/>
          </w:tcPr>
          <w:p w14:paraId="4711E1E9">
            <w:pPr>
              <w:widowControl/>
              <w:autoSpaceDE/>
              <w:autoSpaceDN/>
              <w:spacing w:line="320" w:lineRule="exact"/>
              <w:jc w:val="center"/>
              <w:rPr>
                <w:rFonts w:ascii="Times New Roman" w:hAnsi="Times New Roman" w:cs="Times New Roman"/>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szCs w:val="24"/>
                <w:lang w:val="en-US" w:bidi="ar-SA"/>
                <w14:textFill>
                  <w14:solidFill>
                    <w14:schemeClr w14:val="tx1"/>
                  </w14:solidFill>
                </w14:textFill>
              </w:rPr>
              <w:t>5</w:t>
            </w:r>
          </w:p>
        </w:tc>
        <w:tc>
          <w:tcPr>
            <w:tcW w:w="1630" w:type="pct"/>
            <w:vAlign w:val="center"/>
          </w:tcPr>
          <w:p w14:paraId="14148B01">
            <w:pPr>
              <w:widowControl/>
              <w:autoSpaceDE/>
              <w:autoSpaceDN/>
              <w:spacing w:line="320" w:lineRule="exact"/>
              <w:jc w:val="both"/>
              <w:rPr>
                <w:rFonts w:ascii="Times New Roman" w:hAnsi="Times New Roman" w:cs="Times New Roman"/>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szCs w:val="24"/>
                <w:lang w:val="en-US" w:bidi="ar-SA"/>
                <w14:textFill>
                  <w14:solidFill>
                    <w14:schemeClr w14:val="tx1"/>
                  </w14:solidFill>
                </w14:textFill>
              </w:rPr>
              <w:t>通过采取设备密闭、废气有效收集及配套高效末端处理设施等措施，有效控制挥发性有机物和恶臭气体无组织排放</w:t>
            </w:r>
          </w:p>
        </w:tc>
        <w:tc>
          <w:tcPr>
            <w:tcW w:w="2439" w:type="pct"/>
            <w:vAlign w:val="center"/>
          </w:tcPr>
          <w:p w14:paraId="7325534B">
            <w:pPr>
              <w:widowControl/>
              <w:autoSpaceDE/>
              <w:autoSpaceDN/>
              <w:spacing w:line="320" w:lineRule="exact"/>
              <w:jc w:val="both"/>
              <w:rPr>
                <w:rFonts w:ascii="Times New Roman" w:hAnsi="Times New Roman" w:cs="Times New Roman"/>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szCs w:val="24"/>
                <w:lang w:val="en-US" w:bidi="ar-SA"/>
                <w14:textFill>
                  <w14:solidFill>
                    <w14:schemeClr w14:val="tx1"/>
                  </w14:solidFill>
                </w14:textFill>
              </w:rPr>
              <w:t>项目阀门、泵等安装密封垫，集输管线采用密闭管道，最大限度降低烃类气体的挥发。</w:t>
            </w:r>
          </w:p>
        </w:tc>
        <w:tc>
          <w:tcPr>
            <w:tcW w:w="529" w:type="pct"/>
            <w:vAlign w:val="center"/>
          </w:tcPr>
          <w:p w14:paraId="79F94B58">
            <w:pPr>
              <w:widowControl/>
              <w:autoSpaceDE/>
              <w:autoSpaceDN/>
              <w:spacing w:line="320" w:lineRule="exact"/>
              <w:jc w:val="center"/>
              <w:rPr>
                <w:rFonts w:ascii="Times New Roman" w:hAnsi="Times New Roman" w:cs="Times New Roman"/>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szCs w:val="24"/>
                <w:lang w:val="en-US" w:bidi="ar-SA"/>
                <w14:textFill>
                  <w14:solidFill>
                    <w14:schemeClr w14:val="tx1"/>
                  </w14:solidFill>
                </w14:textFill>
              </w:rPr>
              <w:t>符合</w:t>
            </w:r>
          </w:p>
        </w:tc>
      </w:tr>
      <w:tr w14:paraId="0455B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0" w:type="pct"/>
            <w:vAlign w:val="center"/>
          </w:tcPr>
          <w:p w14:paraId="1C75C0DF">
            <w:pPr>
              <w:widowControl/>
              <w:autoSpaceDE/>
              <w:autoSpaceDN/>
              <w:spacing w:line="320" w:lineRule="exact"/>
              <w:jc w:val="center"/>
              <w:rPr>
                <w:rFonts w:ascii="Times New Roman" w:hAnsi="Times New Roman" w:cs="Times New Roman"/>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szCs w:val="24"/>
                <w:lang w:val="en-US" w:bidi="ar-SA"/>
                <w14:textFill>
                  <w14:solidFill>
                    <w14:schemeClr w14:val="tx1"/>
                  </w14:solidFill>
                </w14:textFill>
              </w:rPr>
              <w:t>6</w:t>
            </w:r>
          </w:p>
        </w:tc>
        <w:tc>
          <w:tcPr>
            <w:tcW w:w="1630" w:type="pct"/>
            <w:vAlign w:val="center"/>
          </w:tcPr>
          <w:p w14:paraId="6C74F5DD">
            <w:pPr>
              <w:widowControl/>
              <w:autoSpaceDE/>
              <w:autoSpaceDN/>
              <w:spacing w:line="320" w:lineRule="exact"/>
              <w:jc w:val="both"/>
              <w:rPr>
                <w:rFonts w:ascii="Times New Roman" w:hAnsi="Times New Roman" w:cs="Times New Roman"/>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szCs w:val="24"/>
                <w:lang w:val="en-US" w:bidi="ar-SA"/>
                <w14:textFill>
                  <w14:solidFill>
                    <w14:schemeClr w14:val="tx1"/>
                  </w14:solidFill>
                </w14:textFill>
              </w:rPr>
              <w:t>油气开采产生的废弃油基泥浆、含油钻屑及其他固体废物，应当遵循减量化、资源化、无害化原则，按照国家和地方有关固体废物的管理规定进行处置。鼓励企业自建含油污泥集中式处理和综合利用设施，提高废弃油基泥浆和含油钻屑及其处理产物的综合利用率。油气开采项目产生的危险废物，应当按照《建设项目危险废物环境影响评价指南》要求评价。</w:t>
            </w:r>
          </w:p>
        </w:tc>
        <w:tc>
          <w:tcPr>
            <w:tcW w:w="2439" w:type="pct"/>
            <w:vAlign w:val="center"/>
          </w:tcPr>
          <w:p w14:paraId="5E090ABB">
            <w:pPr>
              <w:widowControl/>
              <w:autoSpaceDE/>
              <w:autoSpaceDN/>
              <w:spacing w:line="320" w:lineRule="exact"/>
              <w:jc w:val="both"/>
              <w:rPr>
                <w:rFonts w:ascii="Times New Roman" w:hAnsi="Times New Roman" w:cs="Times New Roman"/>
                <w:color w:val="000000" w:themeColor="text1"/>
                <w:w w:val="99"/>
                <w:kern w:val="2"/>
                <w:sz w:val="21"/>
                <w:szCs w:val="24"/>
                <w:lang w:val="en-US"/>
                <w14:textFill>
                  <w14:solidFill>
                    <w14:schemeClr w14:val="tx1"/>
                  </w14:solidFill>
                </w14:textFill>
              </w:rPr>
            </w:pPr>
            <w:r>
              <w:rPr>
                <w:rFonts w:ascii="Times New Roman" w:hAnsi="Times New Roman" w:cs="Times New Roman"/>
                <w:color w:val="000000" w:themeColor="text1"/>
                <w:w w:val="99"/>
                <w:kern w:val="2"/>
                <w:sz w:val="21"/>
                <w:szCs w:val="24"/>
                <w:lang w:val="en-US"/>
                <w14:textFill>
                  <w14:solidFill>
                    <w14:schemeClr w14:val="tx1"/>
                  </w14:solidFill>
                </w14:textFill>
              </w:rPr>
              <w:t>项目施工期</w:t>
            </w:r>
            <w:r>
              <w:rPr>
                <w:rFonts w:ascii="Times New Roman" w:hAnsi="Times New Roman" w:cs="Times New Roman"/>
                <w:bCs/>
                <w:color w:val="000000" w:themeColor="text1"/>
                <w:w w:val="99"/>
                <w:kern w:val="2"/>
                <w:sz w:val="21"/>
                <w:szCs w:val="24"/>
                <w:lang w:val="en-US"/>
                <w14:textFill>
                  <w14:solidFill>
                    <w14:schemeClr w14:val="tx1"/>
                  </w14:solidFill>
                </w14:textFill>
              </w:rPr>
              <w:t>施工废料最大限度回收利用后，剩余废料拉运至第八采油厂工业固废填埋场处理；建筑垃圾全部由施工单位拉运至大庆市</w:t>
            </w:r>
            <w:r>
              <w:rPr>
                <w:rFonts w:hint="eastAsia" w:ascii="Times New Roman" w:hAnsi="Times New Roman" w:cs="Times New Roman"/>
                <w:bCs/>
                <w:color w:val="000000" w:themeColor="text1"/>
                <w:w w:val="99"/>
                <w:kern w:val="2"/>
                <w:sz w:val="21"/>
                <w:szCs w:val="24"/>
                <w:lang w:val="en-US" w:eastAsia="zh-CN"/>
                <w14:textFill>
                  <w14:solidFill>
                    <w14:schemeClr w14:val="tx1"/>
                  </w14:solidFill>
                </w14:textFill>
              </w:rPr>
              <w:t>红岗区杏树岗镇</w:t>
            </w:r>
            <w:r>
              <w:rPr>
                <w:rFonts w:ascii="Times New Roman" w:hAnsi="Times New Roman" w:cs="Times New Roman"/>
                <w:bCs/>
                <w:color w:val="000000" w:themeColor="text1"/>
                <w:w w:val="99"/>
                <w:kern w:val="2"/>
                <w:sz w:val="21"/>
                <w:szCs w:val="24"/>
                <w:lang w:val="en-US"/>
                <w14:textFill>
                  <w14:solidFill>
                    <w14:schemeClr w14:val="tx1"/>
                  </w14:solidFill>
                </w14:textFill>
              </w:rPr>
              <w:t>建筑垃圾消纳场处理；废旧设备全部回收至</w:t>
            </w:r>
            <w:r>
              <w:rPr>
                <w:rFonts w:hint="eastAsia" w:ascii="Times New Roman" w:hAnsi="Times New Roman" w:cs="Times New Roman"/>
                <w:bCs/>
                <w:color w:val="000000" w:themeColor="text1"/>
                <w:w w:val="99"/>
                <w:kern w:val="2"/>
                <w:sz w:val="21"/>
                <w:szCs w:val="24"/>
                <w:lang w:val="en-US" w:eastAsia="zh-CN"/>
                <w14:textFill>
                  <w14:solidFill>
                    <w14:schemeClr w14:val="tx1"/>
                  </w14:solidFill>
                </w14:textFill>
              </w:rPr>
              <w:t>第五采油厂</w:t>
            </w:r>
            <w:r>
              <w:rPr>
                <w:rFonts w:ascii="Times New Roman" w:hAnsi="Times New Roman" w:cs="Times New Roman"/>
                <w:bCs/>
                <w:color w:val="000000" w:themeColor="text1"/>
                <w:w w:val="99"/>
                <w:kern w:val="2"/>
                <w:sz w:val="21"/>
                <w:szCs w:val="24"/>
                <w:lang w:val="en-US"/>
                <w14:textFill>
                  <w14:solidFill>
                    <w14:schemeClr w14:val="tx1"/>
                  </w14:solidFill>
                </w14:textFill>
              </w:rPr>
              <w:t>物资库再利用。生活垃圾统一收集后拉运至大庆龙清生物科技有限公司处理。清淤油泥由罐车拉运至</w:t>
            </w:r>
            <w:r>
              <w:rPr>
                <w:rFonts w:hint="eastAsia" w:ascii="Times New Roman" w:hAnsi="Times New Roman" w:cs="Times New Roman"/>
                <w:bCs/>
                <w:color w:val="000000" w:themeColor="text1"/>
                <w:w w:val="99"/>
                <w:kern w:val="2"/>
                <w:sz w:val="21"/>
                <w:szCs w:val="24"/>
                <w:lang w:val="en-US" w:eastAsia="zh-CN"/>
                <w14:textFill>
                  <w14:solidFill>
                    <w14:schemeClr w14:val="tx1"/>
                  </w14:solidFill>
                </w14:textFill>
              </w:rPr>
              <w:t>第五采油厂</w:t>
            </w:r>
            <w:r>
              <w:rPr>
                <w:rFonts w:ascii="Times New Roman" w:hAnsi="Times New Roman" w:cs="Times New Roman"/>
                <w:bCs/>
                <w:color w:val="000000" w:themeColor="text1"/>
                <w:w w:val="99"/>
                <w:kern w:val="2"/>
                <w:sz w:val="21"/>
                <w:szCs w:val="24"/>
                <w:lang w:val="en-US"/>
                <w14:textFill>
                  <w14:solidFill>
                    <w14:schemeClr w14:val="tx1"/>
                  </w14:solidFill>
                </w14:textFill>
              </w:rPr>
              <w:t>含油污泥处理站处理满足《油田含油污泥处置与利用污染控制要求》（DB23/T 3104-2022）表1中油田含油污泥经处置后泥渣利用污染物控制限值后用作油田垫井场和通井路</w:t>
            </w:r>
            <w:r>
              <w:rPr>
                <w:rFonts w:ascii="Times New Roman" w:hAnsi="Times New Roman" w:cs="Times New Roman"/>
                <w:color w:val="000000" w:themeColor="text1"/>
                <w:w w:val="99"/>
                <w:kern w:val="2"/>
                <w:sz w:val="21"/>
                <w:szCs w:val="24"/>
                <w:lang w:val="en-US"/>
                <w14:textFill>
                  <w14:solidFill>
                    <w14:schemeClr w14:val="tx1"/>
                  </w14:solidFill>
                </w14:textFill>
              </w:rPr>
              <w:t>，项目产生的危险废物</w:t>
            </w:r>
            <w:r>
              <w:rPr>
                <w:rFonts w:hint="eastAsia" w:ascii="Times New Roman" w:hAnsi="Times New Roman" w:cs="Times New Roman"/>
                <w:color w:val="000000" w:themeColor="text1"/>
                <w:w w:val="99"/>
                <w:kern w:val="2"/>
                <w:sz w:val="21"/>
                <w:szCs w:val="24"/>
                <w:lang w:val="en-US"/>
                <w14:textFill>
                  <w14:solidFill>
                    <w14:schemeClr w14:val="tx1"/>
                  </w14:solidFill>
                </w14:textFill>
              </w:rPr>
              <w:t>已</w:t>
            </w:r>
            <w:r>
              <w:rPr>
                <w:rFonts w:ascii="Times New Roman" w:hAnsi="Times New Roman" w:cs="Times New Roman"/>
                <w:color w:val="000000" w:themeColor="text1"/>
                <w:w w:val="99"/>
                <w:kern w:val="2"/>
                <w:sz w:val="21"/>
                <w:szCs w:val="24"/>
                <w:lang w:val="en-US"/>
                <w14:textFill>
                  <w14:solidFill>
                    <w14:schemeClr w14:val="tx1"/>
                  </w14:solidFill>
                </w14:textFill>
              </w:rPr>
              <w:t>按照《建设项目危险废物环境影响评价指南》要求评价。</w:t>
            </w:r>
          </w:p>
        </w:tc>
        <w:tc>
          <w:tcPr>
            <w:tcW w:w="529" w:type="pct"/>
            <w:vAlign w:val="center"/>
          </w:tcPr>
          <w:p w14:paraId="1BED940F">
            <w:pPr>
              <w:widowControl/>
              <w:autoSpaceDE/>
              <w:autoSpaceDN/>
              <w:spacing w:line="320" w:lineRule="exact"/>
              <w:jc w:val="center"/>
              <w:rPr>
                <w:rFonts w:ascii="Times New Roman" w:hAnsi="Times New Roman" w:cs="Times New Roman"/>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szCs w:val="24"/>
                <w:lang w:val="en-US" w:bidi="ar-SA"/>
                <w14:textFill>
                  <w14:solidFill>
                    <w14:schemeClr w14:val="tx1"/>
                  </w14:solidFill>
                </w14:textFill>
              </w:rPr>
              <w:t>符合</w:t>
            </w:r>
          </w:p>
        </w:tc>
      </w:tr>
      <w:tr w14:paraId="631AB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0" w:type="pct"/>
            <w:vAlign w:val="center"/>
          </w:tcPr>
          <w:p w14:paraId="67F58CA8">
            <w:pPr>
              <w:widowControl/>
              <w:autoSpaceDE/>
              <w:autoSpaceDN/>
              <w:spacing w:line="320" w:lineRule="exact"/>
              <w:jc w:val="center"/>
              <w:rPr>
                <w:rFonts w:ascii="Times New Roman" w:hAnsi="Times New Roman" w:cs="Times New Roman"/>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szCs w:val="24"/>
                <w:lang w:val="en-US" w:bidi="ar-SA"/>
                <w14:textFill>
                  <w14:solidFill>
                    <w14:schemeClr w14:val="tx1"/>
                  </w14:solidFill>
                </w14:textFill>
              </w:rPr>
              <w:t>7</w:t>
            </w:r>
          </w:p>
        </w:tc>
        <w:tc>
          <w:tcPr>
            <w:tcW w:w="1630" w:type="pct"/>
            <w:vAlign w:val="center"/>
          </w:tcPr>
          <w:p w14:paraId="5221E5F1">
            <w:pPr>
              <w:widowControl/>
              <w:autoSpaceDE/>
              <w:autoSpaceDN/>
              <w:spacing w:line="320" w:lineRule="exact"/>
              <w:jc w:val="both"/>
              <w:rPr>
                <w:rFonts w:ascii="Times New Roman" w:hAnsi="Times New Roman" w:cs="Times New Roman"/>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szCs w:val="24"/>
                <w:lang w:val="en-US" w:bidi="ar-SA"/>
                <w14:textFill>
                  <w14:solidFill>
                    <w14:schemeClr w14:val="tx1"/>
                  </w14:solidFill>
                </w14:textFill>
              </w:rPr>
              <w:t>施工期应当尽量减少施工占地、缩短施工时间、选择合理施工方式、落实环境敏感区管控要求以及其他生态环境保护措施，降低生态环境影响。钻井和压裂设备应当优先使用网电、高标准清洁燃油，减少废气排放。</w:t>
            </w:r>
          </w:p>
        </w:tc>
        <w:tc>
          <w:tcPr>
            <w:tcW w:w="2439" w:type="pct"/>
            <w:vAlign w:val="center"/>
          </w:tcPr>
          <w:p w14:paraId="797F3161">
            <w:pPr>
              <w:spacing w:line="320" w:lineRule="exact"/>
              <w:jc w:val="both"/>
              <w:rPr>
                <w:rFonts w:ascii="Times New Roman" w:hAnsi="Times New Roman" w:cs="Times New Roman"/>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szCs w:val="24"/>
                <w:lang w:val="en-US"/>
                <w14:textFill>
                  <w14:solidFill>
                    <w14:schemeClr w14:val="tx1"/>
                  </w14:solidFill>
                </w14:textFill>
              </w:rPr>
              <w:t>施工期管线均在临时用地内进行施工，施工采用人工开挖和机械开挖相结合的方式。</w:t>
            </w:r>
            <w:r>
              <w:rPr>
                <w:rFonts w:ascii="Times New Roman" w:hAnsi="Times New Roman" w:cs="Times New Roman"/>
                <w:color w:val="000000" w:themeColor="text1"/>
                <w:w w:val="99"/>
                <w:kern w:val="2"/>
                <w:sz w:val="21"/>
                <w:szCs w:val="24"/>
                <w:lang w:val="en-US" w:bidi="ar-SA"/>
                <w14:textFill>
                  <w14:solidFill>
                    <w14:schemeClr w14:val="tx1"/>
                  </w14:solidFill>
                </w14:textFill>
              </w:rPr>
              <w:t>环评中已提出项目所占</w:t>
            </w:r>
            <w:r>
              <w:rPr>
                <w:rFonts w:hint="eastAsia" w:ascii="Times New Roman" w:hAnsi="Times New Roman" w:cs="Times New Roman"/>
                <w:color w:val="000000" w:themeColor="text1"/>
                <w:w w:val="99"/>
                <w:kern w:val="2"/>
                <w:sz w:val="21"/>
                <w:szCs w:val="24"/>
                <w:lang w:val="en-US" w:bidi="ar-SA"/>
                <w14:textFill>
                  <w14:solidFill>
                    <w14:schemeClr w14:val="tx1"/>
                  </w14:solidFill>
                </w14:textFill>
              </w:rPr>
              <w:t>耕地及草地</w:t>
            </w:r>
            <w:r>
              <w:rPr>
                <w:rFonts w:ascii="Times New Roman" w:hAnsi="Times New Roman" w:cs="Times New Roman"/>
                <w:color w:val="000000" w:themeColor="text1"/>
                <w:w w:val="99"/>
                <w:kern w:val="2"/>
                <w:sz w:val="21"/>
                <w:szCs w:val="24"/>
                <w:lang w:val="en-US" w:bidi="ar-SA"/>
                <w14:textFill>
                  <w14:solidFill>
                    <w14:schemeClr w14:val="tx1"/>
                  </w14:solidFill>
                </w14:textFill>
              </w:rPr>
              <w:t>的保护措施。</w:t>
            </w:r>
          </w:p>
        </w:tc>
        <w:tc>
          <w:tcPr>
            <w:tcW w:w="529" w:type="pct"/>
            <w:vAlign w:val="center"/>
          </w:tcPr>
          <w:p w14:paraId="1F96467C">
            <w:pPr>
              <w:widowControl/>
              <w:autoSpaceDE/>
              <w:autoSpaceDN/>
              <w:spacing w:line="320" w:lineRule="exact"/>
              <w:jc w:val="center"/>
              <w:rPr>
                <w:rFonts w:ascii="Times New Roman" w:hAnsi="Times New Roman" w:cs="Times New Roman"/>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szCs w:val="24"/>
                <w:lang w:val="en-US" w:bidi="ar-SA"/>
                <w14:textFill>
                  <w14:solidFill>
                    <w14:schemeClr w14:val="tx1"/>
                  </w14:solidFill>
                </w14:textFill>
              </w:rPr>
              <w:t>符合</w:t>
            </w:r>
          </w:p>
        </w:tc>
      </w:tr>
      <w:tr w14:paraId="04FAE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0" w:type="pct"/>
            <w:vAlign w:val="center"/>
          </w:tcPr>
          <w:p w14:paraId="136E7DA1">
            <w:pPr>
              <w:widowControl/>
              <w:autoSpaceDE/>
              <w:autoSpaceDN/>
              <w:spacing w:line="320" w:lineRule="exact"/>
              <w:jc w:val="center"/>
              <w:rPr>
                <w:rFonts w:ascii="Times New Roman" w:hAnsi="Times New Roman" w:cs="Times New Roman"/>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szCs w:val="24"/>
                <w:lang w:val="en-US" w:bidi="ar-SA"/>
                <w14:textFill>
                  <w14:solidFill>
                    <w14:schemeClr w14:val="tx1"/>
                  </w14:solidFill>
                </w14:textFill>
              </w:rPr>
              <w:t>8</w:t>
            </w:r>
          </w:p>
        </w:tc>
        <w:tc>
          <w:tcPr>
            <w:tcW w:w="1630" w:type="pct"/>
            <w:vAlign w:val="center"/>
          </w:tcPr>
          <w:p w14:paraId="10D64C67">
            <w:pPr>
              <w:widowControl/>
              <w:autoSpaceDE/>
              <w:autoSpaceDN/>
              <w:spacing w:line="320" w:lineRule="exact"/>
              <w:jc w:val="both"/>
              <w:rPr>
                <w:rFonts w:ascii="Times New Roman" w:hAnsi="Times New Roman" w:cs="Times New Roman"/>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szCs w:val="24"/>
                <w:lang w:val="en-US" w:bidi="ar-SA"/>
                <w14:textFill>
                  <w14:solidFill>
                    <w14:schemeClr w14:val="tx1"/>
                  </w14:solidFill>
                </w14:textFill>
              </w:rPr>
              <w:t>油气企业应当加强风险防控，按规定编制突发环境事件应急预案，报所在地生态环境主管部门备案。</w:t>
            </w:r>
          </w:p>
        </w:tc>
        <w:tc>
          <w:tcPr>
            <w:tcW w:w="2439" w:type="pct"/>
            <w:vAlign w:val="center"/>
          </w:tcPr>
          <w:p w14:paraId="083DC6C4">
            <w:pPr>
              <w:spacing w:line="320" w:lineRule="exact"/>
              <w:jc w:val="both"/>
              <w:rPr>
                <w:rFonts w:ascii="Times New Roman" w:hAnsi="Times New Roman" w:cs="Times New Roman"/>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szCs w:val="24"/>
                <w:lang w:val="en-US" w:bidi="ar-SA"/>
                <w14:textFill>
                  <w14:solidFill>
                    <w14:schemeClr w14:val="tx1"/>
                  </w14:solidFill>
                </w14:textFill>
              </w:rPr>
              <w:t>大庆油田有限责任公司</w:t>
            </w:r>
            <w:r>
              <w:rPr>
                <w:rFonts w:hint="eastAsia" w:ascii="Times New Roman" w:hAnsi="Times New Roman" w:cs="Times New Roman"/>
                <w:color w:val="000000" w:themeColor="text1"/>
                <w:w w:val="99"/>
                <w:kern w:val="2"/>
                <w:sz w:val="21"/>
                <w:szCs w:val="24"/>
                <w:lang w:val="en-US" w:eastAsia="zh-CN" w:bidi="ar-SA"/>
                <w14:textFill>
                  <w14:solidFill>
                    <w14:schemeClr w14:val="tx1"/>
                  </w14:solidFill>
                </w14:textFill>
              </w:rPr>
              <w:t>第五采油厂</w:t>
            </w:r>
            <w:r>
              <w:rPr>
                <w:rFonts w:ascii="Times New Roman" w:hAnsi="Times New Roman" w:cs="Times New Roman"/>
                <w:color w:val="000000" w:themeColor="text1"/>
                <w:w w:val="99"/>
                <w:kern w:val="2"/>
                <w:sz w:val="21"/>
                <w:szCs w:val="24"/>
                <w:lang w:val="en-US" w:bidi="ar-SA"/>
                <w14:textFill>
                  <w14:solidFill>
                    <w14:schemeClr w14:val="tx1"/>
                  </w14:solidFill>
                </w14:textFill>
              </w:rPr>
              <w:t>现有《突发环境事件专项应急预案》主要包括应急组织机构及职责明确、监测与预警、应急处置与应急响应、恢复与重建、应急保障与培训、督查与奖惩等内容</w:t>
            </w:r>
            <w:r>
              <w:rPr>
                <w:rFonts w:hint="eastAsia" w:ascii="Times New Roman" w:hAnsi="Times New Roman" w:cs="Times New Roman"/>
                <w:color w:val="000000" w:themeColor="text1"/>
                <w:w w:val="99"/>
                <w:kern w:val="2"/>
                <w:sz w:val="21"/>
                <w:szCs w:val="24"/>
                <w:lang w:val="en-US" w:bidi="ar-SA"/>
                <w14:textFill>
                  <w14:solidFill>
                    <w14:schemeClr w14:val="tx1"/>
                  </w14:solidFill>
                </w14:textFill>
              </w:rPr>
              <w:t>，</w:t>
            </w:r>
            <w:r>
              <w:rPr>
                <w:rFonts w:ascii="Times New Roman" w:hAnsi="Times New Roman" w:cs="Times New Roman"/>
                <w:color w:val="000000" w:themeColor="text1"/>
                <w:w w:val="99"/>
                <w:kern w:val="2"/>
                <w:sz w:val="21"/>
                <w:szCs w:val="24"/>
                <w:lang w:val="en-US" w:bidi="ar-SA"/>
                <w14:textFill>
                  <w14:solidFill>
                    <w14:schemeClr w14:val="tx1"/>
                  </w14:solidFill>
                </w14:textFill>
              </w:rPr>
              <w:t>应急</w:t>
            </w:r>
            <w:r>
              <w:rPr>
                <w:rFonts w:hint="eastAsia" w:ascii="Times New Roman" w:hAnsi="Times New Roman" w:cs="Times New Roman"/>
                <w:color w:val="000000" w:themeColor="text1"/>
                <w:w w:val="99"/>
                <w:kern w:val="2"/>
                <w:sz w:val="21"/>
                <w:szCs w:val="24"/>
                <w:lang w:val="en-US" w:bidi="ar-SA"/>
                <w14:textFill>
                  <w14:solidFill>
                    <w14:schemeClr w14:val="tx1"/>
                  </w14:solidFill>
                </w14:textFill>
              </w:rPr>
              <w:t>预案于2021年</w:t>
            </w:r>
            <w:r>
              <w:rPr>
                <w:rFonts w:ascii="Times New Roman" w:hAnsi="Times New Roman" w:cs="Times New Roman"/>
                <w:color w:val="000000" w:themeColor="text1"/>
                <w:w w:val="99"/>
                <w:kern w:val="2"/>
                <w:sz w:val="21"/>
                <w:szCs w:val="24"/>
                <w:lang w:val="en-US" w:bidi="ar-SA"/>
                <w14:textFill>
                  <w14:solidFill>
                    <w14:schemeClr w14:val="tx1"/>
                  </w14:solidFill>
                </w14:textFill>
              </w:rPr>
              <w:t>完成备案</w:t>
            </w:r>
            <w:r>
              <w:rPr>
                <w:rFonts w:hint="eastAsia" w:ascii="Times New Roman" w:hAnsi="Times New Roman" w:cs="Times New Roman"/>
                <w:color w:val="000000" w:themeColor="text1"/>
                <w:w w:val="99"/>
                <w:kern w:val="2"/>
                <w:sz w:val="21"/>
                <w:szCs w:val="24"/>
                <w:lang w:val="en-US" w:bidi="ar-SA"/>
                <w14:textFill>
                  <w14:solidFill>
                    <w14:schemeClr w14:val="tx1"/>
                  </w14:solidFill>
                </w14:textFill>
              </w:rPr>
              <w:t>，</w:t>
            </w:r>
            <w:r>
              <w:rPr>
                <w:rFonts w:ascii="Times New Roman" w:hAnsi="Times New Roman" w:cs="Times New Roman"/>
                <w:color w:val="000000" w:themeColor="text1"/>
                <w:w w:val="99"/>
                <w:kern w:val="2"/>
                <w:sz w:val="21"/>
                <w:szCs w:val="24"/>
                <w:lang w:val="en-US" w:bidi="ar-SA"/>
                <w14:textFill>
                  <w14:solidFill>
                    <w14:schemeClr w14:val="tx1"/>
                  </w14:solidFill>
                </w14:textFill>
              </w:rPr>
              <w:t>具体见附件</w:t>
            </w:r>
            <w:r>
              <w:rPr>
                <w:rFonts w:hint="eastAsia" w:ascii="Times New Roman" w:hAnsi="Times New Roman" w:cs="Times New Roman"/>
                <w:color w:val="000000" w:themeColor="text1"/>
                <w:w w:val="99"/>
                <w:kern w:val="2"/>
                <w:sz w:val="21"/>
                <w:szCs w:val="24"/>
                <w:lang w:val="en-US" w:bidi="ar-SA"/>
                <w14:textFill>
                  <w14:solidFill>
                    <w14:schemeClr w14:val="tx1"/>
                  </w14:solidFill>
                </w14:textFill>
              </w:rPr>
              <w:t>4</w:t>
            </w:r>
            <w:r>
              <w:rPr>
                <w:rFonts w:ascii="Times New Roman" w:hAnsi="Times New Roman" w:cs="Times New Roman"/>
                <w:color w:val="000000" w:themeColor="text1"/>
                <w:w w:val="99"/>
                <w:kern w:val="2"/>
                <w:sz w:val="21"/>
                <w:szCs w:val="24"/>
                <w:lang w:val="en-US" w:bidi="ar-SA"/>
                <w14:textFill>
                  <w14:solidFill>
                    <w14:schemeClr w14:val="tx1"/>
                  </w14:solidFill>
                </w14:textFill>
              </w:rPr>
              <w:t>。</w:t>
            </w:r>
          </w:p>
        </w:tc>
        <w:tc>
          <w:tcPr>
            <w:tcW w:w="529" w:type="pct"/>
            <w:vAlign w:val="center"/>
          </w:tcPr>
          <w:p w14:paraId="44FEFB49">
            <w:pPr>
              <w:widowControl/>
              <w:autoSpaceDE/>
              <w:autoSpaceDN/>
              <w:spacing w:line="320" w:lineRule="exact"/>
              <w:jc w:val="center"/>
              <w:rPr>
                <w:rFonts w:ascii="Times New Roman" w:hAnsi="Times New Roman" w:cs="Times New Roman"/>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szCs w:val="24"/>
                <w:lang w:val="en-US" w:bidi="ar-SA"/>
                <w14:textFill>
                  <w14:solidFill>
                    <w14:schemeClr w14:val="tx1"/>
                  </w14:solidFill>
                </w14:textFill>
              </w:rPr>
              <w:t>符合</w:t>
            </w:r>
          </w:p>
        </w:tc>
      </w:tr>
    </w:tbl>
    <w:p w14:paraId="2990C35D">
      <w:pPr>
        <w:autoSpaceDE/>
        <w:autoSpaceDN/>
        <w:spacing w:line="440" w:lineRule="exact"/>
        <w:ind w:firstLine="474" w:firstLineChars="200"/>
        <w:jc w:val="both"/>
        <w:rPr>
          <w:rFonts w:ascii="Times New Roman" w:hAnsi="Times New Roman" w:cs="Times New Roman"/>
          <w:bCs/>
          <w:color w:val="000000" w:themeColor="text1"/>
          <w:w w:val="99"/>
          <w:kern w:val="2"/>
          <w:sz w:val="24"/>
          <w:szCs w:val="24"/>
          <w:lang w:val="en-US" w:bidi="ar-SA"/>
          <w14:textFill>
            <w14:solidFill>
              <w14:schemeClr w14:val="tx1"/>
            </w14:solidFill>
          </w14:textFill>
        </w:rPr>
      </w:pPr>
      <w:r>
        <w:rPr>
          <w:rFonts w:ascii="Times New Roman" w:hAnsi="Times New Roman" w:cs="Times New Roman"/>
          <w:bCs/>
          <w:color w:val="000000" w:themeColor="text1"/>
          <w:w w:val="99"/>
          <w:kern w:val="2"/>
          <w:sz w:val="24"/>
          <w:szCs w:val="24"/>
          <w:lang w:val="en-US" w:bidi="ar-SA"/>
          <w14:textFill>
            <w14:solidFill>
              <w14:schemeClr w14:val="tx1"/>
            </w14:solidFill>
          </w14:textFill>
        </w:rPr>
        <w:t>由上表可知，本项目符合</w:t>
      </w:r>
      <w:r>
        <w:rPr>
          <w:rFonts w:ascii="Times New Roman" w:hAnsi="Times New Roman" w:cs="Times New Roman"/>
          <w:bCs/>
          <w:snapToGrid w:val="0"/>
          <w:color w:val="000000" w:themeColor="text1"/>
          <w:w w:val="99"/>
          <w:sz w:val="24"/>
          <w:szCs w:val="24"/>
          <w:lang w:val="en-US" w:bidi="ar-SA"/>
          <w14:textFill>
            <w14:solidFill>
              <w14:schemeClr w14:val="tx1"/>
            </w14:solidFill>
          </w14:textFill>
        </w:rPr>
        <w:t>《关于进一步加强石油天然气行业环境影响评价管理的通知》（环办环评函〔2019〕910 号）中要求。</w:t>
      </w:r>
    </w:p>
    <w:p w14:paraId="60FBFB9A">
      <w:pPr>
        <w:pStyle w:val="129"/>
        <w:autoSpaceDE/>
        <w:autoSpaceDN/>
        <w:spacing w:line="440" w:lineRule="exact"/>
        <w:ind w:firstLine="0" w:firstLineChars="0"/>
        <w:jc w:val="both"/>
        <w:outlineLvl w:val="3"/>
        <w:rPr>
          <w:rFonts w:ascii="Times New Roman" w:hAnsi="Times New Roman" w:eastAsiaTheme="minorEastAsia"/>
          <w:b/>
          <w:color w:val="000000" w:themeColor="text1"/>
          <w:w w:val="99"/>
          <w14:textFill>
            <w14:solidFill>
              <w14:schemeClr w14:val="tx1"/>
            </w14:solidFill>
          </w14:textFill>
        </w:rPr>
      </w:pPr>
      <w:r>
        <w:rPr>
          <w:rFonts w:ascii="Times New Roman" w:hAnsi="Times New Roman" w:eastAsiaTheme="minorEastAsia"/>
          <w:b/>
          <w:color w:val="000000" w:themeColor="text1"/>
          <w:w w:val="99"/>
          <w14:textFill>
            <w14:solidFill>
              <w14:schemeClr w14:val="tx1"/>
            </w14:solidFill>
          </w14:textFill>
        </w:rPr>
        <w:t>1.</w:t>
      </w:r>
      <w:r>
        <w:rPr>
          <w:rFonts w:ascii="Times New Roman" w:hAnsi="Times New Roman" w:eastAsiaTheme="minorEastAsia"/>
          <w:b/>
          <w:color w:val="000000" w:themeColor="text1"/>
          <w:w w:val="99"/>
          <w:lang w:val="en-US"/>
          <w14:textFill>
            <w14:solidFill>
              <w14:schemeClr w14:val="tx1"/>
            </w14:solidFill>
          </w14:textFill>
        </w:rPr>
        <w:t>4</w:t>
      </w:r>
      <w:r>
        <w:rPr>
          <w:rFonts w:ascii="Times New Roman" w:hAnsi="Times New Roman" w:eastAsiaTheme="minorEastAsia"/>
          <w:b/>
          <w:color w:val="000000" w:themeColor="text1"/>
          <w:w w:val="99"/>
          <w14:textFill>
            <w14:solidFill>
              <w14:schemeClr w14:val="tx1"/>
            </w14:solidFill>
          </w14:textFill>
        </w:rPr>
        <w:t>.2.</w:t>
      </w:r>
      <w:r>
        <w:rPr>
          <w:rFonts w:ascii="Times New Roman" w:hAnsi="Times New Roman" w:eastAsiaTheme="minorEastAsia"/>
          <w:b/>
          <w:color w:val="000000" w:themeColor="text1"/>
          <w:w w:val="99"/>
          <w:lang w:val="en-US"/>
          <w14:textFill>
            <w14:solidFill>
              <w14:schemeClr w14:val="tx1"/>
            </w14:solidFill>
          </w14:textFill>
        </w:rPr>
        <w:t>2</w:t>
      </w:r>
      <w:r>
        <w:rPr>
          <w:rFonts w:ascii="Times New Roman" w:hAnsi="Times New Roman" w:eastAsiaTheme="minorEastAsia"/>
          <w:b/>
          <w:color w:val="000000" w:themeColor="text1"/>
          <w:w w:val="99"/>
          <w14:textFill>
            <w14:solidFill>
              <w14:schemeClr w14:val="tx1"/>
            </w14:solidFill>
          </w14:textFill>
        </w:rPr>
        <w:t>与</w:t>
      </w:r>
      <w:r>
        <w:rPr>
          <w:rFonts w:ascii="Times New Roman" w:hAnsi="Times New Roman" w:eastAsiaTheme="minorEastAsia"/>
          <w:b/>
          <w:color w:val="000000" w:themeColor="text1"/>
          <w:w w:val="99"/>
          <w:lang w:val="en-US"/>
          <w14:textFill>
            <w14:solidFill>
              <w14:schemeClr w14:val="tx1"/>
            </w14:solidFill>
          </w14:textFill>
        </w:rPr>
        <w:t>《</w:t>
      </w:r>
      <w:r>
        <w:rPr>
          <w:rFonts w:hint="eastAsia" w:ascii="Times New Roman" w:hAnsi="Times New Roman" w:eastAsiaTheme="minorEastAsia"/>
          <w:b/>
          <w:color w:val="000000" w:themeColor="text1"/>
          <w:w w:val="99"/>
          <w:lang w:val="en-US"/>
          <w14:textFill>
            <w14:solidFill>
              <w14:schemeClr w14:val="tx1"/>
            </w14:solidFill>
          </w14:textFill>
        </w:rPr>
        <w:t>中华人民共和国黑土地保护法</w:t>
      </w:r>
      <w:r>
        <w:rPr>
          <w:rFonts w:ascii="Times New Roman" w:hAnsi="Times New Roman" w:eastAsiaTheme="minorEastAsia"/>
          <w:b/>
          <w:color w:val="000000" w:themeColor="text1"/>
          <w:w w:val="99"/>
          <w:lang w:val="en-US"/>
          <w14:textFill>
            <w14:solidFill>
              <w14:schemeClr w14:val="tx1"/>
            </w14:solidFill>
          </w14:textFill>
        </w:rPr>
        <w:t>》的</w:t>
      </w:r>
      <w:r>
        <w:rPr>
          <w:rFonts w:ascii="Times New Roman" w:hAnsi="Times New Roman" w:eastAsiaTheme="minorEastAsia"/>
          <w:b/>
          <w:color w:val="000000" w:themeColor="text1"/>
          <w:w w:val="99"/>
          <w14:textFill>
            <w14:solidFill>
              <w14:schemeClr w14:val="tx1"/>
            </w14:solidFill>
          </w14:textFill>
        </w:rPr>
        <w:t>符合性分析</w:t>
      </w:r>
    </w:p>
    <w:p w14:paraId="3DF03C54">
      <w:pPr>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本项目与《</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中华人民共和国黑土地保护法</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》相关要求符合性分析详见表1.4-2。</w:t>
      </w:r>
    </w:p>
    <w:p w14:paraId="4447463F">
      <w:pPr>
        <w:spacing w:line="500" w:lineRule="exact"/>
        <w:ind w:firstLine="476" w:firstLineChars="200"/>
        <w:jc w:val="both"/>
        <w:rPr>
          <w:rFonts w:ascii="Times New Roman" w:hAnsi="Times New Roman" w:cs="Times New Roman" w:eastAsiaTheme="minorEastAsia"/>
          <w:b/>
          <w:bCs/>
          <w:color w:val="000000" w:themeColor="text1"/>
          <w:w w:val="99"/>
          <w:kern w:val="21"/>
          <w:sz w:val="24"/>
          <w:szCs w:val="20"/>
          <w:lang w:val="en-US" w:bidi="ar-SA"/>
          <w14:textFill>
            <w14:solidFill>
              <w14:schemeClr w14:val="tx1"/>
            </w14:solidFill>
          </w14:textFill>
        </w:rPr>
      </w:pPr>
      <w:r>
        <w:rPr>
          <w:rFonts w:ascii="Times New Roman" w:hAnsi="Times New Roman" w:cs="Times New Roman" w:eastAsiaTheme="minorEastAsia"/>
          <w:b/>
          <w:bCs/>
          <w:color w:val="000000" w:themeColor="text1"/>
          <w:w w:val="99"/>
          <w:kern w:val="21"/>
          <w:sz w:val="24"/>
          <w:szCs w:val="20"/>
          <w:lang w:val="en-US" w:bidi="ar-SA"/>
          <w14:textFill>
            <w14:solidFill>
              <w14:schemeClr w14:val="tx1"/>
            </w14:solidFill>
          </w14:textFill>
        </w:rPr>
        <w:t>表1.4-2    与《</w:t>
      </w:r>
      <w:r>
        <w:rPr>
          <w:rFonts w:hint="eastAsia" w:ascii="Times New Roman" w:hAnsi="Times New Roman" w:cs="Times New Roman" w:eastAsiaTheme="minorEastAsia"/>
          <w:b/>
          <w:bCs/>
          <w:color w:val="000000" w:themeColor="text1"/>
          <w:w w:val="99"/>
          <w:kern w:val="21"/>
          <w:sz w:val="24"/>
          <w:szCs w:val="20"/>
          <w:lang w:val="en-US" w:bidi="ar-SA"/>
          <w14:textFill>
            <w14:solidFill>
              <w14:schemeClr w14:val="tx1"/>
            </w14:solidFill>
          </w14:textFill>
        </w:rPr>
        <w:t>中华人民共和国黑土地保护法</w:t>
      </w:r>
      <w:r>
        <w:rPr>
          <w:rFonts w:ascii="Times New Roman" w:hAnsi="Times New Roman" w:cs="Times New Roman" w:eastAsiaTheme="minorEastAsia"/>
          <w:b/>
          <w:bCs/>
          <w:color w:val="000000" w:themeColor="text1"/>
          <w:w w:val="99"/>
          <w:kern w:val="21"/>
          <w:sz w:val="24"/>
          <w:szCs w:val="20"/>
          <w:lang w:val="en-US" w:bidi="ar-SA"/>
          <w14:textFill>
            <w14:solidFill>
              <w14:schemeClr w14:val="tx1"/>
            </w14:solidFill>
          </w14:textFill>
        </w:rPr>
        <w:t>》符合性分析</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2348"/>
        <w:gridCol w:w="5389"/>
        <w:gridCol w:w="816"/>
      </w:tblGrid>
      <w:tr w14:paraId="477C9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Align w:val="center"/>
          </w:tcPr>
          <w:p w14:paraId="7D5EAFA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序号</w:t>
            </w:r>
          </w:p>
        </w:tc>
        <w:tc>
          <w:tcPr>
            <w:tcW w:w="2348" w:type="dxa"/>
            <w:vAlign w:val="center"/>
          </w:tcPr>
          <w:p w14:paraId="3485B8E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相关要求</w:t>
            </w:r>
          </w:p>
        </w:tc>
        <w:tc>
          <w:tcPr>
            <w:tcW w:w="5389" w:type="dxa"/>
            <w:vAlign w:val="center"/>
          </w:tcPr>
          <w:p w14:paraId="0912DC3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符合性分析</w:t>
            </w:r>
          </w:p>
        </w:tc>
        <w:tc>
          <w:tcPr>
            <w:tcW w:w="816" w:type="dxa"/>
            <w:vAlign w:val="center"/>
          </w:tcPr>
          <w:p w14:paraId="33971E9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结论</w:t>
            </w:r>
          </w:p>
        </w:tc>
      </w:tr>
      <w:tr w14:paraId="60B6F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Align w:val="center"/>
          </w:tcPr>
          <w:p w14:paraId="111841B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w:t>
            </w:r>
          </w:p>
        </w:tc>
        <w:tc>
          <w:tcPr>
            <w:tcW w:w="2348" w:type="dxa"/>
            <w:vAlign w:val="center"/>
          </w:tcPr>
          <w:p w14:paraId="6A9E371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建设项目不得占用黑土地；确需占用的，应当依法严格审批，并补充数量和质量相当的耕地。</w:t>
            </w:r>
          </w:p>
        </w:tc>
        <w:tc>
          <w:tcPr>
            <w:tcW w:w="5389" w:type="dxa"/>
            <w:vAlign w:val="center"/>
          </w:tcPr>
          <w:p w14:paraId="52B441E0">
            <w:pPr>
              <w:widowControl/>
              <w:autoSpaceDE/>
              <w:autoSpaceDN/>
              <w:spacing w:line="36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本项目不新增永久占地，临时占地</w:t>
            </w:r>
            <w:r>
              <w:rPr>
                <w:rFonts w:hint="eastAsia" w:ascii="Times New Roman" w:hAnsi="Times New Roman" w:cs="Times New Roman" w:eastAsiaTheme="minorEastAsia"/>
                <w:color w:val="000000" w:themeColor="text1"/>
                <w:w w:val="99"/>
                <w:sz w:val="21"/>
                <w:szCs w:val="21"/>
                <w:lang w:val="en-US" w:eastAsia="zh-CN" w:bidi="ar-SA"/>
                <w14:textFill>
                  <w14:solidFill>
                    <w14:schemeClr w14:val="tx1"/>
                  </w14:solidFill>
                </w14:textFill>
              </w:rPr>
              <w:t>4.5hm2</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占地类型为耕地（非基本农田）、草地（非基本草原），本项目在施工前需要征收土地，应报请相关主管部门同意，取得用地审批。本工程尽可能减少占地。本工程建设过程中，对占用的耕地，按照“占多少，垦多少”的原则，由建设单位负责开垦与所占用耕地的数量和质量相当的耕地；如果没有条件开垦时，按照省的规定缴纳耕地开垦费，专款用于开垦新的耕地。</w:t>
            </w:r>
          </w:p>
        </w:tc>
        <w:tc>
          <w:tcPr>
            <w:tcW w:w="816" w:type="dxa"/>
            <w:vAlign w:val="center"/>
          </w:tcPr>
          <w:p w14:paraId="6850040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符合</w:t>
            </w:r>
          </w:p>
        </w:tc>
      </w:tr>
      <w:tr w14:paraId="598BB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6" w:hRule="atLeast"/>
          <w:jc w:val="center"/>
        </w:trPr>
        <w:tc>
          <w:tcPr>
            <w:tcW w:w="737" w:type="dxa"/>
            <w:vAlign w:val="center"/>
          </w:tcPr>
          <w:p w14:paraId="1A1BFF4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w:t>
            </w:r>
          </w:p>
        </w:tc>
        <w:tc>
          <w:tcPr>
            <w:tcW w:w="2348" w:type="dxa"/>
            <w:vAlign w:val="center"/>
          </w:tcPr>
          <w:p w14:paraId="3F1DF23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建设项目占用黑土地的，应当按照规定的标准对耕作层的土壤进行剥离。剥离的黑土应当就近用于新开垦耕地和劣质耕地改良、被污染耕地的治理、高标准农田建设、土地复垦等。</w:t>
            </w:r>
          </w:p>
        </w:tc>
        <w:tc>
          <w:tcPr>
            <w:tcW w:w="5389" w:type="dxa"/>
            <w:vAlign w:val="center"/>
          </w:tcPr>
          <w:p w14:paraId="7AE1AEC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本项目不新增永久占地，临时占地</w:t>
            </w:r>
            <w:r>
              <w:rPr>
                <w:rFonts w:hint="eastAsia" w:ascii="Times New Roman" w:hAnsi="Times New Roman" w:cs="Times New Roman" w:eastAsiaTheme="minorEastAsia"/>
                <w:color w:val="000000" w:themeColor="text1"/>
                <w:w w:val="99"/>
                <w:sz w:val="21"/>
                <w:szCs w:val="21"/>
                <w:lang w:val="en-US" w:eastAsia="zh-CN" w:bidi="ar-SA"/>
                <w14:textFill>
                  <w14:solidFill>
                    <w14:schemeClr w14:val="tx1"/>
                  </w14:solidFill>
                </w14:textFill>
              </w:rPr>
              <w:t>4.5hm2</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施工阶段对临时占地表土进行剥离，施工结束后全部回填用于耕植土。本工程实施前编制建设项目占用耕地耕作层土壤剥离利用方案，统筹安排剥离、储存和再利用。表土剥离和利用严格执行《建设占用耕地耕作层土壤剥离利用技术规范》（DB23/T2913-2021）。本项目在施工过程中针临时占地，应剥离占地内0.3m的表土，采用分层开挖，分层堆放，暂存于施工井场内的表土剥离临时堆放区，并采取苫布遮盖，表土剥离临时堆放区周围设置排水沟等措施防止水土流失，并定期采取洒水抑尘措施，剥离的表土在施工结束后分层回填，并及时恢复地表植被。</w:t>
            </w:r>
          </w:p>
        </w:tc>
        <w:tc>
          <w:tcPr>
            <w:tcW w:w="816" w:type="dxa"/>
            <w:vAlign w:val="center"/>
          </w:tcPr>
          <w:p w14:paraId="3EFBB64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符合</w:t>
            </w:r>
          </w:p>
        </w:tc>
      </w:tr>
    </w:tbl>
    <w:p w14:paraId="5FD3F3C7">
      <w:pPr>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在采取以上措施后，本项目符合《</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中华人民共和国黑土地保护法</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》中要求。</w:t>
      </w:r>
    </w:p>
    <w:p w14:paraId="0A005224">
      <w:pPr>
        <w:pStyle w:val="129"/>
        <w:autoSpaceDE/>
        <w:autoSpaceDN/>
        <w:spacing w:line="440" w:lineRule="exact"/>
        <w:ind w:firstLine="0" w:firstLineChars="0"/>
        <w:jc w:val="both"/>
        <w:outlineLvl w:val="3"/>
        <w:rPr>
          <w:rFonts w:ascii="Times New Roman" w:hAnsi="Times New Roman" w:eastAsiaTheme="minorEastAsia"/>
          <w:b/>
          <w:color w:val="000000" w:themeColor="text1"/>
          <w:w w:val="99"/>
          <w:sz w:val="24"/>
          <w:szCs w:val="24"/>
          <w:lang w:val="en-US" w:bidi="ar-SA"/>
          <w14:textFill>
            <w14:solidFill>
              <w14:schemeClr w14:val="tx1"/>
            </w14:solidFill>
          </w14:textFill>
        </w:rPr>
      </w:pPr>
      <w:r>
        <w:rPr>
          <w:rFonts w:ascii="Times New Roman" w:hAnsi="Times New Roman" w:eastAsiaTheme="minorEastAsia"/>
          <w:b/>
          <w:color w:val="000000" w:themeColor="text1"/>
          <w:w w:val="99"/>
          <w:sz w:val="24"/>
          <w:szCs w:val="24"/>
          <w:lang w:val="en-US" w:bidi="ar-SA"/>
          <w14:textFill>
            <w14:solidFill>
              <w14:schemeClr w14:val="tx1"/>
            </w14:solidFill>
          </w14:textFill>
        </w:rPr>
        <w:t>1.4.2.3 与黑龙江省主体功能区划符合性分析</w:t>
      </w:r>
    </w:p>
    <w:p w14:paraId="495BF488">
      <w:pPr>
        <w:pStyle w:val="31"/>
        <w:spacing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本工程位于大庆市</w:t>
      </w:r>
      <w:r>
        <w:rPr>
          <w:rFonts w:hint="eastAsia" w:ascii="Times New Roman" w:hAnsi="Times New Roman" w:cs="Times New Roman" w:eastAsiaTheme="minorEastAsia"/>
          <w:color w:val="000000" w:themeColor="text1"/>
          <w:w w:val="99"/>
          <w:sz w:val="24"/>
          <w:szCs w:val="24"/>
          <w:lang w:eastAsia="zh-CN"/>
          <w14:textFill>
            <w14:solidFill>
              <w14:schemeClr w14:val="tx1"/>
            </w14:solidFill>
          </w14:textFill>
        </w:rPr>
        <w:t>红岗区杏树岗镇</w:t>
      </w:r>
      <w:r>
        <w:rPr>
          <w:rFonts w:ascii="Times New Roman" w:hAnsi="Times New Roman" w:cs="Times New Roman" w:eastAsiaTheme="minorEastAsia"/>
          <w:color w:val="000000" w:themeColor="text1"/>
          <w:w w:val="99"/>
          <w:sz w:val="24"/>
          <w:szCs w:val="24"/>
          <w14:textFill>
            <w14:solidFill>
              <w14:schemeClr w14:val="tx1"/>
            </w14:solidFill>
          </w14:textFill>
        </w:rPr>
        <w:t>杏树岗村周边，</w:t>
      </w:r>
      <w:r>
        <w:rPr>
          <w:rFonts w:ascii="Times New Roman" w:hAnsi="Times New Roman" w:cs="Times New Roman" w:eastAsiaTheme="minorEastAsia"/>
          <w:color w:val="000000" w:themeColor="text1"/>
          <w:w w:val="99"/>
          <w:sz w:val="24"/>
          <w:szCs w:val="24"/>
          <w:lang w:val="en-US"/>
          <w14:textFill>
            <w14:solidFill>
              <w14:schemeClr w14:val="tx1"/>
            </w14:solidFill>
          </w14:textFill>
        </w:rPr>
        <w:t>根据《黑龙江省主体功能区规划》，大庆市</w:t>
      </w:r>
      <w:r>
        <w:rPr>
          <w:rFonts w:hint="eastAsia" w:ascii="Times New Roman" w:hAnsi="Times New Roman" w:cs="Times New Roman" w:eastAsiaTheme="minorEastAsia"/>
          <w:color w:val="000000" w:themeColor="text1"/>
          <w:w w:val="99"/>
          <w:sz w:val="24"/>
          <w:szCs w:val="24"/>
          <w:lang w:val="en-US" w:eastAsia="zh-CN"/>
          <w14:textFill>
            <w14:solidFill>
              <w14:schemeClr w14:val="tx1"/>
            </w14:solidFill>
          </w14:textFill>
        </w:rPr>
        <w:t>红岗区杏树岗镇</w:t>
      </w:r>
      <w:r>
        <w:rPr>
          <w:rFonts w:ascii="Times New Roman" w:hAnsi="Times New Roman" w:cs="Times New Roman" w:eastAsiaTheme="minorEastAsia"/>
          <w:color w:val="000000" w:themeColor="text1"/>
          <w:w w:val="99"/>
          <w:sz w:val="24"/>
          <w:szCs w:val="24"/>
          <w:lang w:val="en-US"/>
          <w14:textFill>
            <w14:solidFill>
              <w14:schemeClr w14:val="tx1"/>
            </w14:solidFill>
          </w14:textFill>
        </w:rPr>
        <w:t>的功能定位为国家农产品主产区，属于限制开发区域。</w:t>
      </w:r>
    </w:p>
    <w:p w14:paraId="67C0DABB">
      <w:pPr>
        <w:pStyle w:val="31"/>
        <w:spacing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根据《黑龙江省主体功能区划》第五章保障措施中第八节环境政策，限制开发区要通过治理、限制或关闭污染物排放企业等手段，实现污染物排放总量持续下降；加大水资源保护力度，适度开发利用水资源，实行全面节水，满足基本的生态用水需求。</w:t>
      </w:r>
    </w:p>
    <w:p w14:paraId="6C94155E">
      <w:pPr>
        <w:pStyle w:val="31"/>
        <w:spacing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本工程属于改扩建项目，项目拆除拉油点九合一装置，采用密闭管线对采出液进行集输，项目运行后可有效减少非甲烷总烃无组织排放，实现污染物总量持续下降，本项目不对地下水进行开采，运营期不新增用水，满足生态用水需求。因此本项目满足《黑龙江省主体功能区规划》要求。</w:t>
      </w:r>
    </w:p>
    <w:p w14:paraId="0804A466">
      <w:pPr>
        <w:pStyle w:val="31"/>
        <w:spacing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本工程属于改扩建项目，为管线更新工程，运行期无污染物产生。根据《黑龙江省主体功能区规划》第八章第二节能源开发利用中明确：“在大庆及周边地区，加大石油勘探开发力度，实施老油田二次开发工程和三次采油工程，稳定石油产量”，第三节主要矿产资源开发利用中明确：“鼓励开采石油、天然气、煤层气、地热、油页岩、铁、铜、铅、锌、岩金、铂、钯、水泥用大理岩、含钾岩石、熔炼水晶、玻璃用硅质原料、珍珠岩、陶粒用原料、岩棉用玄武岩、透辉石岩、饰面石岩等矿产资源”，本项目符合《黑龙江省主体功能区规划》要求。</w:t>
      </w:r>
      <w:r>
        <w:rPr>
          <w:rFonts w:hint="eastAsia" w:ascii="Times New Roman" w:hAnsi="Times New Roman" w:cs="Times New Roman" w:eastAsiaTheme="minorEastAsia"/>
          <w:color w:val="000000" w:themeColor="text1"/>
          <w:w w:val="99"/>
          <w:sz w:val="24"/>
          <w:szCs w:val="24"/>
          <w:lang w:val="en-US"/>
          <w14:textFill>
            <w14:solidFill>
              <w14:schemeClr w14:val="tx1"/>
            </w14:solidFill>
          </w14:textFill>
        </w:rPr>
        <w:t>本项目</w:t>
      </w:r>
      <w:r>
        <w:rPr>
          <w:rFonts w:ascii="Times New Roman" w:hAnsi="Times New Roman" w:cs="Times New Roman" w:eastAsiaTheme="minorEastAsia"/>
          <w:color w:val="000000" w:themeColor="text1"/>
          <w:w w:val="99"/>
          <w:sz w:val="24"/>
          <w:szCs w:val="24"/>
          <w:lang w:val="en-US"/>
          <w14:textFill>
            <w14:solidFill>
              <w14:schemeClr w14:val="tx1"/>
            </w14:solidFill>
          </w14:textFill>
        </w:rPr>
        <w:t>与黑龙江省主体功能区规划</w:t>
      </w:r>
      <w:r>
        <w:rPr>
          <w:rFonts w:hint="eastAsia" w:ascii="Times New Roman" w:hAnsi="Times New Roman" w:cs="Times New Roman" w:eastAsiaTheme="minorEastAsia"/>
          <w:color w:val="000000" w:themeColor="text1"/>
          <w:w w:val="99"/>
          <w:sz w:val="24"/>
          <w:szCs w:val="24"/>
          <w:lang w:val="en-US"/>
          <w14:textFill>
            <w14:solidFill>
              <w14:schemeClr w14:val="tx1"/>
            </w14:solidFill>
          </w14:textFill>
        </w:rPr>
        <w:t>位置</w:t>
      </w:r>
      <w:r>
        <w:rPr>
          <w:rFonts w:ascii="Times New Roman" w:hAnsi="Times New Roman" w:cs="Times New Roman" w:eastAsiaTheme="minorEastAsia"/>
          <w:color w:val="000000" w:themeColor="text1"/>
          <w:w w:val="99"/>
          <w:sz w:val="24"/>
          <w:szCs w:val="24"/>
          <w:lang w:val="en-US"/>
          <w14:textFill>
            <w14:solidFill>
              <w14:schemeClr w14:val="tx1"/>
            </w14:solidFill>
          </w14:textFill>
        </w:rPr>
        <w:t>关系</w:t>
      </w:r>
      <w:r>
        <w:rPr>
          <w:rFonts w:hint="eastAsia" w:ascii="Times New Roman" w:hAnsi="Times New Roman" w:cs="Times New Roman" w:eastAsiaTheme="minorEastAsia"/>
          <w:color w:val="000000" w:themeColor="text1"/>
          <w:w w:val="99"/>
          <w:sz w:val="24"/>
          <w:szCs w:val="24"/>
          <w:lang w:val="en-US"/>
          <w14:textFill>
            <w14:solidFill>
              <w14:schemeClr w14:val="tx1"/>
            </w14:solidFill>
          </w14:textFill>
        </w:rPr>
        <w:t>图</w:t>
      </w:r>
      <w:r>
        <w:rPr>
          <w:rFonts w:ascii="Times New Roman" w:hAnsi="Times New Roman" w:cs="Times New Roman" w:eastAsiaTheme="minorEastAsia"/>
          <w:color w:val="000000" w:themeColor="text1"/>
          <w:w w:val="99"/>
          <w:sz w:val="24"/>
          <w:szCs w:val="24"/>
          <w:lang w:val="en-US"/>
          <w14:textFill>
            <w14:solidFill>
              <w14:schemeClr w14:val="tx1"/>
            </w14:solidFill>
          </w14:textFill>
        </w:rPr>
        <w:t>见附图21。</w:t>
      </w:r>
    </w:p>
    <w:p w14:paraId="1ED2B0D7">
      <w:pPr>
        <w:pStyle w:val="129"/>
        <w:autoSpaceDE/>
        <w:autoSpaceDN/>
        <w:spacing w:line="440" w:lineRule="exact"/>
        <w:ind w:firstLine="0" w:firstLineChars="0"/>
        <w:jc w:val="both"/>
        <w:outlineLvl w:val="3"/>
        <w:rPr>
          <w:rFonts w:ascii="Times New Roman" w:hAnsi="Times New Roman" w:eastAsiaTheme="minorEastAsia"/>
          <w:b/>
          <w:color w:val="000000" w:themeColor="text1"/>
          <w:w w:val="99"/>
          <w:sz w:val="24"/>
          <w:szCs w:val="24"/>
          <w:lang w:val="en-US" w:bidi="ar-SA"/>
          <w14:textFill>
            <w14:solidFill>
              <w14:schemeClr w14:val="tx1"/>
            </w14:solidFill>
          </w14:textFill>
        </w:rPr>
      </w:pPr>
      <w:r>
        <w:rPr>
          <w:rFonts w:ascii="Times New Roman" w:hAnsi="Times New Roman" w:eastAsiaTheme="minorEastAsia"/>
          <w:b/>
          <w:color w:val="000000" w:themeColor="text1"/>
          <w:w w:val="99"/>
          <w:sz w:val="24"/>
          <w:szCs w:val="24"/>
          <w:lang w:val="en-US" w:bidi="ar-SA"/>
          <w14:textFill>
            <w14:solidFill>
              <w14:schemeClr w14:val="tx1"/>
            </w14:solidFill>
          </w14:textFill>
        </w:rPr>
        <w:t>1.4.2.4与《黑龙江省生态功能区划》符合性分析</w:t>
      </w:r>
    </w:p>
    <w:p w14:paraId="13D6FD3A">
      <w:pPr>
        <w:widowControl/>
        <w:autoSpaceDE/>
        <w:autoSpaceDN/>
        <w:spacing w:line="440" w:lineRule="exact"/>
        <w:ind w:firstLine="474" w:firstLineChars="200"/>
        <w:jc w:val="both"/>
        <w:rPr>
          <w:rFonts w:ascii="Times New Roman" w:hAnsi="Times New Roman" w:cs="Times New Roman" w:eastAsiaTheme="minorEastAsia"/>
          <w:iCs/>
          <w:color w:val="000000" w:themeColor="text1"/>
          <w:w w:val="99"/>
          <w:sz w:val="24"/>
          <w:lang w:val="en-US" w:bidi="ar-SA"/>
          <w14:textFill>
            <w14:solidFill>
              <w14:schemeClr w14:val="tx1"/>
            </w14:solidFill>
          </w14:textFill>
        </w:rPr>
      </w:pPr>
      <w:r>
        <w:rPr>
          <w:rFonts w:ascii="Times New Roman" w:hAnsi="Times New Roman" w:cs="Times New Roman" w:eastAsiaTheme="minorEastAsia"/>
          <w:iCs/>
          <w:color w:val="000000" w:themeColor="text1"/>
          <w:w w:val="99"/>
          <w:sz w:val="24"/>
          <w:lang w:val="en-US" w:bidi="ar-SA"/>
          <w14:textFill>
            <w14:solidFill>
              <w14:schemeClr w14:val="tx1"/>
            </w14:solidFill>
          </w14:textFill>
        </w:rPr>
        <w:t>根据《黑龙江省生态功能区划》，本工程所在区域位于Ⅰ-6-1-1嫩江下游湿地保护与沙化和盐渍化控制生态功能区，该区位于肇源县和</w:t>
      </w:r>
      <w:r>
        <w:rPr>
          <w:rFonts w:hint="eastAsia" w:ascii="Times New Roman" w:hAnsi="Times New Roman" w:cs="Times New Roman" w:eastAsiaTheme="minorEastAsia"/>
          <w:iCs/>
          <w:color w:val="000000" w:themeColor="text1"/>
          <w:w w:val="99"/>
          <w:sz w:val="24"/>
          <w:lang w:val="en-US" w:eastAsia="zh-CN" w:bidi="ar-SA"/>
          <w14:textFill>
            <w14:solidFill>
              <w14:schemeClr w14:val="tx1"/>
            </w14:solidFill>
          </w14:textFill>
        </w:rPr>
        <w:t>红岗区杏树岗镇</w:t>
      </w:r>
      <w:r>
        <w:rPr>
          <w:rFonts w:ascii="Times New Roman" w:hAnsi="Times New Roman" w:cs="Times New Roman" w:eastAsiaTheme="minorEastAsia"/>
          <w:iCs/>
          <w:color w:val="000000" w:themeColor="text1"/>
          <w:w w:val="99"/>
          <w:sz w:val="24"/>
          <w:lang w:val="en-US" w:bidi="ar-SA"/>
          <w14:textFill>
            <w14:solidFill>
              <w14:schemeClr w14:val="tx1"/>
            </w14:solidFill>
          </w14:textFill>
        </w:rPr>
        <w:t>和泰来县，总面积14200km</w:t>
      </w:r>
      <w:r>
        <w:rPr>
          <w:rFonts w:ascii="Times New Roman" w:hAnsi="Times New Roman" w:cs="Times New Roman" w:eastAsiaTheme="minorEastAsia"/>
          <w:iCs/>
          <w:color w:val="000000" w:themeColor="text1"/>
          <w:w w:val="99"/>
          <w:sz w:val="24"/>
          <w:vertAlign w:val="superscript"/>
          <w:lang w:val="en-US" w:bidi="ar-SA"/>
          <w14:textFill>
            <w14:solidFill>
              <w14:schemeClr w14:val="tx1"/>
            </w14:solidFill>
          </w14:textFill>
        </w:rPr>
        <w:t>2</w:t>
      </w:r>
      <w:r>
        <w:rPr>
          <w:rFonts w:ascii="Times New Roman" w:hAnsi="Times New Roman" w:cs="Times New Roman" w:eastAsiaTheme="minorEastAsia"/>
          <w:iCs/>
          <w:color w:val="000000" w:themeColor="text1"/>
          <w:w w:val="99"/>
          <w:sz w:val="24"/>
          <w:lang w:val="en-US" w:bidi="ar-SA"/>
          <w14:textFill>
            <w14:solidFill>
              <w14:schemeClr w14:val="tx1"/>
            </w14:solidFill>
          </w14:textFill>
        </w:rPr>
        <w:t>，该功能区的主要生态系统服务功能为沙漠化控制、防洪蓄洪、牧业生产、旅游。</w:t>
      </w:r>
    </w:p>
    <w:p w14:paraId="39BD5ABC">
      <w:pPr>
        <w:pStyle w:val="31"/>
        <w:spacing w:line="440" w:lineRule="exact"/>
        <w:ind w:firstLine="474" w:firstLineChars="200"/>
        <w:jc w:val="both"/>
        <w:rPr>
          <w:rFonts w:ascii="Times New Roman" w:hAnsi="Times New Roman" w:cs="Times New Roman" w:eastAsiaTheme="minorEastAsia"/>
          <w:iCs/>
          <w:color w:val="000000" w:themeColor="text1"/>
          <w:w w:val="99"/>
          <w:sz w:val="24"/>
          <w:lang w:val="en-US" w:bidi="ar-SA"/>
          <w14:textFill>
            <w14:solidFill>
              <w14:schemeClr w14:val="tx1"/>
            </w14:solidFill>
          </w14:textFill>
        </w:rPr>
      </w:pPr>
      <w:r>
        <w:rPr>
          <w:rFonts w:ascii="Times New Roman" w:hAnsi="Times New Roman" w:cs="Times New Roman" w:eastAsiaTheme="minorEastAsia"/>
          <w:iCs/>
          <w:color w:val="000000" w:themeColor="text1"/>
          <w:w w:val="99"/>
          <w:sz w:val="24"/>
          <w:lang w:val="en-US" w:bidi="ar-SA"/>
          <w14:textFill>
            <w14:solidFill>
              <w14:schemeClr w14:val="tx1"/>
            </w14:solidFill>
          </w14:textFill>
        </w:rPr>
        <w:t>本工程位于大庆市</w:t>
      </w:r>
      <w:r>
        <w:rPr>
          <w:rFonts w:hint="eastAsia" w:ascii="Times New Roman" w:hAnsi="Times New Roman" w:cs="Times New Roman" w:eastAsiaTheme="minorEastAsia"/>
          <w:iCs/>
          <w:color w:val="000000" w:themeColor="text1"/>
          <w:w w:val="99"/>
          <w:sz w:val="24"/>
          <w:lang w:val="en-US" w:eastAsia="zh-CN" w:bidi="ar-SA"/>
          <w14:textFill>
            <w14:solidFill>
              <w14:schemeClr w14:val="tx1"/>
            </w14:solidFill>
          </w14:textFill>
        </w:rPr>
        <w:t>红岗区杏树岗镇</w:t>
      </w:r>
      <w:r>
        <w:rPr>
          <w:rFonts w:ascii="Times New Roman" w:hAnsi="Times New Roman" w:cs="Times New Roman" w:eastAsiaTheme="minorEastAsia"/>
          <w:iCs/>
          <w:color w:val="000000" w:themeColor="text1"/>
          <w:w w:val="99"/>
          <w:sz w:val="24"/>
          <w:lang w:val="en-US" w:bidi="ar-SA"/>
          <w14:textFill>
            <w14:solidFill>
              <w14:schemeClr w14:val="tx1"/>
            </w14:solidFill>
          </w14:textFill>
        </w:rPr>
        <w:t>杏树岗村周边，建成后不新增永久占地，临时占地主要为草地及耕地（非基本农田）</w:t>
      </w:r>
      <w:r>
        <w:rPr>
          <w:rFonts w:ascii="Times New Roman" w:hAnsi="Times New Roman" w:cs="Times New Roman" w:eastAsiaTheme="minorEastAsia"/>
          <w:iCs/>
          <w:color w:val="000000" w:themeColor="text1"/>
          <w:w w:val="99"/>
          <w:sz w:val="24"/>
          <w:lang w:val="en-US"/>
          <w14:textFill>
            <w14:solidFill>
              <w14:schemeClr w14:val="tx1"/>
            </w14:solidFill>
          </w14:textFill>
        </w:rPr>
        <w:t>，在项目实施过程中，应加强防沙治沙措施的实施，如做好施工期开挖土方临时堆存的水土保持措施</w:t>
      </w:r>
      <w:r>
        <w:rPr>
          <w:rFonts w:hint="eastAsia" w:ascii="Times New Roman" w:hAnsi="Times New Roman" w:cs="Times New Roman" w:eastAsiaTheme="minorEastAsia"/>
          <w:iCs/>
          <w:color w:val="000000" w:themeColor="text1"/>
          <w:w w:val="99"/>
          <w:sz w:val="24"/>
          <w:lang w:val="en-US"/>
          <w14:textFill>
            <w14:solidFill>
              <w14:schemeClr w14:val="tx1"/>
            </w14:solidFill>
          </w14:textFill>
        </w:rPr>
        <w:t>；</w:t>
      </w:r>
      <w:r>
        <w:rPr>
          <w:rFonts w:ascii="Times New Roman" w:hAnsi="Times New Roman" w:cs="Times New Roman" w:eastAsiaTheme="minorEastAsia"/>
          <w:iCs/>
          <w:color w:val="000000" w:themeColor="text1"/>
          <w:w w:val="99"/>
          <w:sz w:val="24"/>
          <w:lang w:val="en-US"/>
          <w14:textFill>
            <w14:solidFill>
              <w14:schemeClr w14:val="tx1"/>
            </w14:solidFill>
          </w14:textFill>
        </w:rPr>
        <w:t>施工时划定施工活动范围，严格控制和管理车辆及重型机械的运行范围，所有车辆采用“一”字型作业法，避免并行开辟新路，以减少风蚀沙化活动的范围。施工结束后及时有效地对占地区域土地进行平整，并压实，利于植被自然恢复</w:t>
      </w:r>
      <w:r>
        <w:rPr>
          <w:rFonts w:hint="eastAsia" w:ascii="Times New Roman" w:hAnsi="Times New Roman" w:cs="Times New Roman" w:eastAsiaTheme="minorEastAsia"/>
          <w:iCs/>
          <w:color w:val="000000" w:themeColor="text1"/>
          <w:w w:val="99"/>
          <w:sz w:val="24"/>
          <w:lang w:val="en-US"/>
          <w14:textFill>
            <w14:solidFill>
              <w14:schemeClr w14:val="tx1"/>
            </w14:solidFill>
          </w14:textFill>
        </w:rPr>
        <w:t>；</w:t>
      </w:r>
      <w:r>
        <w:rPr>
          <w:rFonts w:ascii="Times New Roman" w:hAnsi="Times New Roman" w:cs="Times New Roman" w:eastAsiaTheme="minorEastAsia"/>
          <w:iCs/>
          <w:color w:val="000000" w:themeColor="text1"/>
          <w:w w:val="99"/>
          <w:sz w:val="24"/>
          <w:lang w:val="en-US"/>
          <w14:textFill>
            <w14:solidFill>
              <w14:schemeClr w14:val="tx1"/>
            </w14:solidFill>
          </w14:textFill>
        </w:rPr>
        <w:t>工程回填物应首先考虑弃土、弃石和弃渣，并力求做到“挖填平衡”</w:t>
      </w:r>
      <w:r>
        <w:rPr>
          <w:rFonts w:ascii="Times New Roman" w:hAnsi="Times New Roman" w:cs="Times New Roman" w:eastAsiaTheme="minorEastAsia"/>
          <w:iCs/>
          <w:color w:val="000000" w:themeColor="text1"/>
          <w:w w:val="99"/>
          <w:sz w:val="24"/>
          <w:lang w:val="en-US" w:bidi="ar-SA"/>
          <w14:textFill>
            <w14:solidFill>
              <w14:schemeClr w14:val="tx1"/>
            </w14:solidFill>
          </w14:textFill>
        </w:rPr>
        <w:t>，在采取以上生态保护措施前提下，本工程符合《黑龙江省生态功能区划》的要求。</w:t>
      </w:r>
    </w:p>
    <w:p w14:paraId="304EAEC5">
      <w:pPr>
        <w:pStyle w:val="129"/>
        <w:autoSpaceDE/>
        <w:autoSpaceDN/>
        <w:spacing w:line="440" w:lineRule="exact"/>
        <w:ind w:firstLine="0" w:firstLineChars="0"/>
        <w:jc w:val="both"/>
        <w:outlineLvl w:val="3"/>
        <w:rPr>
          <w:rFonts w:ascii="Times New Roman" w:hAnsi="Times New Roman" w:eastAsiaTheme="minorEastAsia"/>
          <w:b/>
          <w:color w:val="000000" w:themeColor="text1"/>
          <w:w w:val="99"/>
          <w14:textFill>
            <w14:solidFill>
              <w14:schemeClr w14:val="tx1"/>
            </w14:solidFill>
          </w14:textFill>
        </w:rPr>
      </w:pPr>
      <w:r>
        <w:rPr>
          <w:rFonts w:ascii="Times New Roman" w:hAnsi="Times New Roman" w:eastAsiaTheme="minorEastAsia"/>
          <w:b/>
          <w:color w:val="000000" w:themeColor="text1"/>
          <w:w w:val="99"/>
          <w14:textFill>
            <w14:solidFill>
              <w14:schemeClr w14:val="tx1"/>
            </w14:solidFill>
          </w14:textFill>
        </w:rPr>
        <w:t>1.</w:t>
      </w:r>
      <w:r>
        <w:rPr>
          <w:rFonts w:ascii="Times New Roman" w:hAnsi="Times New Roman" w:eastAsiaTheme="minorEastAsia"/>
          <w:b/>
          <w:color w:val="000000" w:themeColor="text1"/>
          <w:w w:val="99"/>
          <w:lang w:val="en-US"/>
          <w14:textFill>
            <w14:solidFill>
              <w14:schemeClr w14:val="tx1"/>
            </w14:solidFill>
          </w14:textFill>
        </w:rPr>
        <w:t>4</w:t>
      </w:r>
      <w:r>
        <w:rPr>
          <w:rFonts w:ascii="Times New Roman" w:hAnsi="Times New Roman" w:eastAsiaTheme="minorEastAsia"/>
          <w:b/>
          <w:color w:val="000000" w:themeColor="text1"/>
          <w:w w:val="99"/>
          <w14:textFill>
            <w14:solidFill>
              <w14:schemeClr w14:val="tx1"/>
            </w14:solidFill>
          </w14:textFill>
        </w:rPr>
        <w:t>.2.5与《黑龙江省“十四五”生态环境保护规划》符合性分析</w:t>
      </w:r>
    </w:p>
    <w:p w14:paraId="142802F1">
      <w:pPr>
        <w:spacing w:line="500" w:lineRule="exact"/>
        <w:ind w:firstLine="476" w:firstLineChars="200"/>
        <w:jc w:val="both"/>
        <w:rPr>
          <w:rFonts w:ascii="Times New Roman" w:hAnsi="Times New Roman" w:cs="Times New Roman" w:eastAsiaTheme="minorEastAsia"/>
          <w:b/>
          <w:bCs/>
          <w:color w:val="000000" w:themeColor="text1"/>
          <w:w w:val="99"/>
          <w:kern w:val="21"/>
          <w:sz w:val="24"/>
          <w:szCs w:val="20"/>
          <w:lang w:val="en-US" w:bidi="ar-SA"/>
          <w14:textFill>
            <w14:solidFill>
              <w14:schemeClr w14:val="tx1"/>
            </w14:solidFill>
          </w14:textFill>
        </w:rPr>
      </w:pPr>
      <w:r>
        <w:rPr>
          <w:rFonts w:ascii="Times New Roman" w:hAnsi="Times New Roman" w:cs="Times New Roman" w:eastAsiaTheme="minorEastAsia"/>
          <w:b/>
          <w:bCs/>
          <w:color w:val="000000" w:themeColor="text1"/>
          <w:w w:val="99"/>
          <w:kern w:val="21"/>
          <w:sz w:val="24"/>
          <w:szCs w:val="20"/>
          <w:lang w:val="en-US" w:bidi="ar-SA"/>
          <w14:textFill>
            <w14:solidFill>
              <w14:schemeClr w14:val="tx1"/>
            </w14:solidFill>
          </w14:textFill>
        </w:rPr>
        <w:t>表1.4-3    本项目与《黑龙江省“十四五”生态环境保护规划》相关要求符合性</w:t>
      </w:r>
    </w:p>
    <w:tbl>
      <w:tblPr>
        <w:tblStyle w:val="81"/>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3581"/>
        <w:gridCol w:w="3969"/>
        <w:gridCol w:w="879"/>
      </w:tblGrid>
      <w:tr w14:paraId="16B8E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tcBorders>
              <w:right w:val="single" w:color="auto" w:sz="2" w:space="0"/>
            </w:tcBorders>
            <w:vAlign w:val="center"/>
          </w:tcPr>
          <w:p w14:paraId="5E058F2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序号</w:t>
            </w:r>
          </w:p>
        </w:tc>
        <w:tc>
          <w:tcPr>
            <w:tcW w:w="3581" w:type="dxa"/>
            <w:tcBorders>
              <w:left w:val="single" w:color="auto" w:sz="2" w:space="0"/>
            </w:tcBorders>
            <w:vAlign w:val="center"/>
          </w:tcPr>
          <w:p w14:paraId="1651761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相关要求</w:t>
            </w:r>
          </w:p>
        </w:tc>
        <w:tc>
          <w:tcPr>
            <w:tcW w:w="3969" w:type="dxa"/>
            <w:vAlign w:val="center"/>
          </w:tcPr>
          <w:p w14:paraId="4E2CA05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符合性分析</w:t>
            </w:r>
          </w:p>
        </w:tc>
        <w:tc>
          <w:tcPr>
            <w:tcW w:w="879" w:type="dxa"/>
            <w:vAlign w:val="center"/>
          </w:tcPr>
          <w:p w14:paraId="2110A5E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符合性</w:t>
            </w:r>
          </w:p>
        </w:tc>
      </w:tr>
      <w:tr w14:paraId="63254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tcBorders>
              <w:right w:val="single" w:color="auto" w:sz="2" w:space="0"/>
            </w:tcBorders>
            <w:vAlign w:val="center"/>
          </w:tcPr>
          <w:p w14:paraId="4E512E5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w:t>
            </w:r>
          </w:p>
        </w:tc>
        <w:tc>
          <w:tcPr>
            <w:tcW w:w="3581" w:type="dxa"/>
            <w:tcBorders>
              <w:left w:val="single" w:color="auto" w:sz="2" w:space="0"/>
            </w:tcBorders>
            <w:vAlign w:val="center"/>
          </w:tcPr>
          <w:p w14:paraId="1B6B946D">
            <w:pPr>
              <w:widowControl/>
              <w:autoSpaceDE/>
              <w:autoSpaceDN/>
              <w:spacing w:line="36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推进扬尘精细化管控。全面推行绿色施工，严格落实施工工地扬尘管控责任，加强施工扬尘监管执法。推进低尘机械化湿式清扫作业，加大城市出入口、城乡结合部等重要路段冲洗保洁力度，渣土车实施全密闭运输，强化绿化用地扬尘治理。</w:t>
            </w:r>
          </w:p>
        </w:tc>
        <w:tc>
          <w:tcPr>
            <w:tcW w:w="3969" w:type="dxa"/>
            <w:vAlign w:val="center"/>
          </w:tcPr>
          <w:p w14:paraId="0929E4C1">
            <w:pPr>
              <w:widowControl/>
              <w:autoSpaceDE/>
              <w:autoSpaceDN/>
              <w:spacing w:line="36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hint="eastAsia"/>
                <w:color w:val="000000" w:themeColor="text1"/>
                <w:w w:val="99"/>
                <w:sz w:val="21"/>
                <w:szCs w:val="21"/>
                <w:lang w:val="en-US" w:bidi="ar-SA"/>
                <w14:textFill>
                  <w14:solidFill>
                    <w14:schemeClr w14:val="tx1"/>
                  </w14:solidFill>
                </w14:textFill>
              </w:rPr>
              <w:t>①</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为防止因交通运输量的增加而导致的扬尘污染，合理规划道路运输路线，尽量利用现有公路网络。</w:t>
            </w:r>
            <w:r>
              <w:rPr>
                <w:rFonts w:hint="eastAsia"/>
                <w:color w:val="000000" w:themeColor="text1"/>
                <w:w w:val="99"/>
                <w:sz w:val="21"/>
                <w:szCs w:val="21"/>
                <w:lang w:val="en-US" w:bidi="ar-SA"/>
                <w14:textFill>
                  <w14:solidFill>
                    <w14:schemeClr w14:val="tx1"/>
                  </w14:solidFill>
                </w14:textFill>
              </w:rPr>
              <w:t>②</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运输道路、施工场地应定时洒水抑尘，定期清扫散落在施工场地的泥土，应实行湿法吸扫，以减少扬尘对周边土壤和植被的影响。</w:t>
            </w:r>
            <w:r>
              <w:rPr>
                <w:rFonts w:hint="eastAsia"/>
                <w:color w:val="000000" w:themeColor="text1"/>
                <w:w w:val="99"/>
                <w:sz w:val="21"/>
                <w:szCs w:val="21"/>
                <w:lang w:val="en-US" w:bidi="ar-SA"/>
                <w14:textFill>
                  <w14:solidFill>
                    <w14:schemeClr w14:val="tx1"/>
                  </w14:solidFill>
                </w14:textFill>
              </w:rPr>
              <w:t>③</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运料车辆在运输时，车辆应当采取全密闭措施，需要在运料顶部加盖篷布，严禁敞开式、半敞开式运输，不得装载过满，以防洒落在地，形成二次扬尘。</w:t>
            </w:r>
            <w:r>
              <w:rPr>
                <w:rFonts w:hint="eastAsia"/>
                <w:color w:val="000000" w:themeColor="text1"/>
                <w:w w:val="99"/>
                <w:sz w:val="21"/>
                <w:szCs w:val="21"/>
                <w:lang w:val="en-US" w:bidi="ar-SA"/>
                <w14:textFill>
                  <w14:solidFill>
                    <w14:schemeClr w14:val="tx1"/>
                  </w14:solidFill>
                </w14:textFill>
              </w:rPr>
              <w:t>④</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土方开挖应采取遮盖、围挡、洒水等防尘措施。临时堆放土堆应采取覆盖等防尘措施；缩短土方裸露时间；对易产生扬尘污染的建筑材料堆应覆盖到位。</w:t>
            </w:r>
            <w:r>
              <w:rPr>
                <w:rFonts w:hint="eastAsia"/>
                <w:color w:val="000000" w:themeColor="text1"/>
                <w:w w:val="99"/>
                <w:sz w:val="21"/>
                <w:szCs w:val="21"/>
                <w:lang w:val="en-US" w:bidi="ar-SA"/>
                <w14:textFill>
                  <w14:solidFill>
                    <w14:schemeClr w14:val="tx1"/>
                  </w14:solidFill>
                </w14:textFill>
              </w:rPr>
              <w:t>⑤</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合理规划施工进度，表土剥离及时开挖，及时回填，防止弃土风化失水而起沙起尘；遇大风天气应停止土方工程施工作业。</w:t>
            </w:r>
            <w:r>
              <w:rPr>
                <w:rFonts w:hint="eastAsia"/>
                <w:color w:val="000000" w:themeColor="text1"/>
                <w:w w:val="99"/>
                <w:sz w:val="21"/>
                <w:szCs w:val="21"/>
                <w:lang w:val="en-US" w:bidi="ar-SA"/>
                <w14:textFill>
                  <w14:solidFill>
                    <w14:schemeClr w14:val="tx1"/>
                  </w14:solidFill>
                </w14:textFill>
              </w:rPr>
              <w:t>⑥</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施工完成后，在绿化季节到来时应立即对临时占地进行植被恢复。</w:t>
            </w:r>
            <w:r>
              <w:rPr>
                <w:rFonts w:hint="eastAsia"/>
                <w:color w:val="000000" w:themeColor="text1"/>
                <w:w w:val="99"/>
                <w:sz w:val="21"/>
                <w:szCs w:val="21"/>
                <w:lang w:val="en-US" w:bidi="ar-SA"/>
                <w14:textFill>
                  <w14:solidFill>
                    <w14:schemeClr w14:val="tx1"/>
                  </w14:solidFill>
                </w14:textFill>
              </w:rPr>
              <w:t>⑦</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施工结束后，应及时进行施工场地的清理，清除积土、堆物。</w:t>
            </w:r>
          </w:p>
        </w:tc>
        <w:tc>
          <w:tcPr>
            <w:tcW w:w="879" w:type="dxa"/>
            <w:vAlign w:val="center"/>
          </w:tcPr>
          <w:p w14:paraId="27397AB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符合</w:t>
            </w:r>
          </w:p>
        </w:tc>
      </w:tr>
      <w:tr w14:paraId="3C805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tcBorders>
              <w:right w:val="single" w:color="auto" w:sz="2" w:space="0"/>
            </w:tcBorders>
            <w:vAlign w:val="center"/>
          </w:tcPr>
          <w:p w14:paraId="2911150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w:t>
            </w:r>
          </w:p>
        </w:tc>
        <w:tc>
          <w:tcPr>
            <w:tcW w:w="3581" w:type="dxa"/>
            <w:tcBorders>
              <w:left w:val="single" w:color="auto" w:sz="2" w:space="0"/>
            </w:tcBorders>
            <w:vAlign w:val="center"/>
          </w:tcPr>
          <w:p w14:paraId="0F6138D1">
            <w:pPr>
              <w:widowControl/>
              <w:autoSpaceDE/>
              <w:autoSpaceDN/>
              <w:spacing w:line="36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开展VOCs（挥发性有机物）全过程综合整治。持续开展石化、化工、包装印刷、工业涂装等重点行业VOCs全过程综合整治。提高VOCs含量低（无）的绿色原辅材料替代比例，开展原油、成品油、有机化学品等涉VOCs物质储罐排查，按规定逐步取消炼油、石化、煤化工、制药、农药、化工、工业涂装、包装印刷等企业非必要VOCs废气排放系统旁路。</w:t>
            </w:r>
          </w:p>
        </w:tc>
        <w:tc>
          <w:tcPr>
            <w:tcW w:w="3969" w:type="dxa"/>
            <w:vAlign w:val="center"/>
          </w:tcPr>
          <w:p w14:paraId="1FCD5A08">
            <w:pPr>
              <w:widowControl/>
              <w:autoSpaceDE/>
              <w:autoSpaceDN/>
              <w:spacing w:line="36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本工程拟拆除11座拉油点的九合一装置，改为密闭管线进行原油集输，有效减少VOCs的排放及放空排放。</w:t>
            </w:r>
          </w:p>
        </w:tc>
        <w:tc>
          <w:tcPr>
            <w:tcW w:w="879" w:type="dxa"/>
            <w:vAlign w:val="center"/>
          </w:tcPr>
          <w:p w14:paraId="2403AFE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符合</w:t>
            </w:r>
          </w:p>
        </w:tc>
      </w:tr>
      <w:tr w14:paraId="565A3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tcBorders>
              <w:right w:val="single" w:color="auto" w:sz="2" w:space="0"/>
            </w:tcBorders>
            <w:vAlign w:val="center"/>
          </w:tcPr>
          <w:p w14:paraId="21A36D7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w:t>
            </w:r>
          </w:p>
        </w:tc>
        <w:tc>
          <w:tcPr>
            <w:tcW w:w="3581" w:type="dxa"/>
            <w:tcBorders>
              <w:left w:val="single" w:color="auto" w:sz="2" w:space="0"/>
            </w:tcBorders>
            <w:vAlign w:val="center"/>
          </w:tcPr>
          <w:p w14:paraId="15AC2530">
            <w:pPr>
              <w:widowControl/>
              <w:autoSpaceDE/>
              <w:autoSpaceDN/>
              <w:spacing w:line="36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鼓励采用低噪声施工设备和工艺。依法将工业企业噪声纳入排污许可管理，严厉查处工业企业噪声排放超标扰民行为。</w:t>
            </w:r>
          </w:p>
        </w:tc>
        <w:tc>
          <w:tcPr>
            <w:tcW w:w="3969" w:type="dxa"/>
            <w:vAlign w:val="center"/>
          </w:tcPr>
          <w:p w14:paraId="081B4E93">
            <w:pPr>
              <w:widowControl/>
              <w:autoSpaceDE/>
              <w:autoSpaceDN/>
              <w:spacing w:line="36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施工期进行合理布局，高噪声设备分散布置，避免噪声叠加造成对周围声环境的影响；（2）施工单位首先选用运行状况良好的施工机械，并注意维护保养，减少因为设备异常运行产生的噪声影响周边环境；（3）合理安排施工进度和施工时间，严格禁止夜间10时至次日6时进行高噪声施工，调整同时作业的施工机械数量，降低对周围环境的影响；（4）对于运输路线可能涉及的村屯，在施工前施工单位应向村民进行公告，并合理安排物料及设备等运输时段，避开居民休息时段；（5）注意对设备的维护和保养，合理操作，保证施工机械保持在最佳状态，降低噪声源强度。通过采取以上防治措施，可以降低施工期设备噪声对周围敏感目标的影响，施工</w:t>
            </w:r>
            <w:r>
              <w:rPr>
                <w:rFonts w:hint="eastAsia" w:ascii="Times New Roman" w:hAnsi="Times New Roman" w:cs="Times New Roman" w:eastAsiaTheme="minorEastAsia"/>
                <w:color w:val="000000" w:themeColor="text1"/>
                <w:w w:val="99"/>
                <w:sz w:val="21"/>
                <w:szCs w:val="21"/>
                <w:lang w:val="en-US" w:bidi="ar-SA"/>
                <w14:textFill>
                  <w14:solidFill>
                    <w14:schemeClr w14:val="tx1"/>
                  </w14:solidFill>
                </w14:textFill>
              </w:rPr>
              <w:t>场界</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能够满足《建筑施工场界环境噪声排放标准》（GB12523-2011）中要求（昼间70d（A）、夜间55dB（A））。</w:t>
            </w:r>
          </w:p>
        </w:tc>
        <w:tc>
          <w:tcPr>
            <w:tcW w:w="879" w:type="dxa"/>
            <w:vAlign w:val="center"/>
          </w:tcPr>
          <w:p w14:paraId="1AA2105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符合</w:t>
            </w:r>
          </w:p>
        </w:tc>
      </w:tr>
      <w:tr w14:paraId="26B13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tcBorders>
              <w:right w:val="single" w:color="auto" w:sz="2" w:space="0"/>
            </w:tcBorders>
            <w:vAlign w:val="center"/>
          </w:tcPr>
          <w:p w14:paraId="5E7C054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w:t>
            </w:r>
          </w:p>
        </w:tc>
        <w:tc>
          <w:tcPr>
            <w:tcW w:w="3581" w:type="dxa"/>
            <w:tcBorders>
              <w:left w:val="single" w:color="auto" w:sz="2" w:space="0"/>
            </w:tcBorders>
            <w:vAlign w:val="center"/>
          </w:tcPr>
          <w:p w14:paraId="56E42693">
            <w:pPr>
              <w:widowControl/>
              <w:autoSpaceDE/>
              <w:autoSpaceDN/>
              <w:spacing w:line="36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对涉及有毒有害物质可能造成土壤污染的建设项目，依法进行环境影响评价，按规划定提出并落实防腐蚀、防渗漏、防遗撒等土壤污染防治具体措施。</w:t>
            </w:r>
          </w:p>
        </w:tc>
        <w:tc>
          <w:tcPr>
            <w:tcW w:w="3969" w:type="dxa"/>
            <w:vAlign w:val="center"/>
          </w:tcPr>
          <w:p w14:paraId="09A8B9CF">
            <w:pPr>
              <w:widowControl/>
              <w:autoSpaceDE/>
              <w:autoSpaceDN/>
              <w:spacing w:line="36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本项目针对工程可能发生的土壤污染，按照“源头控制、末端防治、污染监控、应急响应”相结合的原则，从污染物的产生、入渗、扩散、应急响应全阶段进行控制</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79" w:type="dxa"/>
            <w:vAlign w:val="center"/>
          </w:tcPr>
          <w:p w14:paraId="28ECFCF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符合</w:t>
            </w:r>
          </w:p>
        </w:tc>
      </w:tr>
      <w:tr w14:paraId="177CE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638" w:type="dxa"/>
            <w:tcBorders>
              <w:right w:val="single" w:color="auto" w:sz="2" w:space="0"/>
            </w:tcBorders>
            <w:vAlign w:val="center"/>
          </w:tcPr>
          <w:p w14:paraId="7883446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w:t>
            </w:r>
          </w:p>
        </w:tc>
        <w:tc>
          <w:tcPr>
            <w:tcW w:w="3581" w:type="dxa"/>
            <w:tcBorders>
              <w:left w:val="single" w:color="auto" w:sz="2" w:space="0"/>
            </w:tcBorders>
            <w:vAlign w:val="center"/>
          </w:tcPr>
          <w:p w14:paraId="5EE3F158">
            <w:pPr>
              <w:widowControl/>
              <w:autoSpaceDE/>
              <w:autoSpaceDN/>
              <w:spacing w:line="36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防范工矿企业新增土壤污染。动态更新土壤污染重点监管单位名录，监督全面落实土壤污染防治义务，依法纳入排污许可管理。鼓励土壤污染重点监管单位实施提标改造。各地定期组织开展土壤污染重点监管单位和地下水重点污染源周边土壤、地下水环境监测，督促企业定期开展土壤和地下水环境自行监测、污染隐患排查治理。防控矿产资源开发污染土壤，加强尾矿库安全管理。</w:t>
            </w:r>
          </w:p>
        </w:tc>
        <w:tc>
          <w:tcPr>
            <w:tcW w:w="3969" w:type="dxa"/>
            <w:vAlign w:val="center"/>
          </w:tcPr>
          <w:p w14:paraId="69AE9336">
            <w:pPr>
              <w:widowControl/>
              <w:autoSpaceDE/>
              <w:autoSpaceDN/>
              <w:spacing w:line="36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大庆油田有限责任公司</w:t>
            </w:r>
            <w:r>
              <w:rPr>
                <w:rFonts w:hint="eastAsia" w:ascii="Times New Roman" w:hAnsi="Times New Roman" w:cs="Times New Roman" w:eastAsiaTheme="minorEastAsia"/>
                <w:color w:val="000000" w:themeColor="text1"/>
                <w:w w:val="99"/>
                <w:sz w:val="21"/>
                <w:szCs w:val="21"/>
                <w:lang w:val="en-US" w:eastAsia="zh-CN" w:bidi="ar-SA"/>
                <w14:textFill>
                  <w14:solidFill>
                    <w14:schemeClr w14:val="tx1"/>
                  </w14:solidFill>
                </w14:textFill>
              </w:rPr>
              <w:t>第五采油厂</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作为土壤重点企业每年对区域内土壤进行监测，并在大庆油田信息港进行信息公开。根据监测结果，各监测点位污染物浓度均满足《土壤环境质量</w:t>
            </w:r>
            <w:r>
              <w:rPr>
                <w:rFonts w:hint="eastAsia"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 </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建设用地土壤污染风险管控标准（试行）》（GB36600-2018）中第二类用地风险筛选值。</w:t>
            </w:r>
          </w:p>
        </w:tc>
        <w:tc>
          <w:tcPr>
            <w:tcW w:w="879" w:type="dxa"/>
            <w:vAlign w:val="center"/>
          </w:tcPr>
          <w:p w14:paraId="69525B1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符合</w:t>
            </w:r>
          </w:p>
        </w:tc>
      </w:tr>
    </w:tbl>
    <w:p w14:paraId="2EB5DBE9">
      <w:pPr>
        <w:spacing w:line="440" w:lineRule="exact"/>
        <w:ind w:firstLine="474" w:firstLineChars="200"/>
        <w:rPr>
          <w:rFonts w:ascii="Times New Roman" w:hAnsi="Times New Roman" w:cs="Times New Roman" w:eastAsiaTheme="minorEastAsia"/>
          <w:color w:val="000000" w:themeColor="text1"/>
          <w:w w:val="99"/>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由上表可知</w:t>
      </w:r>
      <w:r>
        <w:rPr>
          <w:rFonts w:ascii="Times New Roman" w:hAnsi="Times New Roman" w:cs="Times New Roman" w:eastAsiaTheme="minorEastAsia"/>
          <w:color w:val="000000" w:themeColor="text1"/>
          <w:w w:val="99"/>
          <w14:textFill>
            <w14:solidFill>
              <w14:schemeClr w14:val="tx1"/>
            </w14:solidFill>
          </w14:textFill>
        </w:rPr>
        <w:t>，本项目符合《黑龙江省“十四五”生态环境保护规划》中相关规定。</w:t>
      </w:r>
    </w:p>
    <w:p w14:paraId="11C254FC">
      <w:pPr>
        <w:pStyle w:val="129"/>
        <w:autoSpaceDE/>
        <w:autoSpaceDN/>
        <w:spacing w:line="440" w:lineRule="exact"/>
        <w:ind w:firstLine="0" w:firstLineChars="0"/>
        <w:jc w:val="both"/>
        <w:outlineLvl w:val="3"/>
        <w:rPr>
          <w:rFonts w:ascii="Times New Roman" w:hAnsi="Times New Roman" w:eastAsiaTheme="minorEastAsia"/>
          <w:b/>
          <w:color w:val="000000" w:themeColor="text1"/>
          <w:w w:val="99"/>
          <w14:textFill>
            <w14:solidFill>
              <w14:schemeClr w14:val="tx1"/>
            </w14:solidFill>
          </w14:textFill>
        </w:rPr>
      </w:pPr>
      <w:r>
        <w:rPr>
          <w:rFonts w:ascii="Times New Roman" w:hAnsi="Times New Roman" w:eastAsiaTheme="minorEastAsia"/>
          <w:b/>
          <w:color w:val="000000" w:themeColor="text1"/>
          <w:w w:val="99"/>
          <w14:textFill>
            <w14:solidFill>
              <w14:schemeClr w14:val="tx1"/>
            </w14:solidFill>
          </w14:textFill>
        </w:rPr>
        <w:t>1.</w:t>
      </w:r>
      <w:r>
        <w:rPr>
          <w:rFonts w:ascii="Times New Roman" w:hAnsi="Times New Roman" w:eastAsiaTheme="minorEastAsia"/>
          <w:b/>
          <w:color w:val="000000" w:themeColor="text1"/>
          <w:w w:val="99"/>
          <w:lang w:val="en-US"/>
          <w14:textFill>
            <w14:solidFill>
              <w14:schemeClr w14:val="tx1"/>
            </w14:solidFill>
          </w14:textFill>
        </w:rPr>
        <w:t>4</w:t>
      </w:r>
      <w:r>
        <w:rPr>
          <w:rFonts w:ascii="Times New Roman" w:hAnsi="Times New Roman" w:eastAsiaTheme="minorEastAsia"/>
          <w:b/>
          <w:color w:val="000000" w:themeColor="text1"/>
          <w:w w:val="99"/>
          <w14:textFill>
            <w14:solidFill>
              <w14:schemeClr w14:val="tx1"/>
            </w14:solidFill>
          </w14:textFill>
        </w:rPr>
        <w:t>.2.</w:t>
      </w:r>
      <w:r>
        <w:rPr>
          <w:rFonts w:ascii="Times New Roman" w:hAnsi="Times New Roman" w:eastAsiaTheme="minorEastAsia"/>
          <w:b/>
          <w:color w:val="000000" w:themeColor="text1"/>
          <w:w w:val="99"/>
          <w:lang w:val="en-US"/>
          <w14:textFill>
            <w14:solidFill>
              <w14:schemeClr w14:val="tx1"/>
            </w14:solidFill>
          </w14:textFill>
        </w:rPr>
        <w:t>6</w:t>
      </w:r>
      <w:r>
        <w:rPr>
          <w:rFonts w:ascii="Times New Roman" w:hAnsi="Times New Roman" w:eastAsiaTheme="minorEastAsia"/>
          <w:b/>
          <w:color w:val="000000" w:themeColor="text1"/>
          <w:w w:val="99"/>
          <w14:textFill>
            <w14:solidFill>
              <w14:schemeClr w14:val="tx1"/>
            </w14:solidFill>
          </w14:textFill>
        </w:rPr>
        <w:t>与</w:t>
      </w:r>
      <w:r>
        <w:rPr>
          <w:rFonts w:ascii="Times New Roman" w:hAnsi="Times New Roman" w:eastAsiaTheme="minorEastAsia"/>
          <w:b/>
          <w:color w:val="000000" w:themeColor="text1"/>
          <w:w w:val="99"/>
          <w:lang w:val="en-US"/>
          <w14:textFill>
            <w14:solidFill>
              <w14:schemeClr w14:val="tx1"/>
            </w14:solidFill>
          </w14:textFill>
        </w:rPr>
        <w:t>《黑龙江省黑土地保护工程实施方案（2021—2025年）》的</w:t>
      </w:r>
      <w:r>
        <w:rPr>
          <w:rFonts w:ascii="Times New Roman" w:hAnsi="Times New Roman" w:eastAsiaTheme="minorEastAsia"/>
          <w:b/>
          <w:color w:val="000000" w:themeColor="text1"/>
          <w:w w:val="99"/>
          <w14:textFill>
            <w14:solidFill>
              <w14:schemeClr w14:val="tx1"/>
            </w14:solidFill>
          </w14:textFill>
        </w:rPr>
        <w:t>符合性分析</w:t>
      </w:r>
    </w:p>
    <w:p w14:paraId="67430B21">
      <w:pPr>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本项目位于大庆市</w:t>
      </w:r>
      <w:r>
        <w:rPr>
          <w:rFonts w:hint="eastAsia" w:ascii="Times New Roman" w:hAnsi="Times New Roman" w:cs="Times New Roman" w:eastAsiaTheme="minorEastAsia"/>
          <w:color w:val="000000" w:themeColor="text1"/>
          <w:w w:val="99"/>
          <w:sz w:val="24"/>
          <w:szCs w:val="24"/>
          <w:lang w:val="en-US" w:eastAsia="zh-CN" w:bidi="ar-SA"/>
          <w14:textFill>
            <w14:solidFill>
              <w14:schemeClr w14:val="tx1"/>
            </w14:solidFill>
          </w14:textFill>
        </w:rPr>
        <w:t>红岗区杏树岗镇</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根据《</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黑龙江省“十四五”黑土地保护规划</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》，本项目占用的黑土耕地为</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风沙干旱类型区</w:t>
      </w:r>
      <w:r>
        <w:rPr>
          <w:rFonts w:hint="eastAsia" w:ascii="Times New Roman" w:hAnsi="Times New Roman" w:cs="Times New Roman" w:eastAsiaTheme="minorEastAsia"/>
          <w:bCs/>
          <w:color w:val="000000" w:themeColor="text1"/>
          <w:w w:val="99"/>
          <w:sz w:val="24"/>
          <w:szCs w:val="24"/>
          <w:lang w:val="en-US" w:bidi="ar-SA"/>
          <w14:textFill>
            <w14:solidFill>
              <w14:schemeClr w14:val="tx1"/>
            </w14:solidFill>
          </w14:textFill>
        </w:rPr>
        <w:t>，</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本项目与《黑龙江省黑土地保护工程实施方案（2021—2025年）》相关要求符合性分析详见表1.4-4。</w:t>
      </w:r>
    </w:p>
    <w:p w14:paraId="120EEB0D">
      <w:pPr>
        <w:spacing w:line="500" w:lineRule="exact"/>
        <w:ind w:firstLine="476" w:firstLineChars="200"/>
        <w:jc w:val="both"/>
        <w:rPr>
          <w:rFonts w:ascii="Times New Roman" w:hAnsi="Times New Roman" w:cs="Times New Roman" w:eastAsiaTheme="minorEastAsia"/>
          <w:b/>
          <w:bCs/>
          <w:color w:val="000000" w:themeColor="text1"/>
          <w:w w:val="99"/>
          <w:kern w:val="21"/>
          <w:sz w:val="24"/>
          <w:szCs w:val="20"/>
          <w:lang w:val="en-US" w:bidi="ar-SA"/>
          <w14:textFill>
            <w14:solidFill>
              <w14:schemeClr w14:val="tx1"/>
            </w14:solidFill>
          </w14:textFill>
        </w:rPr>
      </w:pPr>
      <w:r>
        <w:rPr>
          <w:rFonts w:ascii="Times New Roman" w:hAnsi="Times New Roman" w:cs="Times New Roman" w:eastAsiaTheme="minorEastAsia"/>
          <w:b/>
          <w:bCs/>
          <w:color w:val="000000" w:themeColor="text1"/>
          <w:w w:val="99"/>
          <w:kern w:val="21"/>
          <w:sz w:val="24"/>
          <w:szCs w:val="20"/>
          <w:lang w:val="en-US" w:bidi="ar-SA"/>
          <w14:textFill>
            <w14:solidFill>
              <w14:schemeClr w14:val="tx1"/>
            </w14:solidFill>
          </w14:textFill>
        </w:rPr>
        <w:t>表1.4-4 与《黑龙江省黑土地保护工程实施方案（2021—2025年）》符合性分析</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3907"/>
        <w:gridCol w:w="3830"/>
        <w:gridCol w:w="816"/>
      </w:tblGrid>
      <w:tr w14:paraId="3DDDC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Align w:val="center"/>
          </w:tcPr>
          <w:p w14:paraId="615C011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序号</w:t>
            </w:r>
          </w:p>
        </w:tc>
        <w:tc>
          <w:tcPr>
            <w:tcW w:w="3907" w:type="dxa"/>
            <w:vAlign w:val="center"/>
          </w:tcPr>
          <w:p w14:paraId="21A22E5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相关要求</w:t>
            </w:r>
          </w:p>
        </w:tc>
        <w:tc>
          <w:tcPr>
            <w:tcW w:w="3830" w:type="dxa"/>
            <w:vAlign w:val="center"/>
          </w:tcPr>
          <w:p w14:paraId="65D788E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符合性分析</w:t>
            </w:r>
          </w:p>
        </w:tc>
        <w:tc>
          <w:tcPr>
            <w:tcW w:w="816" w:type="dxa"/>
            <w:vAlign w:val="center"/>
          </w:tcPr>
          <w:p w14:paraId="18ACF27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结论</w:t>
            </w:r>
          </w:p>
        </w:tc>
      </w:tr>
      <w:tr w14:paraId="23130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737" w:type="dxa"/>
            <w:vAlign w:val="center"/>
          </w:tcPr>
          <w:p w14:paraId="010FD95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w:t>
            </w:r>
          </w:p>
        </w:tc>
        <w:tc>
          <w:tcPr>
            <w:tcW w:w="3907" w:type="dxa"/>
            <w:vAlign w:val="center"/>
          </w:tcPr>
          <w:p w14:paraId="5812B1BB">
            <w:pPr>
              <w:widowControl/>
              <w:autoSpaceDE/>
              <w:autoSpaceDN/>
              <w:spacing w:line="36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坚持政府引导、社会参与。发挥政府投入引领作用，通过市场化运作，带动社会资本投入，引导农村集体经济组织、农户、新型经营主体、企业积极参与。健全黑土地保护责任体系，进一步明确省市县乡四级政府及相关部门黑土地保护职责，建立黑土地质量监测网络体系，形成黑土地保护建设长效机制</w:t>
            </w:r>
          </w:p>
        </w:tc>
        <w:tc>
          <w:tcPr>
            <w:tcW w:w="3830" w:type="dxa"/>
            <w:vAlign w:val="center"/>
          </w:tcPr>
          <w:p w14:paraId="603930D1">
            <w:pPr>
              <w:widowControl/>
              <w:autoSpaceDE/>
              <w:autoSpaceDN/>
              <w:spacing w:line="36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本项目在政府引导下，建设单位积极参与，定期对</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混输阀组间、混输阀组间南侧200m耕地</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共布设2个土壤跟踪监测点，定期对土壤进行跟踪监测，监测因子为石油烃（C</w:t>
            </w:r>
            <w:r>
              <w:rPr>
                <w:rFonts w:ascii="Times New Roman" w:hAnsi="Times New Roman" w:cs="Times New Roman" w:eastAsiaTheme="minorEastAsia"/>
                <w:color w:val="000000" w:themeColor="text1"/>
                <w:w w:val="99"/>
                <w:sz w:val="21"/>
                <w:szCs w:val="21"/>
                <w:vertAlign w:val="subscript"/>
                <w:lang w:val="en-US" w:bidi="ar-SA"/>
                <w14:textFill>
                  <w14:solidFill>
                    <w14:schemeClr w14:val="tx1"/>
                  </w14:solidFill>
                </w14:textFill>
              </w:rPr>
              <w:t>10</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~C</w:t>
            </w:r>
            <w:r>
              <w:rPr>
                <w:rFonts w:ascii="Times New Roman" w:hAnsi="Times New Roman" w:cs="Times New Roman" w:eastAsiaTheme="minorEastAsia"/>
                <w:color w:val="000000" w:themeColor="text1"/>
                <w:w w:val="99"/>
                <w:sz w:val="21"/>
                <w:szCs w:val="21"/>
                <w:vertAlign w:val="subscript"/>
                <w:lang w:val="en-US" w:bidi="ar-SA"/>
                <w14:textFill>
                  <w14:solidFill>
                    <w14:schemeClr w14:val="tx1"/>
                  </w14:solidFill>
                </w14:textFill>
              </w:rPr>
              <w:t>40</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）、砷、六价铬，监测频次为1次/3年</w:t>
            </w:r>
          </w:p>
        </w:tc>
        <w:tc>
          <w:tcPr>
            <w:tcW w:w="816" w:type="dxa"/>
            <w:vAlign w:val="center"/>
          </w:tcPr>
          <w:p w14:paraId="0D12BE1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符合</w:t>
            </w:r>
          </w:p>
        </w:tc>
      </w:tr>
    </w:tbl>
    <w:p w14:paraId="2BA5FFB1">
      <w:pPr>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在采取以上措施后，本项目符合《黑龙江省黑土地保护工程实施方案（2021—2025年）》中要求。</w:t>
      </w:r>
    </w:p>
    <w:p w14:paraId="1A4EE34C">
      <w:pPr>
        <w:pStyle w:val="129"/>
        <w:autoSpaceDE/>
        <w:autoSpaceDN/>
        <w:spacing w:line="440" w:lineRule="exact"/>
        <w:ind w:firstLine="0" w:firstLineChars="0"/>
        <w:jc w:val="both"/>
        <w:outlineLvl w:val="3"/>
        <w:rPr>
          <w:rFonts w:ascii="Times New Roman" w:hAnsi="Times New Roman" w:eastAsiaTheme="minorEastAsia"/>
          <w:b/>
          <w:color w:val="000000" w:themeColor="text1"/>
          <w:w w:val="99"/>
          <w14:textFill>
            <w14:solidFill>
              <w14:schemeClr w14:val="tx1"/>
            </w14:solidFill>
          </w14:textFill>
        </w:rPr>
      </w:pPr>
      <w:r>
        <w:rPr>
          <w:rFonts w:ascii="Times New Roman" w:hAnsi="Times New Roman" w:eastAsiaTheme="minorEastAsia"/>
          <w:b/>
          <w:color w:val="000000" w:themeColor="text1"/>
          <w:w w:val="99"/>
          <w14:textFill>
            <w14:solidFill>
              <w14:schemeClr w14:val="tx1"/>
            </w14:solidFill>
          </w14:textFill>
        </w:rPr>
        <w:t>1.</w:t>
      </w:r>
      <w:r>
        <w:rPr>
          <w:rFonts w:ascii="Times New Roman" w:hAnsi="Times New Roman" w:eastAsiaTheme="minorEastAsia"/>
          <w:b/>
          <w:color w:val="000000" w:themeColor="text1"/>
          <w:w w:val="99"/>
          <w:lang w:val="en-US"/>
          <w14:textFill>
            <w14:solidFill>
              <w14:schemeClr w14:val="tx1"/>
            </w14:solidFill>
          </w14:textFill>
        </w:rPr>
        <w:t>4</w:t>
      </w:r>
      <w:r>
        <w:rPr>
          <w:rFonts w:ascii="Times New Roman" w:hAnsi="Times New Roman" w:eastAsiaTheme="minorEastAsia"/>
          <w:b/>
          <w:color w:val="000000" w:themeColor="text1"/>
          <w:w w:val="99"/>
          <w14:textFill>
            <w14:solidFill>
              <w14:schemeClr w14:val="tx1"/>
            </w14:solidFill>
          </w14:textFill>
        </w:rPr>
        <w:t>.2.</w:t>
      </w:r>
      <w:r>
        <w:rPr>
          <w:rFonts w:ascii="Times New Roman" w:hAnsi="Times New Roman" w:eastAsiaTheme="minorEastAsia"/>
          <w:b/>
          <w:color w:val="000000" w:themeColor="text1"/>
          <w:w w:val="99"/>
          <w:lang w:val="en-US"/>
          <w14:textFill>
            <w14:solidFill>
              <w14:schemeClr w14:val="tx1"/>
            </w14:solidFill>
          </w14:textFill>
        </w:rPr>
        <w:t>7</w:t>
      </w:r>
      <w:r>
        <w:rPr>
          <w:rFonts w:ascii="Times New Roman" w:hAnsi="Times New Roman" w:eastAsiaTheme="minorEastAsia"/>
          <w:b/>
          <w:color w:val="000000" w:themeColor="text1"/>
          <w:w w:val="99"/>
          <w14:textFill>
            <w14:solidFill>
              <w14:schemeClr w14:val="tx1"/>
            </w14:solidFill>
          </w14:textFill>
        </w:rPr>
        <w:t>与</w:t>
      </w:r>
      <w:r>
        <w:rPr>
          <w:rFonts w:ascii="Times New Roman" w:hAnsi="Times New Roman" w:eastAsiaTheme="minorEastAsia"/>
          <w:b/>
          <w:color w:val="000000" w:themeColor="text1"/>
          <w:w w:val="99"/>
          <w:lang w:val="en-US"/>
          <w14:textFill>
            <w14:solidFill>
              <w14:schemeClr w14:val="tx1"/>
            </w14:solidFill>
          </w14:textFill>
        </w:rPr>
        <w:t>《黑龙江省黑土地保护利用条例》的</w:t>
      </w:r>
      <w:r>
        <w:rPr>
          <w:rFonts w:ascii="Times New Roman" w:hAnsi="Times New Roman" w:eastAsiaTheme="minorEastAsia"/>
          <w:b/>
          <w:color w:val="000000" w:themeColor="text1"/>
          <w:w w:val="99"/>
          <w14:textFill>
            <w14:solidFill>
              <w14:schemeClr w14:val="tx1"/>
            </w14:solidFill>
          </w14:textFill>
        </w:rPr>
        <w:t>符合性分析</w:t>
      </w:r>
    </w:p>
    <w:p w14:paraId="5F72A4B6">
      <w:pPr>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本项目位于</w:t>
      </w:r>
      <w:r>
        <w:rPr>
          <w:rFonts w:hint="eastAsia" w:ascii="Times New Roman" w:hAnsi="Times New Roman" w:cs="Times New Roman" w:eastAsiaTheme="minorEastAsia"/>
          <w:color w:val="000000" w:themeColor="text1"/>
          <w:w w:val="99"/>
          <w:sz w:val="24"/>
          <w:szCs w:val="24"/>
          <w:lang w:val="en-US" w:eastAsia="zh-CN" w:bidi="ar-SA"/>
          <w14:textFill>
            <w14:solidFill>
              <w14:schemeClr w14:val="tx1"/>
            </w14:solidFill>
          </w14:textFill>
        </w:rPr>
        <w:t>红岗区杏树岗镇</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黑</w:t>
      </w:r>
      <w:r>
        <w:rPr>
          <w:rFonts w:hint="eastAsia" w:ascii="Times New Roman" w:hAnsi="Times New Roman" w:cs="Times New Roman" w:eastAsiaTheme="minorEastAsia"/>
          <w:bCs/>
          <w:color w:val="000000" w:themeColor="text1"/>
          <w:w w:val="99"/>
          <w:sz w:val="24"/>
          <w:szCs w:val="24"/>
          <w:lang w:val="en-US" w:bidi="ar-SA"/>
          <w14:textFill>
            <w14:solidFill>
              <w14:schemeClr w14:val="tx1"/>
            </w14:solidFill>
          </w14:textFill>
        </w:rPr>
        <w:t>土耕地保护利用示范区内，</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本项目与《黑龙江省黑土地保护利用条例》相关要求符合性分析详见表1.4-5。</w:t>
      </w:r>
    </w:p>
    <w:p w14:paraId="3067AE8F">
      <w:pPr>
        <w:spacing w:line="500" w:lineRule="exact"/>
        <w:ind w:firstLine="476" w:firstLineChars="200"/>
        <w:jc w:val="both"/>
        <w:rPr>
          <w:rFonts w:ascii="Times New Roman" w:hAnsi="Times New Roman" w:cs="Times New Roman" w:eastAsiaTheme="minorEastAsia"/>
          <w:b/>
          <w:bCs/>
          <w:color w:val="000000" w:themeColor="text1"/>
          <w:w w:val="99"/>
          <w:kern w:val="21"/>
          <w:sz w:val="24"/>
          <w:szCs w:val="20"/>
          <w:lang w:val="en-US" w:bidi="ar-SA"/>
          <w14:textFill>
            <w14:solidFill>
              <w14:schemeClr w14:val="tx1"/>
            </w14:solidFill>
          </w14:textFill>
        </w:rPr>
      </w:pPr>
    </w:p>
    <w:p w14:paraId="14A08309">
      <w:pPr>
        <w:spacing w:line="500" w:lineRule="exact"/>
        <w:ind w:firstLine="476" w:firstLineChars="200"/>
        <w:jc w:val="both"/>
        <w:rPr>
          <w:rFonts w:ascii="Times New Roman" w:hAnsi="Times New Roman" w:cs="Times New Roman" w:eastAsiaTheme="minorEastAsia"/>
          <w:b/>
          <w:bCs/>
          <w:color w:val="000000" w:themeColor="text1"/>
          <w:w w:val="99"/>
          <w:kern w:val="21"/>
          <w:sz w:val="24"/>
          <w:szCs w:val="20"/>
          <w:lang w:val="en-US" w:bidi="ar-SA"/>
          <w14:textFill>
            <w14:solidFill>
              <w14:schemeClr w14:val="tx1"/>
            </w14:solidFill>
          </w14:textFill>
        </w:rPr>
      </w:pPr>
    </w:p>
    <w:p w14:paraId="4C25CC9B">
      <w:pPr>
        <w:spacing w:line="500" w:lineRule="exact"/>
        <w:ind w:firstLine="476" w:firstLineChars="200"/>
        <w:jc w:val="both"/>
        <w:rPr>
          <w:rFonts w:ascii="Times New Roman" w:hAnsi="Times New Roman" w:cs="Times New Roman" w:eastAsiaTheme="minorEastAsia"/>
          <w:b/>
          <w:bCs/>
          <w:color w:val="000000" w:themeColor="text1"/>
          <w:w w:val="99"/>
          <w:kern w:val="21"/>
          <w:sz w:val="24"/>
          <w:szCs w:val="20"/>
          <w:lang w:val="en-US" w:bidi="ar-SA"/>
          <w14:textFill>
            <w14:solidFill>
              <w14:schemeClr w14:val="tx1"/>
            </w14:solidFill>
          </w14:textFill>
        </w:rPr>
      </w:pPr>
      <w:r>
        <w:rPr>
          <w:rFonts w:ascii="Times New Roman" w:hAnsi="Times New Roman" w:cs="Times New Roman" w:eastAsiaTheme="minorEastAsia"/>
          <w:b/>
          <w:bCs/>
          <w:color w:val="000000" w:themeColor="text1"/>
          <w:w w:val="99"/>
          <w:kern w:val="21"/>
          <w:sz w:val="24"/>
          <w:szCs w:val="20"/>
          <w:lang w:val="en-US" w:bidi="ar-SA"/>
          <w14:textFill>
            <w14:solidFill>
              <w14:schemeClr w14:val="tx1"/>
            </w14:solidFill>
          </w14:textFill>
        </w:rPr>
        <w:t>表1.4-5    与《黑龙江省黑土地保护利用条例》符合性分析</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3572"/>
        <w:gridCol w:w="4165"/>
        <w:gridCol w:w="816"/>
      </w:tblGrid>
      <w:tr w14:paraId="1D5D7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Align w:val="center"/>
          </w:tcPr>
          <w:p w14:paraId="6127452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序号</w:t>
            </w:r>
          </w:p>
        </w:tc>
        <w:tc>
          <w:tcPr>
            <w:tcW w:w="3571" w:type="dxa"/>
            <w:vAlign w:val="center"/>
          </w:tcPr>
          <w:p w14:paraId="3A93CF4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相关要求</w:t>
            </w:r>
          </w:p>
        </w:tc>
        <w:tc>
          <w:tcPr>
            <w:tcW w:w="4164" w:type="dxa"/>
            <w:vAlign w:val="center"/>
          </w:tcPr>
          <w:p w14:paraId="53833A1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符合性分析</w:t>
            </w:r>
          </w:p>
        </w:tc>
        <w:tc>
          <w:tcPr>
            <w:tcW w:w="816" w:type="dxa"/>
            <w:vAlign w:val="center"/>
          </w:tcPr>
          <w:p w14:paraId="6C58951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结论</w:t>
            </w:r>
          </w:p>
        </w:tc>
      </w:tr>
      <w:tr w14:paraId="4601E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Align w:val="center"/>
          </w:tcPr>
          <w:p w14:paraId="25AC9E1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w:t>
            </w:r>
          </w:p>
        </w:tc>
        <w:tc>
          <w:tcPr>
            <w:tcW w:w="3571" w:type="dxa"/>
            <w:vAlign w:val="center"/>
          </w:tcPr>
          <w:p w14:paraId="6A38A71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黑土地保护利用实行土地用途管制制度。严格限制农用地转为建设用地，严格控制耕地转为非耕地，禁止违法占用耕地。</w:t>
            </w:r>
          </w:p>
        </w:tc>
        <w:tc>
          <w:tcPr>
            <w:tcW w:w="4164" w:type="dxa"/>
            <w:vAlign w:val="center"/>
          </w:tcPr>
          <w:p w14:paraId="1A6E66E3">
            <w:pPr>
              <w:widowControl/>
              <w:autoSpaceDE/>
              <w:autoSpaceDN/>
              <w:spacing w:line="36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本项目不新增永久占地，临时占地</w:t>
            </w:r>
            <w:r>
              <w:rPr>
                <w:rFonts w:hint="eastAsia" w:ascii="Times New Roman" w:hAnsi="Times New Roman" w:cs="Times New Roman" w:eastAsiaTheme="minorEastAsia"/>
                <w:color w:val="000000" w:themeColor="text1"/>
                <w:w w:val="99"/>
                <w:sz w:val="21"/>
                <w:szCs w:val="21"/>
                <w:lang w:val="en-US" w:eastAsia="zh-CN" w:bidi="ar-SA"/>
                <w14:textFill>
                  <w14:solidFill>
                    <w14:schemeClr w14:val="tx1"/>
                  </w14:solidFill>
                </w14:textFill>
              </w:rPr>
              <w:t>4.5hm2</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占地类型为耕地（非基本农田）、草地（非基本草原），本项目在施工前需要征收土地，应报请相关主管部门同意，取得用地审批。本工程尽可能减少占地。本工程建设过程中，对占用的耕地，按照“占多少，垦多少”的原则，由建设单位负责开垦与所占用耕地的数量和质量相当的耕地；如果没有条件开垦时，按照省的规定缴纳耕地开垦费，专款用于开垦新的耕地。</w:t>
            </w:r>
          </w:p>
        </w:tc>
        <w:tc>
          <w:tcPr>
            <w:tcW w:w="816" w:type="dxa"/>
            <w:vAlign w:val="center"/>
          </w:tcPr>
          <w:p w14:paraId="186DC3E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符合</w:t>
            </w:r>
          </w:p>
        </w:tc>
      </w:tr>
      <w:tr w14:paraId="2663E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Align w:val="center"/>
          </w:tcPr>
          <w:p w14:paraId="5189B90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w:t>
            </w:r>
          </w:p>
        </w:tc>
        <w:tc>
          <w:tcPr>
            <w:tcW w:w="3571" w:type="dxa"/>
            <w:vAlign w:val="center"/>
          </w:tcPr>
          <w:p w14:paraId="2B8CEBD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建立和完善建设用地增减挂钩机制。建设项目应当节约、集约使用黑土地，不占或者少占黑土地。</w:t>
            </w:r>
          </w:p>
        </w:tc>
        <w:tc>
          <w:tcPr>
            <w:tcW w:w="4164" w:type="dxa"/>
            <w:vAlign w:val="center"/>
          </w:tcPr>
          <w:p w14:paraId="5840287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本项目不新增永久占地，临时占地</w:t>
            </w:r>
            <w:r>
              <w:rPr>
                <w:rFonts w:hint="eastAsia" w:ascii="Times New Roman" w:hAnsi="Times New Roman" w:cs="Times New Roman" w:eastAsiaTheme="minorEastAsia"/>
                <w:color w:val="000000" w:themeColor="text1"/>
                <w:w w:val="99"/>
                <w:sz w:val="21"/>
                <w:szCs w:val="21"/>
                <w:lang w:val="en-US" w:eastAsia="zh-CN" w:bidi="ar-SA"/>
                <w14:textFill>
                  <w14:solidFill>
                    <w14:schemeClr w14:val="tx1"/>
                  </w14:solidFill>
                </w14:textFill>
              </w:rPr>
              <w:t>4.5hm2</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，施工阶段对临时占地表土进行剥离，施工结束后全部回填用于耕植土。</w:t>
            </w:r>
          </w:p>
        </w:tc>
        <w:tc>
          <w:tcPr>
            <w:tcW w:w="816" w:type="dxa"/>
            <w:vAlign w:val="center"/>
          </w:tcPr>
          <w:p w14:paraId="305E22A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符合</w:t>
            </w:r>
          </w:p>
        </w:tc>
      </w:tr>
      <w:tr w14:paraId="2CDDE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6" w:hRule="atLeast"/>
          <w:jc w:val="center"/>
        </w:trPr>
        <w:tc>
          <w:tcPr>
            <w:tcW w:w="737" w:type="dxa"/>
            <w:vAlign w:val="center"/>
          </w:tcPr>
          <w:p w14:paraId="61DF8C4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w:t>
            </w:r>
          </w:p>
        </w:tc>
        <w:tc>
          <w:tcPr>
            <w:tcW w:w="3571" w:type="dxa"/>
            <w:vAlign w:val="center"/>
          </w:tcPr>
          <w:p w14:paraId="58145C7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生产建设活动占用黑土地的，应当按照有关标准、规范和管理规定剥离表土。</w:t>
            </w:r>
          </w:p>
        </w:tc>
        <w:tc>
          <w:tcPr>
            <w:tcW w:w="4164" w:type="dxa"/>
            <w:vAlign w:val="center"/>
          </w:tcPr>
          <w:p w14:paraId="202B828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本工程实施前编制建设项目占用耕地耕作层土壤剥离利用方案，统筹安排剥离、储存和再利用。表土剥离和利用严格执行《建设占用耕地耕作层土壤剥离利用技术规范》（DB23/T2913-2021）。本项目在施工过程中针临时占地，应剥离占地内0.3m的表土，采用分层开挖，分层堆放，暂存于施工井场内的表土剥离临时堆放区，并采取苫布遮盖，表土剥离临时堆放区周围设置排水沟等措施防止水土流失，并定期采取洒水抑尘措施，剥离的表土在施工结束后分层回填，并及时恢复地表植被。</w:t>
            </w:r>
          </w:p>
        </w:tc>
        <w:tc>
          <w:tcPr>
            <w:tcW w:w="816" w:type="dxa"/>
            <w:vAlign w:val="center"/>
          </w:tcPr>
          <w:p w14:paraId="403ADA8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符合</w:t>
            </w:r>
          </w:p>
        </w:tc>
      </w:tr>
    </w:tbl>
    <w:p w14:paraId="5917F61E">
      <w:pPr>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在采取以上措施后，本项目符合《黑龙江省黑土地保护利用条例》中要求。</w:t>
      </w:r>
    </w:p>
    <w:p w14:paraId="0749CB1F">
      <w:pPr>
        <w:pStyle w:val="129"/>
        <w:autoSpaceDE/>
        <w:autoSpaceDN/>
        <w:spacing w:line="440" w:lineRule="exact"/>
        <w:ind w:firstLine="0" w:firstLineChars="0"/>
        <w:jc w:val="both"/>
        <w:outlineLvl w:val="3"/>
        <w:rPr>
          <w:rFonts w:ascii="Times New Roman" w:hAnsi="Times New Roman" w:eastAsiaTheme="minorEastAsia"/>
          <w:b/>
          <w:color w:val="000000" w:themeColor="text1"/>
          <w:w w:val="99"/>
          <w:sz w:val="24"/>
          <w:szCs w:val="24"/>
          <w:lang w:val="en-US" w:bidi="ar-SA"/>
          <w14:textFill>
            <w14:solidFill>
              <w14:schemeClr w14:val="tx1"/>
            </w14:solidFill>
          </w14:textFill>
        </w:rPr>
      </w:pPr>
      <w:r>
        <w:rPr>
          <w:rFonts w:ascii="Times New Roman" w:hAnsi="Times New Roman" w:eastAsiaTheme="minorEastAsia"/>
          <w:b/>
          <w:color w:val="000000" w:themeColor="text1"/>
          <w:w w:val="99"/>
          <w:sz w:val="24"/>
          <w:szCs w:val="24"/>
          <w:lang w:val="en-US" w:bidi="ar-SA"/>
          <w14:textFill>
            <w14:solidFill>
              <w14:schemeClr w14:val="tx1"/>
            </w14:solidFill>
          </w14:textFill>
        </w:rPr>
        <w:t>1.4.2.8《大庆市土地利用总体规划》（2006-2020年）符合性分析</w:t>
      </w:r>
    </w:p>
    <w:p w14:paraId="6CC045FA">
      <w:pPr>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本项目位于</w:t>
      </w:r>
      <w:r>
        <w:rPr>
          <w:rFonts w:ascii="Times New Roman" w:hAnsi="Times New Roman" w:cs="Times New Roman" w:eastAsiaTheme="minorEastAsia"/>
          <w:color w:val="000000" w:themeColor="text1"/>
          <w:w w:val="99"/>
          <w:sz w:val="24"/>
          <w:szCs w:val="24"/>
          <w:lang w:val="en-US"/>
          <w14:textFill>
            <w14:solidFill>
              <w14:schemeClr w14:val="tx1"/>
            </w14:solidFill>
          </w14:textFill>
        </w:rPr>
        <w:t>大庆市</w:t>
      </w:r>
      <w:r>
        <w:rPr>
          <w:rFonts w:hint="eastAsia" w:ascii="Times New Roman" w:hAnsi="Times New Roman" w:cs="Times New Roman" w:eastAsiaTheme="minorEastAsia"/>
          <w:color w:val="000000" w:themeColor="text1"/>
          <w:w w:val="99"/>
          <w:sz w:val="24"/>
          <w:szCs w:val="24"/>
          <w:lang w:val="en-US" w:eastAsia="zh-CN"/>
          <w14:textFill>
            <w14:solidFill>
              <w14:schemeClr w14:val="tx1"/>
            </w14:solidFill>
          </w14:textFill>
        </w:rPr>
        <w:t>红岗区杏树岗镇</w:t>
      </w:r>
      <w:r>
        <w:rPr>
          <w:rFonts w:ascii="Times New Roman" w:hAnsi="Times New Roman" w:cs="Times New Roman" w:eastAsiaTheme="minorEastAsia"/>
          <w:color w:val="000000" w:themeColor="text1"/>
          <w:w w:val="99"/>
          <w:sz w:val="24"/>
          <w:szCs w:val="24"/>
          <w:lang w:val="en-US"/>
          <w14:textFill>
            <w14:solidFill>
              <w14:schemeClr w14:val="tx1"/>
            </w14:solidFill>
          </w14:textFill>
        </w:rPr>
        <w:t>杏树岗村周边</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根据</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《大庆市土地利用总体规划》（2006-2020年），本项目位于</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一般农业发展区，</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所在地</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以耕地、</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草地和水泡为主，根据现场调查，规划与现状变化不大，本区的土地</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综合利用方向</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加强区内耕地保护，改造中低产田，提高土地生产能力，调整农业结构，发展高效农业。依靠区域自然资源，鼓励发展具有地方特色的农产品种植，积极发展农产品的深加工企业，发展规模型、合作型特色农业。</w:t>
      </w:r>
    </w:p>
    <w:p w14:paraId="16543E53">
      <w:pPr>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p>
    <w:p w14:paraId="38E7A163">
      <w:pPr>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p>
    <w:p w14:paraId="35021F28">
      <w:pPr>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根据《大庆市土地利用总体规划》(2006~2020)中的要求，对列入国家和省重点建设计划的交通、水利、能源、环保等基础设施建设项目用地必须要优先安排，重点保障；本项目为</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集油管线</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建设工程，属于国家能源</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基础</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设施，项目管线建设确实无法避让</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耕地</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，本项目施工完毕后1年内，临时占地全部恢复原有植被类型，即占用农田全部恢复为耕地</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占用草地全部恢复植被。临时占地恢复也可给予农民一定的费用补偿，由农民自行进行土地恢复，在此前提下，符合土地利用总体规划要求。符合性分析见表1.4-6。</w:t>
      </w:r>
    </w:p>
    <w:p w14:paraId="2D721288">
      <w:pPr>
        <w:spacing w:line="440" w:lineRule="exact"/>
        <w:ind w:firstLine="476" w:firstLineChars="200"/>
        <w:jc w:val="both"/>
        <w:rPr>
          <w:rFonts w:ascii="Times New Roman" w:hAnsi="Times New Roman" w:cs="Times New Roman" w:eastAsiaTheme="minorEastAsia"/>
          <w:b/>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
          <w:bCs/>
          <w:color w:val="000000" w:themeColor="text1"/>
          <w:w w:val="99"/>
          <w:sz w:val="24"/>
          <w:szCs w:val="24"/>
          <w:lang w:val="en-US" w:bidi="ar-SA"/>
          <w14:textFill>
            <w14:solidFill>
              <w14:schemeClr w14:val="tx1"/>
            </w14:solidFill>
          </w14:textFill>
        </w:rPr>
        <w:t>表1.4-6      与《大庆市土地利用总体规划》符合性一览表</w:t>
      </w:r>
    </w:p>
    <w:tbl>
      <w:tblPr>
        <w:tblStyle w:val="106"/>
        <w:tblW w:w="8999" w:type="dxa"/>
        <w:tblInd w:w="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7"/>
        <w:gridCol w:w="4399"/>
        <w:gridCol w:w="3092"/>
        <w:gridCol w:w="861"/>
      </w:tblGrid>
      <w:tr w14:paraId="16883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647" w:type="dxa"/>
          </w:tcPr>
          <w:p w14:paraId="0C3DAC7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序号</w:t>
            </w:r>
          </w:p>
        </w:tc>
        <w:tc>
          <w:tcPr>
            <w:tcW w:w="4399" w:type="dxa"/>
          </w:tcPr>
          <w:p w14:paraId="350D5E5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文件要求</w:t>
            </w:r>
          </w:p>
        </w:tc>
        <w:tc>
          <w:tcPr>
            <w:tcW w:w="3092" w:type="dxa"/>
          </w:tcPr>
          <w:p w14:paraId="5CEA048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符合性分析</w:t>
            </w:r>
          </w:p>
        </w:tc>
        <w:tc>
          <w:tcPr>
            <w:tcW w:w="861" w:type="dxa"/>
          </w:tcPr>
          <w:p w14:paraId="18BC9AB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符合性</w:t>
            </w:r>
          </w:p>
        </w:tc>
      </w:tr>
      <w:tr w14:paraId="1F951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8" w:hRule="atLeast"/>
        </w:trPr>
        <w:tc>
          <w:tcPr>
            <w:tcW w:w="647" w:type="dxa"/>
            <w:vAlign w:val="center"/>
          </w:tcPr>
          <w:p w14:paraId="02FF524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w:t>
            </w:r>
          </w:p>
        </w:tc>
        <w:tc>
          <w:tcPr>
            <w:tcW w:w="4399" w:type="dxa"/>
            <w:vAlign w:val="center"/>
          </w:tcPr>
          <w:p w14:paraId="1805084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第二章 土地利用战略、目标与基本策略</w:t>
            </w:r>
          </w:p>
          <w:p w14:paraId="141B370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第一节 土地利用总体战略</w:t>
            </w:r>
          </w:p>
          <w:p w14:paraId="731AF0F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进一步优化城镇工矿用地布局，强化耕地保护，提高节约集约用地水平，改善土地生态环境，统筹区域土地利用，妥善处理保障发展和保护资源关系，创新用地模式，认真解决土地利用存在重大问题，为保障全市经济社会全面、协调和可持续发展，实现奔“小康”总体目标，提供用地保障和服务。</w:t>
            </w:r>
          </w:p>
        </w:tc>
        <w:tc>
          <w:tcPr>
            <w:tcW w:w="3092" w:type="dxa"/>
            <w:vAlign w:val="center"/>
          </w:tcPr>
          <w:p w14:paraId="6B9B235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本项目是在原有区块现有布局的基础上进行管道敷设，同时根据管径的大小做到尽量</w:t>
            </w:r>
            <w:r>
              <w:rPr>
                <w:rFonts w:hint="eastAsia" w:ascii="Times New Roman" w:hAnsi="Times New Roman" w:cs="Times New Roman" w:eastAsiaTheme="minorEastAsia"/>
                <w:color w:val="000000" w:themeColor="text1"/>
                <w:w w:val="99"/>
                <w:sz w:val="21"/>
                <w:szCs w:val="21"/>
                <w:lang w:val="en-US" w:bidi="ar-SA"/>
                <w14:textFill>
                  <w14:solidFill>
                    <w14:schemeClr w14:val="tx1"/>
                  </w14:solidFill>
                </w14:textFill>
              </w:rPr>
              <w:t>窄控</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，减少了临时占地的使用，同时尽量减少耕地的占用，提高了节约集约用地水平，妥善处理了保障发展和保护资源的关系，做到了在尽可能减少占地的基础上保障油田油气产量，保障区域经济发展。</w:t>
            </w:r>
          </w:p>
        </w:tc>
        <w:tc>
          <w:tcPr>
            <w:tcW w:w="861" w:type="dxa"/>
            <w:vAlign w:val="center"/>
          </w:tcPr>
          <w:p w14:paraId="39A8E63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符合</w:t>
            </w:r>
          </w:p>
        </w:tc>
      </w:tr>
      <w:tr w14:paraId="7F26D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6" w:hRule="atLeast"/>
        </w:trPr>
        <w:tc>
          <w:tcPr>
            <w:tcW w:w="647" w:type="dxa"/>
            <w:vAlign w:val="center"/>
          </w:tcPr>
          <w:p w14:paraId="36736E1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p w14:paraId="0553FB9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p w14:paraId="01E6C9E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p w14:paraId="0DDBC5A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p w14:paraId="4339AC3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p w14:paraId="1690E56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p w14:paraId="4FBE042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w:t>
            </w:r>
          </w:p>
        </w:tc>
        <w:tc>
          <w:tcPr>
            <w:tcW w:w="4399" w:type="dxa"/>
            <w:vAlign w:val="center"/>
          </w:tcPr>
          <w:p w14:paraId="47B119B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第四章 土地利用布局优化</w:t>
            </w:r>
          </w:p>
          <w:p w14:paraId="70335B8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第四节 优化城乡建设用地布局</w:t>
            </w:r>
          </w:p>
          <w:p w14:paraId="7D4AA3F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二、油田用地布局。大庆市范围内有10处油田，沿滨州铁路、萨大公路，呈T字型分布，主要集中在让胡路、萨尔图、红岗区，为保持油田高产稳产，油田用地布局按石油生产、贮藏、运输要求，做好用地安排，对已划定的油田用地，不得安排与油田生产无关的各项建设用地，并做好油田内部用地挖潜，提高油田集约用地水平，对外围新增油田用地区按照地上服从地下的原则做好油田生产用地安排。</w:t>
            </w:r>
          </w:p>
        </w:tc>
        <w:tc>
          <w:tcPr>
            <w:tcW w:w="3092" w:type="dxa"/>
            <w:vAlign w:val="center"/>
          </w:tcPr>
          <w:p w14:paraId="3381A389">
            <w:pPr>
              <w:widowControl/>
              <w:autoSpaceDE/>
              <w:autoSpaceDN/>
              <w:spacing w:line="36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本工程属于改扩建项目，符合“以改建扩建为主、新增为辅，充分利用原址和存量基础设施用地”的要求。</w:t>
            </w:r>
          </w:p>
          <w:p w14:paraId="0F6B8009">
            <w:pPr>
              <w:widowControl/>
              <w:autoSpaceDE/>
              <w:autoSpaceDN/>
              <w:spacing w:line="36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本工程属于大庆市范围内10处油田中之一，已经根据规划要求规划好生产、贮藏、运输工作，做好用地安排。</w:t>
            </w:r>
          </w:p>
        </w:tc>
        <w:tc>
          <w:tcPr>
            <w:tcW w:w="861" w:type="dxa"/>
            <w:vAlign w:val="center"/>
          </w:tcPr>
          <w:p w14:paraId="2A1B94C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符合</w:t>
            </w:r>
          </w:p>
        </w:tc>
      </w:tr>
    </w:tbl>
    <w:p w14:paraId="114E5425">
      <w:pPr>
        <w:pStyle w:val="129"/>
        <w:autoSpaceDE/>
        <w:autoSpaceDN/>
        <w:spacing w:line="440" w:lineRule="exact"/>
        <w:ind w:firstLine="0" w:firstLineChars="0"/>
        <w:jc w:val="both"/>
        <w:outlineLvl w:val="3"/>
        <w:rPr>
          <w:rFonts w:ascii="Times New Roman" w:hAnsi="Times New Roman" w:eastAsiaTheme="minorEastAsia"/>
          <w:b/>
          <w:color w:val="000000" w:themeColor="text1"/>
          <w:w w:val="99"/>
          <w:sz w:val="24"/>
          <w:szCs w:val="24"/>
          <w:lang w:val="en-US" w:bidi="ar-SA"/>
          <w14:textFill>
            <w14:solidFill>
              <w14:schemeClr w14:val="tx1"/>
            </w14:solidFill>
          </w14:textFill>
        </w:rPr>
      </w:pPr>
      <w:r>
        <w:rPr>
          <w:rFonts w:ascii="Times New Roman" w:hAnsi="Times New Roman" w:eastAsiaTheme="minorEastAsia"/>
          <w:b/>
          <w:color w:val="000000" w:themeColor="text1"/>
          <w:w w:val="99"/>
          <w:sz w:val="24"/>
          <w:szCs w:val="24"/>
          <w:lang w:val="en-US" w:bidi="ar-SA"/>
          <w14:textFill>
            <w14:solidFill>
              <w14:schemeClr w14:val="tx1"/>
            </w14:solidFill>
          </w14:textFill>
        </w:rPr>
        <w:t>1.4.2.9与《大庆市水土保持规划》（2015～2030年）符合性分析</w:t>
      </w:r>
    </w:p>
    <w:p w14:paraId="04FEB908">
      <w:pPr>
        <w:spacing w:line="440" w:lineRule="exact"/>
        <w:ind w:firstLine="474" w:firstLineChars="200"/>
        <w:jc w:val="both"/>
        <w:rPr>
          <w:rFonts w:ascii="Times New Roman" w:hAnsi="Times New Roman" w:cs="Times New Roman" w:eastAsiaTheme="minorEastAsia"/>
          <w:color w:val="000000" w:themeColor="text1"/>
          <w:w w:val="99"/>
          <w:sz w:val="24"/>
          <w:szCs w:val="24"/>
          <w:lang w:val="en"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根据《大庆市水土保持规划》（2015～2030年），</w:t>
      </w:r>
      <w:r>
        <w:rPr>
          <w:rFonts w:ascii="Times New Roman" w:hAnsi="Times New Roman" w:cs="Times New Roman" w:eastAsiaTheme="minorEastAsia"/>
          <w:color w:val="000000" w:themeColor="text1"/>
          <w:w w:val="99"/>
          <w:sz w:val="24"/>
          <w:szCs w:val="24"/>
          <w:lang w:val="en" w:bidi="ar-SA"/>
          <w14:textFill>
            <w14:solidFill>
              <w14:schemeClr w14:val="tx1"/>
            </w14:solidFill>
          </w14:textFill>
        </w:rPr>
        <w:t>大庆市划定了市级水土流失重点预防区和重点治理区，</w:t>
      </w:r>
      <w:r>
        <w:rPr>
          <w:rFonts w:ascii="Times New Roman" w:hAnsi="Times New Roman" w:cs="Times New Roman" w:eastAsiaTheme="minorEastAsia"/>
          <w:color w:val="000000" w:themeColor="text1"/>
          <w:w w:val="99"/>
          <w:sz w:val="24"/>
          <w:szCs w:val="24"/>
          <w:lang w:val="en"/>
          <w14:textFill>
            <w14:solidFill>
              <w14:schemeClr w14:val="tx1"/>
            </w14:solidFill>
          </w14:textFill>
        </w:rPr>
        <w:t>本项目所处的敖林西伯乡属于水土流失重点治理区</w:t>
      </w:r>
      <w:r>
        <w:rPr>
          <w:rFonts w:ascii="Times New Roman" w:hAnsi="Times New Roman" w:cs="Times New Roman" w:eastAsiaTheme="minorEastAsia"/>
          <w:color w:val="000000" w:themeColor="text1"/>
          <w:w w:val="99"/>
          <w:sz w:val="24"/>
          <w:szCs w:val="24"/>
          <w:lang w:val="en" w:bidi="ar-SA"/>
          <w14:textFill>
            <w14:solidFill>
              <w14:schemeClr w14:val="tx1"/>
            </w14:solidFill>
          </w14:textFill>
        </w:rPr>
        <w:t>。本项目</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与</w:t>
      </w:r>
      <w:r>
        <w:rPr>
          <w:rFonts w:ascii="Times New Roman" w:hAnsi="Times New Roman" w:cs="Times New Roman" w:eastAsiaTheme="minorEastAsia"/>
          <w:color w:val="000000" w:themeColor="text1"/>
          <w:w w:val="99"/>
          <w:sz w:val="24"/>
          <w:szCs w:val="24"/>
          <w:lang w:val="en" w:bidi="ar-SA"/>
          <w14:textFill>
            <w14:solidFill>
              <w14:schemeClr w14:val="tx1"/>
            </w14:solidFill>
          </w14:textFill>
        </w:rPr>
        <w:t>水土保持重点治理区和重点预防区位置关系见附图</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3</w:t>
      </w:r>
      <w:r>
        <w:rPr>
          <w:rFonts w:ascii="Times New Roman" w:hAnsi="Times New Roman" w:cs="Times New Roman" w:eastAsiaTheme="minorEastAsia"/>
          <w:color w:val="000000" w:themeColor="text1"/>
          <w:w w:val="99"/>
          <w:sz w:val="24"/>
          <w:szCs w:val="24"/>
          <w:lang w:val="en" w:bidi="ar-SA"/>
          <w14:textFill>
            <w14:solidFill>
              <w14:schemeClr w14:val="tx1"/>
            </w14:solidFill>
          </w14:textFill>
        </w:rPr>
        <w:t>。</w:t>
      </w:r>
    </w:p>
    <w:p w14:paraId="68350A63">
      <w:pPr>
        <w:pStyle w:val="129"/>
        <w:spacing w:line="440" w:lineRule="exact"/>
        <w:ind w:firstLine="473"/>
        <w:jc w:val="both"/>
        <w:rPr>
          <w:rFonts w:ascii="Times New Roman" w:hAnsi="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eastAsiaTheme="minorEastAsia"/>
          <w:color w:val="000000" w:themeColor="text1"/>
          <w:w w:val="99"/>
          <w:sz w:val="24"/>
          <w:szCs w:val="24"/>
          <w:lang w:val="en-US" w:bidi="ar-SA"/>
          <w14:textFill>
            <w14:solidFill>
              <w14:schemeClr w14:val="tx1"/>
            </w14:solidFill>
          </w14:textFill>
        </w:rPr>
        <w:t>本项目管沟挖、填方作业应尽量做到互补平衡，以免造成弃土方堆积和过多借土，增加新的水土流失。管沟回填应按层回填，以利于施工带土壤和植被的尽早恢复。做好原有植被恢复工作和人工绿化工作，最大程度的降低因本项目施工建设和生产运行而新增的水土流失量。施工期间应划定施工活动范围，严格控制和管理运输车辆、重型机械设备作业范围，以及施工人员的活动范围，减少施工作业对周围土壤和植被的破坏范围和程度。在采取水土保持措施后，本项目满足《大庆市水土保持规划》（2015～2030年）要求。</w:t>
      </w:r>
    </w:p>
    <w:p w14:paraId="7FC97CD0">
      <w:pPr>
        <w:pStyle w:val="129"/>
        <w:autoSpaceDE/>
        <w:autoSpaceDN/>
        <w:spacing w:line="440" w:lineRule="exact"/>
        <w:ind w:firstLine="0" w:firstLineChars="0"/>
        <w:jc w:val="both"/>
        <w:outlineLvl w:val="3"/>
        <w:rPr>
          <w:rFonts w:ascii="Times New Roman" w:hAnsi="Times New Roman" w:eastAsiaTheme="minorEastAsia"/>
          <w:b/>
          <w:color w:val="000000" w:themeColor="text1"/>
          <w:w w:val="99"/>
          <w:sz w:val="24"/>
          <w:szCs w:val="24"/>
          <w:lang w:val="en-US" w:bidi="ar-SA"/>
          <w14:textFill>
            <w14:solidFill>
              <w14:schemeClr w14:val="tx1"/>
            </w14:solidFill>
          </w14:textFill>
        </w:rPr>
      </w:pPr>
      <w:r>
        <w:rPr>
          <w:rFonts w:ascii="Times New Roman" w:hAnsi="Times New Roman" w:eastAsiaTheme="minorEastAsia"/>
          <w:b/>
          <w:color w:val="000000" w:themeColor="text1"/>
          <w:w w:val="99"/>
          <w:sz w:val="24"/>
          <w:szCs w:val="24"/>
          <w:lang w:val="en-US" w:bidi="ar-SA"/>
          <w14:textFill>
            <w14:solidFill>
              <w14:schemeClr w14:val="tx1"/>
            </w14:solidFill>
          </w14:textFill>
        </w:rPr>
        <w:t>1.4.2.10与《大庆市“十四五”生态环境保护规划》符合性分析</w:t>
      </w:r>
    </w:p>
    <w:p w14:paraId="6FC6476C">
      <w:pPr>
        <w:autoSpaceDE/>
        <w:autoSpaceDN/>
        <w:spacing w:line="500" w:lineRule="exact"/>
        <w:ind w:firstLine="476" w:firstLineChars="200"/>
        <w:jc w:val="both"/>
        <w:rPr>
          <w:rFonts w:ascii="Times New Roman" w:hAnsi="Times New Roman" w:cs="Times New Roman" w:eastAsiaTheme="minorEastAsia"/>
          <w:b/>
          <w:bCs/>
          <w:color w:val="000000" w:themeColor="text1"/>
          <w:w w:val="99"/>
          <w:kern w:val="21"/>
          <w:sz w:val="24"/>
          <w:szCs w:val="20"/>
          <w:lang w:val="en-US" w:bidi="ar-SA"/>
          <w14:textFill>
            <w14:solidFill>
              <w14:schemeClr w14:val="tx1"/>
            </w14:solidFill>
          </w14:textFill>
        </w:rPr>
      </w:pPr>
      <w:r>
        <w:rPr>
          <w:rFonts w:ascii="Times New Roman" w:hAnsi="Times New Roman" w:cs="Times New Roman" w:eastAsiaTheme="minorEastAsia"/>
          <w:b/>
          <w:bCs/>
          <w:color w:val="000000" w:themeColor="text1"/>
          <w:w w:val="99"/>
          <w:kern w:val="21"/>
          <w:sz w:val="24"/>
          <w:szCs w:val="20"/>
          <w:lang w:val="en-US" w:bidi="ar-SA"/>
          <w14:textFill>
            <w14:solidFill>
              <w14:schemeClr w14:val="tx1"/>
            </w14:solidFill>
          </w14:textFill>
        </w:rPr>
        <w:t>表1.4-7      本项目与《大庆市“十四五”生态环境保护规划》相关要求符合性</w:t>
      </w:r>
    </w:p>
    <w:tbl>
      <w:tblPr>
        <w:tblStyle w:val="1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3"/>
        <w:gridCol w:w="3063"/>
        <w:gridCol w:w="4037"/>
        <w:gridCol w:w="921"/>
      </w:tblGrid>
      <w:tr w14:paraId="32D27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3" w:type="dxa"/>
            <w:vAlign w:val="center"/>
          </w:tcPr>
          <w:p w14:paraId="24AEF0D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序号</w:t>
            </w:r>
          </w:p>
        </w:tc>
        <w:tc>
          <w:tcPr>
            <w:tcW w:w="3063" w:type="dxa"/>
            <w:vAlign w:val="center"/>
          </w:tcPr>
          <w:p w14:paraId="665A7CF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相关要求</w:t>
            </w:r>
          </w:p>
        </w:tc>
        <w:tc>
          <w:tcPr>
            <w:tcW w:w="4037" w:type="dxa"/>
            <w:vAlign w:val="center"/>
          </w:tcPr>
          <w:p w14:paraId="3879CCA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符合性分析</w:t>
            </w:r>
          </w:p>
        </w:tc>
        <w:tc>
          <w:tcPr>
            <w:tcW w:w="921" w:type="dxa"/>
            <w:vAlign w:val="center"/>
          </w:tcPr>
          <w:p w14:paraId="33ADEFB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符合性</w:t>
            </w:r>
          </w:p>
        </w:tc>
      </w:tr>
      <w:tr w14:paraId="5CE0F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3" w:type="dxa"/>
            <w:vAlign w:val="center"/>
          </w:tcPr>
          <w:p w14:paraId="0CD63F3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val="en-US" w:bidi="ar-SA"/>
                <w14:textFill>
                  <w14:solidFill>
                    <w14:schemeClr w14:val="tx1"/>
                  </w14:solidFill>
                </w14:textFill>
              </w:rPr>
              <w:t>1</w:t>
            </w:r>
          </w:p>
        </w:tc>
        <w:tc>
          <w:tcPr>
            <w:tcW w:w="3063" w:type="dxa"/>
            <w:vAlign w:val="center"/>
          </w:tcPr>
          <w:p w14:paraId="1244FD8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val="en-US" w:bidi="ar-SA"/>
                <w14:textFill>
                  <w14:solidFill>
                    <w14:schemeClr w14:val="tx1"/>
                  </w14:solidFill>
                </w14:textFill>
              </w:rPr>
              <w:t>推进扬尘精细化管控。全面推行绿色施工，严格落实施工工地扬尘管控责任，加强施工扬尘监管执法。推进低尘机械化湿式清扫作业，加大城市出入口、城乡结合部等重要路段冲洗保洁力度，渣土车实施全密闭运输，强化绿化用地扬尘治理。</w:t>
            </w:r>
          </w:p>
        </w:tc>
        <w:tc>
          <w:tcPr>
            <w:tcW w:w="4037" w:type="dxa"/>
            <w:vAlign w:val="center"/>
          </w:tcPr>
          <w:p w14:paraId="7BBFBD65">
            <w:pPr>
              <w:widowControl/>
              <w:autoSpaceDE/>
              <w:autoSpaceDN/>
              <w:spacing w:line="360" w:lineRule="exact"/>
              <w:jc w:val="both"/>
              <w:rPr>
                <w:color w:val="000000" w:themeColor="text1"/>
                <w:w w:val="99"/>
                <w:sz w:val="21"/>
                <w:szCs w:val="21"/>
                <w:lang w:val="en-US" w:bidi="ar-SA"/>
                <w14:textFill>
                  <w14:solidFill>
                    <w14:schemeClr w14:val="tx1"/>
                  </w14:solidFill>
                </w14:textFill>
              </w:rPr>
            </w:pPr>
            <w:r>
              <w:rPr>
                <w:rFonts w:hint="eastAsia"/>
                <w:color w:val="000000" w:themeColor="text1"/>
                <w:w w:val="99"/>
                <w:sz w:val="21"/>
                <w:szCs w:val="21"/>
                <w:lang w:val="en-US" w:bidi="ar-SA"/>
                <w14:textFill>
                  <w14:solidFill>
                    <w14:schemeClr w14:val="tx1"/>
                  </w14:solidFill>
                </w14:textFill>
              </w:rPr>
              <w:t>①</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为防止因交通运输量的增加而导致的扬尘污染，合理规划道路运输路线，尽量利用现有公路网络。</w:t>
            </w:r>
            <w:r>
              <w:rPr>
                <w:rFonts w:hint="eastAsia"/>
                <w:color w:val="000000" w:themeColor="text1"/>
                <w:w w:val="99"/>
                <w:sz w:val="21"/>
                <w:szCs w:val="21"/>
                <w:lang w:val="en-US" w:bidi="ar-SA"/>
                <w14:textFill>
                  <w14:solidFill>
                    <w14:schemeClr w14:val="tx1"/>
                  </w14:solidFill>
                </w14:textFill>
              </w:rPr>
              <w:t>②</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运输道路、施工场地应定时洒水抑尘，定期清扫散落在施工场地的泥土，应实行湿法吸扫，严禁干扫和吹扫，以减少扬尘对周边土壤和植被的影响。</w:t>
            </w:r>
            <w:r>
              <w:rPr>
                <w:rFonts w:hint="eastAsia"/>
                <w:color w:val="000000" w:themeColor="text1"/>
                <w:w w:val="99"/>
                <w:sz w:val="21"/>
                <w:szCs w:val="21"/>
                <w:lang w:val="en-US" w:bidi="ar-SA"/>
                <w14:textFill>
                  <w14:solidFill>
                    <w14:schemeClr w14:val="tx1"/>
                  </w14:solidFill>
                </w14:textFill>
              </w:rPr>
              <w:t>③</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运料车辆在运输时，车辆应当采取全密闭措施，需要在运料顶部加盖篷布，严禁敞开式、半敞开式运输，不得装载过满，以防洒落在地，形成二次扬尘。</w:t>
            </w:r>
            <w:r>
              <w:rPr>
                <w:rFonts w:hint="eastAsia"/>
                <w:color w:val="000000" w:themeColor="text1"/>
                <w:w w:val="99"/>
                <w:sz w:val="21"/>
                <w:szCs w:val="21"/>
                <w:lang w:val="en-US" w:bidi="ar-SA"/>
                <w14:textFill>
                  <w14:solidFill>
                    <w14:schemeClr w14:val="tx1"/>
                  </w14:solidFill>
                </w14:textFill>
              </w:rPr>
              <w:t>④</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土方开挖应采取遮盖、围挡、洒水等防尘措施。临时弃土集中堆放在背风侧，临时堆放土堆应采取覆盖、洒水等防尘措施；缩短土方裸露时间，且不宜堆积过久、过高，堆放过程中应在顶部加盖篷布；对易产生扬尘污染的建筑材料堆应覆盖到位。</w:t>
            </w:r>
            <w:r>
              <w:rPr>
                <w:rFonts w:hint="eastAsia"/>
                <w:color w:val="000000" w:themeColor="text1"/>
                <w:w w:val="99"/>
                <w:sz w:val="21"/>
                <w:szCs w:val="21"/>
                <w:lang w:val="en-US" w:bidi="ar-SA"/>
                <w14:textFill>
                  <w14:solidFill>
                    <w14:schemeClr w14:val="tx1"/>
                  </w14:solidFill>
                </w14:textFill>
              </w:rPr>
              <w:t>⑤</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合理规划施工进度，表土剥离及时开挖，及时回填，防止弃土风化失水而起沙起尘；遇大风天气应停止土方工程施工作业。</w:t>
            </w:r>
            <w:r>
              <w:rPr>
                <w:rFonts w:hint="eastAsia"/>
                <w:color w:val="000000" w:themeColor="text1"/>
                <w:w w:val="99"/>
                <w:sz w:val="21"/>
                <w:szCs w:val="21"/>
                <w:lang w:val="en-US" w:bidi="ar-SA"/>
                <w14:textFill>
                  <w14:solidFill>
                    <w14:schemeClr w14:val="tx1"/>
                  </w14:solidFill>
                </w14:textFill>
              </w:rPr>
              <w:t>⑥</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施工完成后，在绿化季节到来时应立即对临时占地进行植被恢复。</w:t>
            </w:r>
            <w:r>
              <w:rPr>
                <w:rFonts w:hint="eastAsia"/>
                <w:color w:val="000000" w:themeColor="text1"/>
                <w:w w:val="99"/>
                <w:sz w:val="21"/>
                <w:szCs w:val="21"/>
                <w:lang w:val="en-US" w:bidi="ar-SA"/>
                <w14:textFill>
                  <w14:solidFill>
                    <w14:schemeClr w14:val="tx1"/>
                  </w14:solidFill>
                </w14:textFill>
              </w:rPr>
              <w:t>⑦</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施工结束后，应及时进行施工场地的清理，清除积土、堆物。</w:t>
            </w:r>
          </w:p>
        </w:tc>
        <w:tc>
          <w:tcPr>
            <w:tcW w:w="921" w:type="dxa"/>
            <w:vAlign w:val="center"/>
          </w:tcPr>
          <w:p w14:paraId="05D1CE3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符合</w:t>
            </w:r>
          </w:p>
        </w:tc>
      </w:tr>
      <w:tr w14:paraId="1542C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3" w:type="dxa"/>
            <w:vAlign w:val="center"/>
          </w:tcPr>
          <w:p w14:paraId="3E7D470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val="en-US" w:bidi="ar-SA"/>
                <w14:textFill>
                  <w14:solidFill>
                    <w14:schemeClr w14:val="tx1"/>
                  </w14:solidFill>
                </w14:textFill>
              </w:rPr>
              <w:t>2</w:t>
            </w:r>
          </w:p>
        </w:tc>
        <w:tc>
          <w:tcPr>
            <w:tcW w:w="3063" w:type="dxa"/>
            <w:vAlign w:val="center"/>
          </w:tcPr>
          <w:p w14:paraId="671AA92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val="en-US" w:bidi="ar-SA"/>
                <w14:textFill>
                  <w14:solidFill>
                    <w14:schemeClr w14:val="tx1"/>
                  </w14:solidFill>
                </w14:textFill>
              </w:rPr>
              <w:t>在制定国土空间规划及交通运输等相关规划时，合理划定防噪声距离，明确规划设计要求。因特殊需要必须连续作业的，必须按照法律规定取得证明，并公告附近居民。鼓励采用低噪声施工设备和工艺。依法将工业企业噪声纳入排污许可管理，严厉查处工业企业噪声排放超标扰民行为。</w:t>
            </w:r>
          </w:p>
        </w:tc>
        <w:tc>
          <w:tcPr>
            <w:tcW w:w="4037" w:type="dxa"/>
            <w:vAlign w:val="center"/>
          </w:tcPr>
          <w:p w14:paraId="04D79C81">
            <w:pPr>
              <w:widowControl/>
              <w:autoSpaceDE/>
              <w:autoSpaceDN/>
              <w:spacing w:line="360" w:lineRule="exact"/>
              <w:jc w:val="both"/>
              <w:rPr>
                <w:color w:val="000000" w:themeColor="text1"/>
                <w:w w:val="99"/>
                <w:sz w:val="21"/>
                <w:szCs w:val="21"/>
                <w:lang w:val="en-US" w:bidi="ar-SA"/>
                <w14:textFill>
                  <w14:solidFill>
                    <w14:schemeClr w14:val="tx1"/>
                  </w14:solidFill>
                </w14:textFill>
              </w:rPr>
            </w:pPr>
            <w:r>
              <w:rPr>
                <w:rFonts w:hint="eastAsia"/>
                <w:color w:val="000000" w:themeColor="text1"/>
                <w:w w:val="99"/>
                <w:sz w:val="21"/>
                <w:szCs w:val="21"/>
                <w:lang w:val="en-US" w:bidi="ar-SA"/>
                <w14:textFill>
                  <w14:solidFill>
                    <w14:schemeClr w14:val="tx1"/>
                  </w14:solidFill>
                </w14:textFill>
              </w:rPr>
              <w:t>本项目施工期</w:t>
            </w:r>
            <w:r>
              <w:rPr>
                <w:color w:val="000000" w:themeColor="text1"/>
                <w:w w:val="99"/>
                <w:sz w:val="21"/>
                <w:szCs w:val="21"/>
                <w:lang w:val="en-US"/>
                <w14:textFill>
                  <w14:solidFill>
                    <w14:schemeClr w14:val="tx1"/>
                  </w14:solidFill>
                </w14:textFill>
              </w:rPr>
              <w:t>合理安排施工时间制定科学的施工计划，应尽可能避免大量高噪声设备同时使用。合理布局施工现场，对施工线路实行分段施工的组织方式，合理安排施工计划和施工方法，合理布置施工现场，尽量将高噪声机械布置远离环境敏感点一侧，同时，避免在同一地点安排较多的动力机械，造成局部声级过高。设备选型上尽量采用低噪声设备，高噪声机械安装消音器等，同时做好机械设备日常维护工作。闲置不用的设备应立即关闭，运输车辆进入现场应减速，并减少鸣笛。运输车辆选择避开居民点路线，进入施工现场，车辆速度不超过每小时20km，尽量不鸣笛。</w:t>
            </w:r>
          </w:p>
        </w:tc>
        <w:tc>
          <w:tcPr>
            <w:tcW w:w="921" w:type="dxa"/>
            <w:vAlign w:val="center"/>
          </w:tcPr>
          <w:p w14:paraId="5E9BACD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符合</w:t>
            </w:r>
          </w:p>
        </w:tc>
      </w:tr>
      <w:tr w14:paraId="5CA64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3" w:type="dxa"/>
            <w:vAlign w:val="center"/>
          </w:tcPr>
          <w:p w14:paraId="3EA1031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val="en-US" w:bidi="ar-SA"/>
                <w14:textFill>
                  <w14:solidFill>
                    <w14:schemeClr w14:val="tx1"/>
                  </w14:solidFill>
                </w14:textFill>
              </w:rPr>
              <w:t>3</w:t>
            </w:r>
          </w:p>
        </w:tc>
        <w:tc>
          <w:tcPr>
            <w:tcW w:w="3063" w:type="dxa"/>
            <w:vAlign w:val="center"/>
          </w:tcPr>
          <w:p w14:paraId="2B1E7CF2">
            <w:pPr>
              <w:widowControl/>
              <w:autoSpaceDE/>
              <w:autoSpaceDN/>
              <w:spacing w:line="36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val="en-US" w:bidi="ar-SA"/>
                <w14:textFill>
                  <w14:solidFill>
                    <w14:schemeClr w14:val="tx1"/>
                  </w14:solidFill>
                </w14:textFill>
              </w:rPr>
              <w:t>严控耕地保护红线。实行最严格的耕地保护制度，对黑土耕地全面进行管控。落实“三线一单”生态环境分区中与耕地相关管控要求。推广保护性耕作模式。</w:t>
            </w:r>
          </w:p>
          <w:p w14:paraId="4BAC2149">
            <w:pPr>
              <w:widowControl/>
              <w:autoSpaceDE/>
              <w:autoSpaceDN/>
              <w:spacing w:line="36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val="en-US" w:bidi="ar-SA"/>
                <w14:textFill>
                  <w14:solidFill>
                    <w14:schemeClr w14:val="tx1"/>
                  </w14:solidFill>
                </w14:textFill>
              </w:rPr>
              <w:t>强化黑土耕地保护的监督管理。落实属地监督管理责任，实行黑土耕地动态监管、日常巡查。</w:t>
            </w:r>
          </w:p>
          <w:p w14:paraId="42016506">
            <w:pPr>
              <w:widowControl/>
              <w:autoSpaceDE/>
              <w:autoSpaceDN/>
              <w:spacing w:line="36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val="en-US" w:bidi="ar-SA"/>
                <w14:textFill>
                  <w14:solidFill>
                    <w14:schemeClr w14:val="tx1"/>
                  </w14:solidFill>
                </w14:textFill>
              </w:rPr>
              <w:t>加快耕地水土流失综合治理。坚持山水林田湖草沙冰系统治理、综合治理，减轻风蚀水蚀，防治水土流失。</w:t>
            </w:r>
          </w:p>
        </w:tc>
        <w:tc>
          <w:tcPr>
            <w:tcW w:w="4037" w:type="dxa"/>
            <w:vAlign w:val="center"/>
          </w:tcPr>
          <w:p w14:paraId="4A8D69D3">
            <w:pPr>
              <w:widowControl/>
              <w:autoSpaceDE/>
              <w:autoSpaceDN/>
              <w:spacing w:line="360" w:lineRule="exact"/>
              <w:jc w:val="both"/>
              <w:rPr>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本项目不新增永久占地，临时占地</w:t>
            </w:r>
            <w:r>
              <w:rPr>
                <w:rFonts w:hint="eastAsia" w:ascii="Times New Roman" w:hAnsi="Times New Roman" w:cs="Times New Roman" w:eastAsiaTheme="minorEastAsia"/>
                <w:color w:val="000000" w:themeColor="text1"/>
                <w:w w:val="99"/>
                <w:sz w:val="21"/>
                <w:szCs w:val="21"/>
                <w:lang w:val="en-US" w:eastAsia="zh-CN" w:bidi="ar-SA"/>
                <w14:textFill>
                  <w14:solidFill>
                    <w14:schemeClr w14:val="tx1"/>
                  </w14:solidFill>
                </w14:textFill>
              </w:rPr>
              <w:t>4.5hm2</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占地类型为耕地（非基本农田）、草地（非基本草原），本工程实施前编制建设项目占用耕地耕作层土壤剥离利用方案，统筹安排剥离、储存和再利用。表土剥离和利用严格执行《建设占用耕地耕作层土壤剥离利用技术规范》（DB23/T2913-2021）。本项目在施工过程中</w:t>
            </w:r>
            <w:r>
              <w:rPr>
                <w:rFonts w:hint="eastAsia" w:ascii="Times New Roman" w:hAnsi="Times New Roman" w:cs="Times New Roman" w:eastAsiaTheme="minorEastAsia"/>
                <w:color w:val="000000" w:themeColor="text1"/>
                <w:w w:val="99"/>
                <w:sz w:val="21"/>
                <w:szCs w:val="21"/>
                <w:lang w:val="en-US" w:bidi="ar-SA"/>
                <w14:textFill>
                  <w14:solidFill>
                    <w14:schemeClr w14:val="tx1"/>
                  </w14:solidFill>
                </w14:textFill>
              </w:rPr>
              <w:t>针对临时占地</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应剥离占地内0.3m的表土，采用分层开挖，分层堆放，暂存于施工井场内的表土剥离临时堆放区，并采取苫布遮盖，表土剥离临时堆放区周围设置排水沟等措施防止水土流失，并定期采取洒水抑尘措施，剥离的表土在施工结束后分层回填，并及时恢复地表植被。</w:t>
            </w:r>
          </w:p>
        </w:tc>
        <w:tc>
          <w:tcPr>
            <w:tcW w:w="921" w:type="dxa"/>
            <w:vAlign w:val="center"/>
          </w:tcPr>
          <w:p w14:paraId="2E21AAE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符合</w:t>
            </w:r>
          </w:p>
        </w:tc>
      </w:tr>
      <w:tr w14:paraId="35508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3" w:type="dxa"/>
            <w:vAlign w:val="center"/>
          </w:tcPr>
          <w:p w14:paraId="71BD453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val="en-US" w:bidi="ar-SA"/>
                <w14:textFill>
                  <w14:solidFill>
                    <w14:schemeClr w14:val="tx1"/>
                  </w14:solidFill>
                </w14:textFill>
              </w:rPr>
              <w:t>4</w:t>
            </w:r>
          </w:p>
        </w:tc>
        <w:tc>
          <w:tcPr>
            <w:tcW w:w="3063" w:type="dxa"/>
            <w:vAlign w:val="center"/>
          </w:tcPr>
          <w:p w14:paraId="0515D35C">
            <w:pPr>
              <w:widowControl/>
              <w:autoSpaceDE/>
              <w:autoSpaceDN/>
              <w:spacing w:line="36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val="en-US" w:bidi="ar-SA"/>
                <w14:textFill>
                  <w14:solidFill>
                    <w14:schemeClr w14:val="tx1"/>
                  </w14:solidFill>
                </w14:textFill>
              </w:rPr>
              <w:t>推进地下水污染综合防治。建立地下水污染防治管理和环境监测体系，建设地下水信息平台。加强地下水污染与地表水、土壤等共生环境协同防治。全面开展地下水污染分区防治，提出地下水污染分区防治措施，实施地下水污染源分类监管。</w:t>
            </w:r>
          </w:p>
        </w:tc>
        <w:tc>
          <w:tcPr>
            <w:tcW w:w="4037" w:type="dxa"/>
            <w:vAlign w:val="center"/>
          </w:tcPr>
          <w:p w14:paraId="315A2BB1">
            <w:pPr>
              <w:widowControl/>
              <w:autoSpaceDE/>
              <w:autoSpaceDN/>
              <w:spacing w:line="360" w:lineRule="exact"/>
              <w:jc w:val="both"/>
              <w:rPr>
                <w:color w:val="000000" w:themeColor="text1"/>
                <w:w w:val="99"/>
                <w:sz w:val="21"/>
                <w:szCs w:val="21"/>
                <w:lang w:val="en-US" w:bidi="ar-SA"/>
                <w14:textFill>
                  <w14:solidFill>
                    <w14:schemeClr w14:val="tx1"/>
                  </w14:solidFill>
                </w14:textFill>
              </w:rPr>
            </w:pPr>
            <w:r>
              <w:rPr>
                <w:color w:val="000000" w:themeColor="text1"/>
                <w:w w:val="99"/>
                <w:sz w:val="21"/>
                <w:szCs w:val="21"/>
                <w:lang w:val="en-US" w:bidi="ar-SA"/>
                <w14:textFill>
                  <w14:solidFill>
                    <w14:schemeClr w14:val="tx1"/>
                  </w14:solidFill>
                </w14:textFill>
              </w:rPr>
              <w:t>本项目针对拟建管线及混输阀组间采取了分区防渗措施，并在区域内布置</w:t>
            </w:r>
            <w:r>
              <w:rPr>
                <w:rFonts w:hint="eastAsia"/>
                <w:color w:val="000000" w:themeColor="text1"/>
                <w:w w:val="99"/>
                <w:sz w:val="21"/>
                <w:szCs w:val="21"/>
                <w:lang w:val="en-US" w:bidi="ar-SA"/>
                <w14:textFill>
                  <w14:solidFill>
                    <w14:schemeClr w14:val="tx1"/>
                  </w14:solidFill>
                </w14:textFill>
              </w:rPr>
              <w:t>3口跟踪监测井，定期进行跟踪监测。</w:t>
            </w:r>
          </w:p>
        </w:tc>
        <w:tc>
          <w:tcPr>
            <w:tcW w:w="921" w:type="dxa"/>
            <w:vAlign w:val="center"/>
          </w:tcPr>
          <w:p w14:paraId="6B4AF2C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符合</w:t>
            </w:r>
          </w:p>
        </w:tc>
      </w:tr>
      <w:tr w14:paraId="6357B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3" w:type="dxa"/>
            <w:vAlign w:val="center"/>
          </w:tcPr>
          <w:p w14:paraId="4EDFC85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val="en-US" w:bidi="ar-SA"/>
                <w14:textFill>
                  <w14:solidFill>
                    <w14:schemeClr w14:val="tx1"/>
                  </w14:solidFill>
                </w14:textFill>
              </w:rPr>
              <w:t>5</w:t>
            </w:r>
          </w:p>
        </w:tc>
        <w:tc>
          <w:tcPr>
            <w:tcW w:w="3063" w:type="dxa"/>
            <w:vAlign w:val="center"/>
          </w:tcPr>
          <w:p w14:paraId="7A15377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val="en-US" w:bidi="ar-SA"/>
                <w14:textFill>
                  <w14:solidFill>
                    <w14:schemeClr w14:val="tx1"/>
                  </w14:solidFill>
                </w14:textFill>
              </w:rPr>
              <w:t>推进重点产废单位“减量化、资源化、无害化”工作。抓好油田采油环节各类固废的源头减量、分类处置工作。加快构建与产生量相匹配处理规模的水基钻井泥浆综合利用项目。进一步推进历史遗留固体废物的排查整治，通过拓展工业固体废物的综合利用渠道和效率，最终实现产业绿色转型。</w:t>
            </w:r>
          </w:p>
        </w:tc>
        <w:tc>
          <w:tcPr>
            <w:tcW w:w="4037" w:type="dxa"/>
            <w:vAlign w:val="center"/>
          </w:tcPr>
          <w:p w14:paraId="1AFD1710">
            <w:pPr>
              <w:widowControl/>
              <w:autoSpaceDE/>
              <w:autoSpaceDN/>
              <w:spacing w:line="360" w:lineRule="exact"/>
              <w:jc w:val="both"/>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本项目施工废料最大限度回收利用后，剩余废料拉运至第八采油厂工业固废填埋场处理；建筑垃圾全部由施工单位拉运至大庆市</w:t>
            </w:r>
            <w:r>
              <w:rPr>
                <w:rFonts w:hint="eastAsia" w:ascii="Times New Roman" w:hAnsi="Times New Roman" w:cs="Times New Roman"/>
                <w:color w:val="000000" w:themeColor="text1"/>
                <w:w w:val="99"/>
                <w:sz w:val="21"/>
                <w:szCs w:val="21"/>
                <w:lang w:val="en-US" w:eastAsia="zh-CN" w:bidi="ar-SA"/>
                <w14:textFill>
                  <w14:solidFill>
                    <w14:schemeClr w14:val="tx1"/>
                  </w14:solidFill>
                </w14:textFill>
              </w:rPr>
              <w:t>红岗区杏树岗镇</w:t>
            </w:r>
            <w:r>
              <w:rPr>
                <w:rFonts w:ascii="Times New Roman" w:hAnsi="Times New Roman" w:cs="Times New Roman"/>
                <w:color w:val="000000" w:themeColor="text1"/>
                <w:w w:val="99"/>
                <w:sz w:val="21"/>
                <w:szCs w:val="21"/>
                <w:lang w:val="en-US" w:bidi="ar-SA"/>
                <w14:textFill>
                  <w14:solidFill>
                    <w14:schemeClr w14:val="tx1"/>
                  </w14:solidFill>
                </w14:textFill>
              </w:rPr>
              <w:t>建筑垃圾消纳场处理；废旧设备全部回收至</w:t>
            </w:r>
            <w:r>
              <w:rPr>
                <w:rFonts w:hint="eastAsia" w:ascii="Times New Roman" w:hAnsi="Times New Roman" w:cs="Times New Roman"/>
                <w:color w:val="000000" w:themeColor="text1"/>
                <w:w w:val="99"/>
                <w:sz w:val="21"/>
                <w:szCs w:val="21"/>
                <w:lang w:val="en-US" w:eastAsia="zh-CN" w:bidi="ar-SA"/>
                <w14:textFill>
                  <w14:solidFill>
                    <w14:schemeClr w14:val="tx1"/>
                  </w14:solidFill>
                </w14:textFill>
              </w:rPr>
              <w:t>第五采油厂</w:t>
            </w:r>
            <w:r>
              <w:rPr>
                <w:rFonts w:ascii="Times New Roman" w:hAnsi="Times New Roman" w:cs="Times New Roman"/>
                <w:color w:val="000000" w:themeColor="text1"/>
                <w:w w:val="99"/>
                <w:sz w:val="21"/>
                <w:szCs w:val="21"/>
                <w:lang w:val="en-US" w:bidi="ar-SA"/>
                <w14:textFill>
                  <w14:solidFill>
                    <w14:schemeClr w14:val="tx1"/>
                  </w14:solidFill>
                </w14:textFill>
              </w:rPr>
              <w:t>物资库再利用。生活垃圾统一收集后拉运至大庆龙清生物科技有限公司处理。</w:t>
            </w:r>
            <w:r>
              <w:rPr>
                <w:rFonts w:ascii="Times New Roman" w:hAnsi="Times New Roman" w:cs="Times New Roman"/>
                <w:bCs/>
                <w:color w:val="000000" w:themeColor="text1"/>
                <w:w w:val="99"/>
                <w:sz w:val="21"/>
                <w:szCs w:val="21"/>
                <w:lang w:val="en-US"/>
                <w14:textFill>
                  <w14:solidFill>
                    <w14:schemeClr w14:val="tx1"/>
                  </w14:solidFill>
                </w14:textFill>
              </w:rPr>
              <w:t>清淤油泥需</w:t>
            </w:r>
            <w:r>
              <w:rPr>
                <w:rFonts w:ascii="Times New Roman" w:hAnsi="Times New Roman" w:cs="Times New Roman"/>
                <w:bCs/>
                <w:color w:val="000000" w:themeColor="text1"/>
                <w:w w:val="99"/>
                <w:sz w:val="21"/>
                <w:szCs w:val="21"/>
                <w:lang w:val="en-US" w:bidi="ar-SA"/>
                <w14:textFill>
                  <w14:solidFill>
                    <w14:schemeClr w14:val="tx1"/>
                  </w14:solidFill>
                </w14:textFill>
              </w:rPr>
              <w:t>严格执行《危险废物转移管理办法》</w:t>
            </w:r>
            <w:r>
              <w:rPr>
                <w:rFonts w:ascii="Times New Roman" w:hAnsi="Times New Roman" w:cs="Times New Roman"/>
                <w:bCs/>
                <w:color w:val="000000" w:themeColor="text1"/>
                <w:w w:val="99"/>
                <w:sz w:val="21"/>
                <w:szCs w:val="21"/>
                <w:lang w:val="en-US"/>
                <w14:textFill>
                  <w14:solidFill>
                    <w14:schemeClr w14:val="tx1"/>
                  </w14:solidFill>
                </w14:textFill>
              </w:rPr>
              <w:t>，</w:t>
            </w:r>
            <w:r>
              <w:rPr>
                <w:rFonts w:ascii="Times New Roman" w:hAnsi="Times New Roman" w:cs="Times New Roman"/>
                <w:bCs/>
                <w:color w:val="000000" w:themeColor="text1"/>
                <w:w w:val="99"/>
                <w:sz w:val="21"/>
                <w:szCs w:val="21"/>
                <w:lang w:val="en-US" w:bidi="ar-SA"/>
                <w14:textFill>
                  <w14:solidFill>
                    <w14:schemeClr w14:val="tx1"/>
                  </w14:solidFill>
                </w14:textFill>
              </w:rPr>
              <w:t>由罐车拉运至</w:t>
            </w:r>
            <w:r>
              <w:rPr>
                <w:rFonts w:hint="eastAsia" w:ascii="Times New Roman" w:hAnsi="Times New Roman" w:cs="Times New Roman"/>
                <w:bCs/>
                <w:color w:val="000000" w:themeColor="text1"/>
                <w:w w:val="99"/>
                <w:sz w:val="21"/>
                <w:szCs w:val="21"/>
                <w:lang w:val="en-US" w:eastAsia="zh-CN" w:bidi="ar-SA"/>
                <w14:textFill>
                  <w14:solidFill>
                    <w14:schemeClr w14:val="tx1"/>
                  </w14:solidFill>
                </w14:textFill>
              </w:rPr>
              <w:t>第五采油厂</w:t>
            </w:r>
            <w:r>
              <w:rPr>
                <w:rFonts w:ascii="Times New Roman" w:hAnsi="Times New Roman" w:cs="Times New Roman"/>
                <w:bCs/>
                <w:color w:val="000000" w:themeColor="text1"/>
                <w:w w:val="99"/>
                <w:sz w:val="21"/>
                <w:szCs w:val="21"/>
                <w:lang w:val="en-US" w:bidi="ar-SA"/>
                <w14:textFill>
                  <w14:solidFill>
                    <w14:schemeClr w14:val="tx1"/>
                  </w14:solidFill>
                </w14:textFill>
              </w:rPr>
              <w:t>含油污泥处理站处理满足《油田含油污泥处置与利用污染控制要求》（DB23/T 3104-2022）表1中</w:t>
            </w:r>
            <w:r>
              <w:rPr>
                <w:rFonts w:ascii="Times New Roman" w:hAnsi="Times New Roman" w:cs="Times New Roman"/>
                <w:bCs/>
                <w:color w:val="000000" w:themeColor="text1"/>
                <w:w w:val="99"/>
                <w:sz w:val="21"/>
                <w:szCs w:val="21"/>
                <w:lang w:val="en-US"/>
                <w14:textFill>
                  <w14:solidFill>
                    <w14:schemeClr w14:val="tx1"/>
                  </w14:solidFill>
                </w14:textFill>
              </w:rPr>
              <w:t>油田含油污泥经处置后泥渣利用污染物控制限值后用作油田垫井场和通井路。</w:t>
            </w:r>
          </w:p>
        </w:tc>
        <w:tc>
          <w:tcPr>
            <w:tcW w:w="921" w:type="dxa"/>
            <w:vAlign w:val="center"/>
          </w:tcPr>
          <w:p w14:paraId="7A6A840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符合</w:t>
            </w:r>
          </w:p>
        </w:tc>
      </w:tr>
    </w:tbl>
    <w:p w14:paraId="5F30A91D">
      <w:pPr>
        <w:pStyle w:val="129"/>
        <w:autoSpaceDE/>
        <w:autoSpaceDN/>
        <w:spacing w:line="440" w:lineRule="exact"/>
        <w:ind w:firstLine="0" w:firstLineChars="0"/>
        <w:jc w:val="both"/>
        <w:outlineLvl w:val="3"/>
        <w:rPr>
          <w:rFonts w:ascii="Times New Roman" w:hAnsi="Times New Roman" w:eastAsiaTheme="minorEastAsia"/>
          <w:b/>
          <w:color w:val="000000" w:themeColor="text1"/>
          <w:w w:val="99"/>
          <w:sz w:val="24"/>
          <w:szCs w:val="24"/>
          <w:lang w:val="en-US" w:bidi="ar-SA"/>
          <w14:textFill>
            <w14:solidFill>
              <w14:schemeClr w14:val="tx1"/>
            </w14:solidFill>
          </w14:textFill>
        </w:rPr>
      </w:pPr>
      <w:r>
        <w:rPr>
          <w:rFonts w:ascii="Times New Roman" w:hAnsi="Times New Roman" w:eastAsiaTheme="minorEastAsia"/>
          <w:b/>
          <w:color w:val="000000" w:themeColor="text1"/>
          <w:w w:val="99"/>
          <w:sz w:val="24"/>
          <w:szCs w:val="24"/>
          <w:lang w:val="en-US" w:bidi="ar-SA"/>
          <w14:textFill>
            <w14:solidFill>
              <w14:schemeClr w14:val="tx1"/>
            </w14:solidFill>
          </w14:textFill>
        </w:rPr>
        <w:t>1.4.2.11国民经济和社会发展规划符合性分析</w:t>
      </w:r>
    </w:p>
    <w:p w14:paraId="68D4A250">
      <w:pPr>
        <w:widowControl/>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黑龙江省国民经济和社会发展第十四个五年规划和二〇三五年远景目标纲要》中提出：保障国家能源安全。当好标杆旗帜，建设百年油田，推进大庆油田常规油气资源稳油增气，建立地企共建共享机制，加快大庆页岩油气开发产业化商业化步伐，到2025年油气产量当量达到4500万吨以上，巩固石油大省地位。</w:t>
      </w:r>
    </w:p>
    <w:p w14:paraId="4063BCAA">
      <w:pPr>
        <w:widowControl/>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大庆市国民经济和社会发展第十四个五年规划和二O三五年远景目标纲要》第三章中提出加快体制机制创新，全力推动百年油田建设。力争到2025年，大庆油田国内外油气产量当量达到4500万吨以上，天然气产量70亿立方米，有效保障国家油气安全稳定供应，肩负起“当好标杆旗帜、建设百年油田”的政治责任。支持油田打好提质增效攻坚战，服务保障油田产能建设，加强油田产能规划与大庆城市总体规划、国土空间规划等统筹衔接，支持拓宽油田勘探开发空间，保障生产建设用地。为油田开辟政务服务“绿色通道”，优化简化油田产能项目在环保、安全等方面审批流程，压缩审批时限。全力服务保障油田，重点围绕长垣、长垣外围地区，做好加强勘探增资源、提高长垣采收率、有效动用难采储量、加快发展天然气产业四篇文章，实现油田可持续发展。</w:t>
      </w:r>
    </w:p>
    <w:p w14:paraId="4D49AB49">
      <w:pPr>
        <w:pStyle w:val="107"/>
        <w:tabs>
          <w:tab w:val="left" w:pos="930"/>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14:textFill>
            <w14:solidFill>
              <w14:schemeClr w14:val="tx1"/>
            </w14:solidFill>
          </w14:textFill>
        </w:rPr>
        <w:t>本工程为石油开采项目，建设内容包括拆除11座拉油点的九合一装置，改为密闭管线进行原油集输，项目建设可提高国家油气安全稳定供应，实现油田可持续发展。因此本项目符合</w:t>
      </w:r>
      <w:r>
        <w:rPr>
          <w:rFonts w:ascii="Times New Roman" w:hAnsi="Times New Roman" w:cs="Times New Roman" w:eastAsiaTheme="minorEastAsia"/>
          <w:color w:val="000000" w:themeColor="text1"/>
          <w:w w:val="99"/>
          <w:sz w:val="24"/>
          <w:szCs w:val="24"/>
          <w:lang w:val="en-US"/>
          <w14:textFill>
            <w14:solidFill>
              <w14:schemeClr w14:val="tx1"/>
            </w14:solidFill>
          </w14:textFill>
        </w:rPr>
        <w:t>《黑龙江省国民经济和社会发展第十四个五年规划和二〇三五年远景目标纲要》及《大庆市国民经济和社会发展第十四个五年规划和二O三五年远景目标纲要》</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中要求。</w:t>
      </w:r>
    </w:p>
    <w:p w14:paraId="1E3CEE15">
      <w:pPr>
        <w:pStyle w:val="129"/>
        <w:spacing w:line="440" w:lineRule="exact"/>
        <w:ind w:firstLine="0" w:firstLineChars="0"/>
        <w:jc w:val="both"/>
        <w:outlineLvl w:val="3"/>
        <w:rPr>
          <w:rFonts w:ascii="Times New Roman" w:hAnsi="Times New Roman" w:eastAsiaTheme="minorEastAsia"/>
          <w:b/>
          <w:color w:val="000000" w:themeColor="text1"/>
          <w:w w:val="99"/>
          <w:sz w:val="24"/>
          <w:szCs w:val="24"/>
          <w:lang w:val="en-US" w:bidi="ar-SA"/>
          <w14:textFill>
            <w14:solidFill>
              <w14:schemeClr w14:val="tx1"/>
            </w14:solidFill>
          </w14:textFill>
        </w:rPr>
      </w:pPr>
      <w:r>
        <w:rPr>
          <w:rFonts w:ascii="Times New Roman" w:hAnsi="Times New Roman" w:eastAsiaTheme="minorEastAsia"/>
          <w:b/>
          <w:color w:val="000000" w:themeColor="text1"/>
          <w:w w:val="99"/>
          <w:sz w:val="24"/>
          <w:szCs w:val="24"/>
          <w:lang w:val="en-US" w:bidi="ar-SA"/>
          <w14:textFill>
            <w14:solidFill>
              <w14:schemeClr w14:val="tx1"/>
            </w14:solidFill>
          </w14:textFill>
        </w:rPr>
        <w:t>1.4.2.12与《地下水管理条例》（国务院令第748号）符合性分析</w:t>
      </w:r>
    </w:p>
    <w:p w14:paraId="228657F3">
      <w:pPr>
        <w:spacing w:line="440" w:lineRule="exact"/>
        <w:ind w:firstLine="474" w:firstLineChars="200"/>
        <w:rPr>
          <w:rFonts w:ascii="Times New Roman" w:hAnsi="Times New Roman" w:cs="Times New Roman" w:eastAsiaTheme="minorEastAsia"/>
          <w:color w:val="000000" w:themeColor="text1"/>
          <w:w w:val="99"/>
          <w:sz w:val="24"/>
          <w:szCs w:val="32"/>
          <w:lang w:val="en-US"/>
          <w14:textFill>
            <w14:solidFill>
              <w14:schemeClr w14:val="tx1"/>
            </w14:solidFill>
          </w14:textFill>
        </w:rPr>
      </w:pPr>
      <w:r>
        <w:rPr>
          <w:rFonts w:ascii="Times New Roman" w:hAnsi="Times New Roman" w:cs="Times New Roman" w:eastAsiaTheme="minorEastAsia"/>
          <w:color w:val="000000" w:themeColor="text1"/>
          <w:w w:val="99"/>
          <w:sz w:val="24"/>
          <w:szCs w:val="32"/>
          <w:lang w:val="en-US"/>
          <w14:textFill>
            <w14:solidFill>
              <w14:schemeClr w14:val="tx1"/>
            </w14:solidFill>
          </w14:textFill>
        </w:rPr>
        <w:t>本项目与《地下水管理条例》（</w:t>
      </w:r>
      <w:r>
        <w:rPr>
          <w:rFonts w:ascii="Times New Roman" w:hAnsi="Times New Roman" w:cs="Times New Roman" w:eastAsiaTheme="minorEastAsia"/>
          <w:color w:val="000000" w:themeColor="text1"/>
          <w:w w:val="99"/>
          <w:sz w:val="24"/>
          <w:szCs w:val="32"/>
          <w:lang w:val="en"/>
          <w14:textFill>
            <w14:solidFill>
              <w14:schemeClr w14:val="tx1"/>
            </w14:solidFill>
          </w14:textFill>
        </w:rPr>
        <w:t>中华人民共和国国务院令第748号</w:t>
      </w:r>
      <w:r>
        <w:rPr>
          <w:rFonts w:ascii="Times New Roman" w:hAnsi="Times New Roman" w:cs="Times New Roman" w:eastAsiaTheme="minorEastAsia"/>
          <w:color w:val="000000" w:themeColor="text1"/>
          <w:w w:val="99"/>
          <w:sz w:val="24"/>
          <w:szCs w:val="32"/>
          <w:lang w:val="en-US"/>
          <w14:textFill>
            <w14:solidFill>
              <w14:schemeClr w14:val="tx1"/>
            </w14:solidFill>
          </w14:textFill>
        </w:rPr>
        <w:t>）符合性分析见表1.4-8。</w:t>
      </w:r>
    </w:p>
    <w:p w14:paraId="36F707F4">
      <w:pPr>
        <w:snapToGrid w:val="0"/>
        <w:spacing w:line="500" w:lineRule="exact"/>
        <w:ind w:firstLine="476" w:firstLineChars="200"/>
        <w:jc w:val="both"/>
        <w:rPr>
          <w:rFonts w:ascii="Times New Roman" w:hAnsi="Times New Roman" w:cs="Times New Roman" w:eastAsiaTheme="minorEastAsia"/>
          <w:b/>
          <w:bCs/>
          <w:color w:val="000000" w:themeColor="text1"/>
          <w:w w:val="99"/>
          <w:sz w:val="24"/>
          <w:szCs w:val="24"/>
          <w14:textFill>
            <w14:solidFill>
              <w14:schemeClr w14:val="tx1"/>
            </w14:solidFill>
          </w14:textFill>
        </w:rPr>
      </w:pPr>
    </w:p>
    <w:p w14:paraId="3DF8FFBF">
      <w:pPr>
        <w:snapToGrid w:val="0"/>
        <w:spacing w:line="500" w:lineRule="exact"/>
        <w:ind w:firstLine="476" w:firstLineChars="200"/>
        <w:jc w:val="both"/>
        <w:rPr>
          <w:rFonts w:ascii="Times New Roman" w:hAnsi="Times New Roman" w:cs="Times New Roman" w:eastAsiaTheme="minorEastAsia"/>
          <w:b/>
          <w:bCs/>
          <w:color w:val="000000" w:themeColor="text1"/>
          <w:w w:val="99"/>
          <w:sz w:val="24"/>
          <w:szCs w:val="24"/>
          <w14:textFill>
            <w14:solidFill>
              <w14:schemeClr w14:val="tx1"/>
            </w14:solidFill>
          </w14:textFill>
        </w:rPr>
      </w:pPr>
    </w:p>
    <w:p w14:paraId="16E8C139">
      <w:pPr>
        <w:snapToGrid w:val="0"/>
        <w:spacing w:line="500" w:lineRule="exact"/>
        <w:ind w:firstLine="476" w:firstLineChars="200"/>
        <w:jc w:val="both"/>
        <w:rPr>
          <w:rFonts w:ascii="Times New Roman" w:hAnsi="Times New Roman" w:cs="Times New Roman" w:eastAsiaTheme="minorEastAsia"/>
          <w:b/>
          <w:bCs/>
          <w:color w:val="000000" w:themeColor="text1"/>
          <w:w w:val="99"/>
          <w:sz w:val="24"/>
          <w:szCs w:val="24"/>
          <w14:textFill>
            <w14:solidFill>
              <w14:schemeClr w14:val="tx1"/>
            </w14:solidFill>
          </w14:textFill>
        </w:rPr>
      </w:pPr>
      <w:r>
        <w:rPr>
          <w:rFonts w:ascii="Times New Roman" w:hAnsi="Times New Roman" w:cs="Times New Roman" w:eastAsiaTheme="minorEastAsia"/>
          <w:b/>
          <w:bCs/>
          <w:color w:val="000000" w:themeColor="text1"/>
          <w:w w:val="99"/>
          <w:sz w:val="24"/>
          <w:szCs w:val="24"/>
          <w14:textFill>
            <w14:solidFill>
              <w14:schemeClr w14:val="tx1"/>
            </w14:solidFill>
          </w14:textFill>
        </w:rPr>
        <w:t>表1.</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4</w:t>
      </w:r>
      <w:r>
        <w:rPr>
          <w:rFonts w:ascii="Times New Roman" w:hAnsi="Times New Roman" w:cs="Times New Roman" w:eastAsiaTheme="minorEastAsia"/>
          <w:b/>
          <w:bCs/>
          <w:color w:val="000000" w:themeColor="text1"/>
          <w:w w:val="99"/>
          <w:sz w:val="24"/>
          <w:szCs w:val="24"/>
          <w14:textFill>
            <w14:solidFill>
              <w14:schemeClr w14:val="tx1"/>
            </w14:solidFill>
          </w14:textFill>
        </w:rPr>
        <w:t>-</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8</w:t>
      </w:r>
      <w:r>
        <w:rPr>
          <w:rFonts w:ascii="Times New Roman" w:hAnsi="Times New Roman" w:cs="Times New Roman" w:eastAsiaTheme="minorEastAsia"/>
          <w:b/>
          <w:bCs/>
          <w:color w:val="000000" w:themeColor="text1"/>
          <w:w w:val="99"/>
          <w:sz w:val="24"/>
          <w:szCs w:val="24"/>
          <w14:textFill>
            <w14:solidFill>
              <w14:schemeClr w14:val="tx1"/>
            </w14:solidFill>
          </w14:textFill>
        </w:rPr>
        <w:t xml:space="preserve">    项目与《地下水管理条例》符合性分析</w:t>
      </w:r>
    </w:p>
    <w:tbl>
      <w:tblPr>
        <w:tblStyle w:val="80"/>
        <w:tblW w:w="92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940"/>
        <w:gridCol w:w="3715"/>
        <w:gridCol w:w="873"/>
      </w:tblGrid>
      <w:tr w14:paraId="605DF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4" w:type="dxa"/>
            <w:vAlign w:val="center"/>
          </w:tcPr>
          <w:p w14:paraId="7A49672B">
            <w:pPr>
              <w:autoSpaceDE/>
              <w:autoSpaceDN/>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lang w:bidi="ar-SA"/>
                <w14:textFill>
                  <w14:solidFill>
                    <w14:schemeClr w14:val="tx1"/>
                  </w14:solidFill>
                </w14:textFill>
              </w:rPr>
            </w:pPr>
            <w:r>
              <w:rPr>
                <w:rFonts w:ascii="Times New Roman" w:hAnsi="Times New Roman" w:cs="Times New Roman" w:eastAsiaTheme="minorEastAsia"/>
                <w:iCs/>
                <w:color w:val="000000" w:themeColor="text1"/>
                <w:w w:val="99"/>
                <w:kern w:val="28"/>
                <w:sz w:val="21"/>
                <w:szCs w:val="21"/>
                <w:lang w:bidi="ar-SA"/>
                <w14:textFill>
                  <w14:solidFill>
                    <w14:schemeClr w14:val="tx1"/>
                  </w14:solidFill>
                </w14:textFill>
              </w:rPr>
              <w:t>序号</w:t>
            </w:r>
          </w:p>
        </w:tc>
        <w:tc>
          <w:tcPr>
            <w:tcW w:w="3940" w:type="dxa"/>
            <w:vAlign w:val="center"/>
          </w:tcPr>
          <w:p w14:paraId="6D07D70D">
            <w:pPr>
              <w:autoSpaceDE/>
              <w:autoSpaceDN/>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lang w:bidi="ar-SA"/>
                <w14:textFill>
                  <w14:solidFill>
                    <w14:schemeClr w14:val="tx1"/>
                  </w14:solidFill>
                </w14:textFill>
              </w:rPr>
            </w:pPr>
            <w:r>
              <w:rPr>
                <w:rFonts w:ascii="Times New Roman" w:hAnsi="Times New Roman" w:cs="Times New Roman" w:eastAsiaTheme="minorEastAsia"/>
                <w:iCs/>
                <w:color w:val="000000" w:themeColor="text1"/>
                <w:w w:val="99"/>
                <w:kern w:val="28"/>
                <w:sz w:val="21"/>
                <w:szCs w:val="21"/>
                <w:lang w:bidi="ar-SA"/>
                <w14:textFill>
                  <w14:solidFill>
                    <w14:schemeClr w14:val="tx1"/>
                  </w14:solidFill>
                </w14:textFill>
              </w:rPr>
              <w:t>相关要求</w:t>
            </w:r>
          </w:p>
        </w:tc>
        <w:tc>
          <w:tcPr>
            <w:tcW w:w="3715" w:type="dxa"/>
            <w:vAlign w:val="center"/>
          </w:tcPr>
          <w:p w14:paraId="60D2066E">
            <w:pPr>
              <w:autoSpaceDE/>
              <w:autoSpaceDN/>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lang w:bidi="ar-SA"/>
                <w14:textFill>
                  <w14:solidFill>
                    <w14:schemeClr w14:val="tx1"/>
                  </w14:solidFill>
                </w14:textFill>
              </w:rPr>
            </w:pPr>
            <w:r>
              <w:rPr>
                <w:rFonts w:ascii="Times New Roman" w:hAnsi="Times New Roman" w:cs="Times New Roman" w:eastAsiaTheme="minorEastAsia"/>
                <w:iCs/>
                <w:color w:val="000000" w:themeColor="text1"/>
                <w:w w:val="99"/>
                <w:kern w:val="28"/>
                <w:sz w:val="21"/>
                <w:szCs w:val="21"/>
                <w:lang w:bidi="ar-SA"/>
                <w14:textFill>
                  <w14:solidFill>
                    <w14:schemeClr w14:val="tx1"/>
                  </w14:solidFill>
                </w14:textFill>
              </w:rPr>
              <w:t>本工程符合性分析</w:t>
            </w:r>
          </w:p>
        </w:tc>
        <w:tc>
          <w:tcPr>
            <w:tcW w:w="873" w:type="dxa"/>
            <w:vAlign w:val="center"/>
          </w:tcPr>
          <w:p w14:paraId="744D9BC6">
            <w:pPr>
              <w:autoSpaceDE/>
              <w:autoSpaceDN/>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lang w:bidi="ar-SA"/>
                <w14:textFill>
                  <w14:solidFill>
                    <w14:schemeClr w14:val="tx1"/>
                  </w14:solidFill>
                </w14:textFill>
              </w:rPr>
            </w:pPr>
            <w:r>
              <w:rPr>
                <w:rFonts w:ascii="Times New Roman" w:hAnsi="Times New Roman" w:cs="Times New Roman" w:eastAsiaTheme="minorEastAsia"/>
                <w:iCs/>
                <w:color w:val="000000" w:themeColor="text1"/>
                <w:w w:val="99"/>
                <w:kern w:val="28"/>
                <w:sz w:val="21"/>
                <w:szCs w:val="21"/>
                <w:lang w:bidi="ar-SA"/>
                <w14:textFill>
                  <w14:solidFill>
                    <w14:schemeClr w14:val="tx1"/>
                  </w14:solidFill>
                </w14:textFill>
              </w:rPr>
              <w:t>符合性结论</w:t>
            </w:r>
          </w:p>
        </w:tc>
      </w:tr>
      <w:tr w14:paraId="1E3C8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4" w:type="dxa"/>
            <w:vAlign w:val="center"/>
          </w:tcPr>
          <w:p w14:paraId="6FDCF8ED">
            <w:pPr>
              <w:autoSpaceDE/>
              <w:autoSpaceDN/>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lang w:bidi="ar-SA"/>
                <w14:textFill>
                  <w14:solidFill>
                    <w14:schemeClr w14:val="tx1"/>
                  </w14:solidFill>
                </w14:textFill>
              </w:rPr>
            </w:pPr>
            <w:r>
              <w:rPr>
                <w:rFonts w:ascii="Times New Roman" w:hAnsi="Times New Roman" w:cs="Times New Roman" w:eastAsiaTheme="minorEastAsia"/>
                <w:iCs/>
                <w:color w:val="000000" w:themeColor="text1"/>
                <w:w w:val="99"/>
                <w:kern w:val="28"/>
                <w:sz w:val="21"/>
                <w:szCs w:val="21"/>
                <w:lang w:bidi="ar-SA"/>
                <w14:textFill>
                  <w14:solidFill>
                    <w14:schemeClr w14:val="tx1"/>
                  </w14:solidFill>
                </w14:textFill>
              </w:rPr>
              <w:t>1</w:t>
            </w:r>
          </w:p>
        </w:tc>
        <w:tc>
          <w:tcPr>
            <w:tcW w:w="3940" w:type="dxa"/>
            <w:vAlign w:val="center"/>
          </w:tcPr>
          <w:p w14:paraId="0B469C14">
            <w:pPr>
              <w:autoSpaceDE/>
              <w:autoSpaceDN/>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lang w:bidi="ar-SA"/>
                <w14:textFill>
                  <w14:solidFill>
                    <w14:schemeClr w14:val="tx1"/>
                  </w14:solidFill>
                </w14:textFill>
              </w:rPr>
            </w:pPr>
            <w:r>
              <w:rPr>
                <w:rFonts w:ascii="Times New Roman" w:hAnsi="Times New Roman" w:cs="Times New Roman" w:eastAsiaTheme="minorEastAsia"/>
                <w:iCs/>
                <w:color w:val="000000" w:themeColor="text1"/>
                <w:w w:val="99"/>
                <w:kern w:val="28"/>
                <w:sz w:val="21"/>
                <w:szCs w:val="21"/>
                <w:lang w:val="en" w:bidi="ar-SA"/>
                <w14:textFill>
                  <w14:solidFill>
                    <w14:schemeClr w14:val="tx1"/>
                  </w14:solidFill>
                </w14:textFill>
              </w:rPr>
              <w:t>第四十条：禁止下列污染或者可能污染地下水的行为：（一）利用渗井、渗坑、裂隙、溶洞以及私设暗管等逃避监管的方式排放水污染物；（二）利用岩层孔隙、裂隙、溶洞、废弃矿坑等贮存石化原料及产品、农药、危险废物、城镇污水处理设施产生的污泥和处理后的污泥或者其他有毒有害物质；　（三）利用无防渗漏措施的沟渠、坑塘等输送或者贮存含有毒污染物的废水、含病原体的污水和其他废弃物；（四）法律、法规禁止的其他污染或者可能污染地下水的行为。</w:t>
            </w:r>
          </w:p>
        </w:tc>
        <w:tc>
          <w:tcPr>
            <w:tcW w:w="3715" w:type="dxa"/>
            <w:vAlign w:val="center"/>
          </w:tcPr>
          <w:p w14:paraId="2EDE6809">
            <w:pPr>
              <w:autoSpaceDE/>
              <w:autoSpaceDN/>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lang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本项目施工期管道试压废水由罐车拉运至龙一联含油污水处理站处理后回注，不外排；生活污水排入拉油点已建防渗旱厕，定期清掏外运堆肥处理，施工期废水均不外排。</w:t>
            </w:r>
          </w:p>
        </w:tc>
        <w:tc>
          <w:tcPr>
            <w:tcW w:w="873" w:type="dxa"/>
            <w:vAlign w:val="center"/>
          </w:tcPr>
          <w:p w14:paraId="2549E0A9">
            <w:pPr>
              <w:autoSpaceDE/>
              <w:autoSpaceDN/>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lang w:bidi="ar-SA"/>
                <w14:textFill>
                  <w14:solidFill>
                    <w14:schemeClr w14:val="tx1"/>
                  </w14:solidFill>
                </w14:textFill>
              </w:rPr>
            </w:pPr>
            <w:r>
              <w:rPr>
                <w:rFonts w:ascii="Times New Roman" w:hAnsi="Times New Roman" w:cs="Times New Roman" w:eastAsiaTheme="minorEastAsia"/>
                <w:iCs/>
                <w:color w:val="000000" w:themeColor="text1"/>
                <w:w w:val="99"/>
                <w:kern w:val="28"/>
                <w:sz w:val="21"/>
                <w:szCs w:val="21"/>
                <w:lang w:bidi="ar-SA"/>
                <w14:textFill>
                  <w14:solidFill>
                    <w14:schemeClr w14:val="tx1"/>
                  </w14:solidFill>
                </w14:textFill>
              </w:rPr>
              <w:t>符合</w:t>
            </w:r>
          </w:p>
        </w:tc>
      </w:tr>
      <w:tr w14:paraId="7A02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4" w:type="dxa"/>
            <w:vAlign w:val="center"/>
          </w:tcPr>
          <w:p w14:paraId="121A5E75">
            <w:pPr>
              <w:autoSpaceDE/>
              <w:autoSpaceDN/>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lang w:bidi="ar-SA"/>
                <w14:textFill>
                  <w14:solidFill>
                    <w14:schemeClr w14:val="tx1"/>
                  </w14:solidFill>
                </w14:textFill>
              </w:rPr>
            </w:pPr>
            <w:r>
              <w:rPr>
                <w:rFonts w:ascii="Times New Roman" w:hAnsi="Times New Roman" w:cs="Times New Roman" w:eastAsiaTheme="minorEastAsia"/>
                <w:iCs/>
                <w:color w:val="000000" w:themeColor="text1"/>
                <w:w w:val="99"/>
                <w:kern w:val="28"/>
                <w:sz w:val="21"/>
                <w:szCs w:val="21"/>
                <w:lang w:bidi="ar-SA"/>
                <w14:textFill>
                  <w14:solidFill>
                    <w14:schemeClr w14:val="tx1"/>
                  </w14:solidFill>
                </w14:textFill>
              </w:rPr>
              <w:t>2</w:t>
            </w:r>
          </w:p>
        </w:tc>
        <w:tc>
          <w:tcPr>
            <w:tcW w:w="3940" w:type="dxa"/>
            <w:vAlign w:val="center"/>
          </w:tcPr>
          <w:p w14:paraId="18A66B93">
            <w:pPr>
              <w:autoSpaceDE/>
              <w:autoSpaceDN/>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lang w:val="en" w:bidi="ar-SA"/>
                <w14:textFill>
                  <w14:solidFill>
                    <w14:schemeClr w14:val="tx1"/>
                  </w14:solidFill>
                </w14:textFill>
              </w:rPr>
            </w:pPr>
            <w:r>
              <w:rPr>
                <w:rFonts w:ascii="Times New Roman" w:hAnsi="Times New Roman" w:cs="Times New Roman" w:eastAsiaTheme="minorEastAsia"/>
                <w:iCs/>
                <w:color w:val="000000" w:themeColor="text1"/>
                <w:w w:val="99"/>
                <w:kern w:val="28"/>
                <w:sz w:val="21"/>
                <w:szCs w:val="21"/>
                <w:lang w:val="en" w:bidi="ar-SA"/>
                <w14:textFill>
                  <w14:solidFill>
                    <w14:schemeClr w14:val="tx1"/>
                  </w14:solidFill>
                </w14:textFill>
              </w:rPr>
              <w:t>第四十一条：企业事业单位和其他生产经营者应当采取下列措施，防止地下水污染：兴建地下工程设施或者进行地下勘探、采矿等活动，依法编制的环境影响评价文件中，应当包括地下水污染防治的内容，并采取防护性措施；化学品生产企业以及工业集聚区、矿山开采区、尾矿库、危险废物处置场、垃圾填埋场等的运营、管理单位，应当采取防渗漏等措施，并建设地下水水质监测井进行监测。</w:t>
            </w:r>
          </w:p>
        </w:tc>
        <w:tc>
          <w:tcPr>
            <w:tcW w:w="3715" w:type="dxa"/>
            <w:vAlign w:val="center"/>
          </w:tcPr>
          <w:p w14:paraId="43799B4D">
            <w:pPr>
              <w:autoSpaceDE/>
              <w:autoSpaceDN/>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lang w:bidi="ar-SA"/>
                <w14:textFill>
                  <w14:solidFill>
                    <w14:schemeClr w14:val="tx1"/>
                  </w14:solidFill>
                </w14:textFill>
              </w:rPr>
            </w:pPr>
            <w:r>
              <w:rPr>
                <w:rFonts w:ascii="Times New Roman" w:hAnsi="Times New Roman" w:cs="Times New Roman" w:eastAsiaTheme="minorEastAsia"/>
                <w:iCs/>
                <w:color w:val="000000" w:themeColor="text1"/>
                <w:w w:val="99"/>
                <w:kern w:val="28"/>
                <w:sz w:val="21"/>
                <w:szCs w:val="21"/>
                <w:lang w:val="en-US" w:bidi="ar-SA"/>
                <w14:textFill>
                  <w14:solidFill>
                    <w14:schemeClr w14:val="tx1"/>
                  </w14:solidFill>
                </w14:textFill>
              </w:rPr>
              <w:t>运营期</w:t>
            </w:r>
            <w:r>
              <w:rPr>
                <w:rFonts w:hint="eastAsia" w:ascii="Times New Roman" w:hAnsi="Times New Roman" w:cs="Times New Roman" w:eastAsiaTheme="minorEastAsia"/>
                <w:iCs/>
                <w:color w:val="000000" w:themeColor="text1"/>
                <w:w w:val="99"/>
                <w:kern w:val="28"/>
                <w:sz w:val="21"/>
                <w:szCs w:val="21"/>
                <w:lang w:val="en-US" w:bidi="ar-SA"/>
                <w14:textFill>
                  <w14:solidFill>
                    <w14:schemeClr w14:val="tx1"/>
                  </w14:solidFill>
                </w14:textFill>
              </w:rPr>
              <w:t>采取分区防渗措施，</w:t>
            </w:r>
            <w:r>
              <w:rPr>
                <w:rFonts w:ascii="Times New Roman" w:hAnsi="Times New Roman" w:cs="Times New Roman" w:eastAsiaTheme="minorEastAsia"/>
                <w:bCs/>
                <w:iCs/>
                <w:color w:val="000000" w:themeColor="text1"/>
                <w:w w:val="99"/>
                <w:kern w:val="28"/>
                <w:sz w:val="21"/>
                <w:szCs w:val="21"/>
                <w:lang w:val="en-US" w:bidi="ar-SA"/>
                <w14:textFill>
                  <w14:solidFill>
                    <w14:schemeClr w14:val="tx1"/>
                  </w14:solidFill>
                </w14:textFill>
              </w:rPr>
              <w:t>集油管道为重点防渗，管道采用无缝钢管、管道设计采用管道内防腐，管道的外防腐等级采用特加强级、管道的连接方式采用焊接；混输阀组间为一般防渗区，采用基底层压实+土工布+抗渗混凝土层进行防渗</w:t>
            </w:r>
            <w:r>
              <w:rPr>
                <w:rFonts w:ascii="Times New Roman" w:hAnsi="Times New Roman" w:cs="Times New Roman" w:eastAsiaTheme="minorEastAsia"/>
                <w:iCs/>
                <w:color w:val="000000" w:themeColor="text1"/>
                <w:w w:val="99"/>
                <w:kern w:val="28"/>
                <w:sz w:val="21"/>
                <w:szCs w:val="21"/>
                <w:lang w:val="en-US" w:bidi="ar-SA"/>
                <w14:textFill>
                  <w14:solidFill>
                    <w14:schemeClr w14:val="tx1"/>
                  </w14:solidFill>
                </w14:textFill>
              </w:rPr>
              <w:t>，满足等效黏土防渗层Mb≥6.0m，K≤1×10</w:t>
            </w:r>
            <w:r>
              <w:rPr>
                <w:rFonts w:ascii="Times New Roman" w:hAnsi="Times New Roman" w:cs="Times New Roman" w:eastAsiaTheme="minorEastAsia"/>
                <w:iCs/>
                <w:color w:val="000000" w:themeColor="text1"/>
                <w:w w:val="99"/>
                <w:kern w:val="28"/>
                <w:sz w:val="21"/>
                <w:szCs w:val="21"/>
                <w:vertAlign w:val="superscript"/>
                <w:lang w:val="en-US" w:bidi="ar-SA"/>
                <w14:textFill>
                  <w14:solidFill>
                    <w14:schemeClr w14:val="tx1"/>
                  </w14:solidFill>
                </w14:textFill>
              </w:rPr>
              <w:t>-7</w:t>
            </w:r>
            <w:r>
              <w:rPr>
                <w:rFonts w:ascii="Times New Roman" w:hAnsi="Times New Roman" w:cs="Times New Roman" w:eastAsiaTheme="minorEastAsia"/>
                <w:iCs/>
                <w:color w:val="000000" w:themeColor="text1"/>
                <w:w w:val="99"/>
                <w:kern w:val="28"/>
                <w:sz w:val="21"/>
                <w:szCs w:val="21"/>
                <w:lang w:val="en-US" w:bidi="ar-SA"/>
                <w14:textFill>
                  <w14:solidFill>
                    <w14:schemeClr w14:val="tx1"/>
                  </w14:solidFill>
                </w14:textFill>
              </w:rPr>
              <w:t>cm/s要求。集油管线均采用无缝防腐钢管，有效阻止原油外泄污染地下水。并在项目区域内布设</w:t>
            </w:r>
            <w:r>
              <w:rPr>
                <w:rFonts w:hint="eastAsia" w:ascii="Times New Roman" w:hAnsi="Times New Roman" w:cs="Times New Roman" w:eastAsiaTheme="minorEastAsia"/>
                <w:iCs/>
                <w:color w:val="000000" w:themeColor="text1"/>
                <w:w w:val="99"/>
                <w:kern w:val="28"/>
                <w:sz w:val="21"/>
                <w:szCs w:val="21"/>
                <w:lang w:val="en-US" w:bidi="ar-SA"/>
                <w14:textFill>
                  <w14:solidFill>
                    <w14:schemeClr w14:val="tx1"/>
                  </w14:solidFill>
                </w14:textFill>
              </w:rPr>
              <w:t>3口地下水跟踪监测井，定期对地下水进行跟踪监测。</w:t>
            </w:r>
          </w:p>
        </w:tc>
        <w:tc>
          <w:tcPr>
            <w:tcW w:w="873" w:type="dxa"/>
            <w:vAlign w:val="center"/>
          </w:tcPr>
          <w:p w14:paraId="2B47BBF4">
            <w:pPr>
              <w:autoSpaceDE/>
              <w:autoSpaceDN/>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lang w:bidi="ar-SA"/>
                <w14:textFill>
                  <w14:solidFill>
                    <w14:schemeClr w14:val="tx1"/>
                  </w14:solidFill>
                </w14:textFill>
              </w:rPr>
            </w:pPr>
            <w:r>
              <w:rPr>
                <w:rFonts w:ascii="Times New Roman" w:hAnsi="Times New Roman" w:cs="Times New Roman" w:eastAsiaTheme="minorEastAsia"/>
                <w:iCs/>
                <w:color w:val="000000" w:themeColor="text1"/>
                <w:w w:val="99"/>
                <w:kern w:val="28"/>
                <w:sz w:val="21"/>
                <w:szCs w:val="21"/>
                <w:lang w:bidi="ar-SA"/>
                <w14:textFill>
                  <w14:solidFill>
                    <w14:schemeClr w14:val="tx1"/>
                  </w14:solidFill>
                </w14:textFill>
              </w:rPr>
              <w:t>符合</w:t>
            </w:r>
          </w:p>
        </w:tc>
      </w:tr>
    </w:tbl>
    <w:p w14:paraId="4CB5AB95">
      <w:pPr>
        <w:autoSpaceDE/>
        <w:autoSpaceDN/>
        <w:spacing w:line="440" w:lineRule="exact"/>
        <w:jc w:val="both"/>
        <w:outlineLvl w:val="3"/>
        <w:rPr>
          <w:rFonts w:ascii="Times New Roman" w:hAnsi="Times New Roman" w:cs="Times New Roman"/>
          <w:b/>
          <w:color w:val="000000" w:themeColor="text1"/>
          <w:w w:val="99"/>
          <w:sz w:val="24"/>
          <w:szCs w:val="24"/>
          <w:lang w:val="en-US" w:bidi="ar-SA"/>
          <w14:textFill>
            <w14:solidFill>
              <w14:schemeClr w14:val="tx1"/>
            </w14:solidFill>
          </w14:textFill>
        </w:rPr>
      </w:pPr>
      <w:r>
        <w:rPr>
          <w:rFonts w:ascii="Times New Roman" w:hAnsi="Times New Roman" w:cs="Times New Roman"/>
          <w:b/>
          <w:color w:val="000000" w:themeColor="text1"/>
          <w:w w:val="99"/>
          <w:sz w:val="24"/>
          <w:szCs w:val="24"/>
          <w:lang w:val="en-US" w:bidi="ar-SA"/>
          <w14:textFill>
            <w14:solidFill>
              <w14:schemeClr w14:val="tx1"/>
            </w14:solidFill>
          </w14:textFill>
        </w:rPr>
        <w:t>1.4.2.13 与《石油天然气开采业污染防治技术政策》（环保部公告2012年第18号）符合性判定</w:t>
      </w:r>
    </w:p>
    <w:p w14:paraId="708445FF">
      <w:pPr>
        <w:widowControl/>
        <w:autoSpaceDE/>
        <w:autoSpaceDN/>
        <w:spacing w:line="440" w:lineRule="exact"/>
        <w:ind w:firstLine="474" w:firstLineChars="200"/>
        <w:rPr>
          <w:rFonts w:ascii="Times New Roman" w:hAnsi="Times New Roman" w:cs="Times New Roman"/>
          <w:color w:val="000000" w:themeColor="text1"/>
          <w:w w:val="99"/>
          <w:sz w:val="24"/>
          <w:szCs w:val="32"/>
          <w:lang w:val="en-US" w:bidi="ar-SA"/>
          <w14:textFill>
            <w14:solidFill>
              <w14:schemeClr w14:val="tx1"/>
            </w14:solidFill>
          </w14:textFill>
        </w:rPr>
      </w:pPr>
      <w:r>
        <w:rPr>
          <w:rFonts w:ascii="Times New Roman" w:hAnsi="Times New Roman" w:cs="Times New Roman"/>
          <w:color w:val="000000" w:themeColor="text1"/>
          <w:w w:val="99"/>
          <w:sz w:val="24"/>
          <w:szCs w:val="32"/>
          <w:lang w:val="en-US"/>
          <w14:textFill>
            <w14:solidFill>
              <w14:schemeClr w14:val="tx1"/>
            </w14:solidFill>
          </w14:textFill>
        </w:rPr>
        <w:t>根据《挥发性有机物（VOCs）污染防治技术政策》要求，石油和天然气开采业的VOCs污染防治可参照相应的污染防治技术政策。</w:t>
      </w:r>
    </w:p>
    <w:p w14:paraId="1D7E43CC">
      <w:pPr>
        <w:widowControl/>
        <w:autoSpaceDE/>
        <w:autoSpaceDN/>
        <w:spacing w:line="440" w:lineRule="exact"/>
        <w:ind w:firstLine="476" w:firstLineChars="200"/>
        <w:rPr>
          <w:rFonts w:ascii="Times New Roman" w:hAnsi="Times New Roman" w:cs="Times New Roman"/>
          <w:b/>
          <w:color w:val="000000" w:themeColor="text1"/>
          <w:w w:val="99"/>
          <w:sz w:val="24"/>
          <w:szCs w:val="32"/>
          <w:lang w:val="en-US" w:bidi="ar-SA"/>
          <w14:textFill>
            <w14:solidFill>
              <w14:schemeClr w14:val="tx1"/>
            </w14:solidFill>
          </w14:textFill>
        </w:rPr>
      </w:pPr>
      <w:r>
        <w:rPr>
          <w:rFonts w:ascii="Times New Roman" w:hAnsi="Times New Roman" w:cs="Times New Roman"/>
          <w:b/>
          <w:color w:val="000000" w:themeColor="text1"/>
          <w:w w:val="99"/>
          <w:sz w:val="24"/>
          <w:szCs w:val="32"/>
          <w:lang w:val="en-US"/>
          <w14:textFill>
            <w14:solidFill>
              <w14:schemeClr w14:val="tx1"/>
            </w14:solidFill>
          </w14:textFill>
        </w:rPr>
        <w:t>表1.4-9    本工程与《石油天然气开采业污染防治技术政策》相关要求符合性</w:t>
      </w:r>
    </w:p>
    <w:tbl>
      <w:tblPr>
        <w:tblStyle w:val="8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4815"/>
        <w:gridCol w:w="3538"/>
      </w:tblGrid>
      <w:tr w14:paraId="2F13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vAlign w:val="center"/>
          </w:tcPr>
          <w:p w14:paraId="0FFB9BD7">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序号</w:t>
            </w:r>
          </w:p>
        </w:tc>
        <w:tc>
          <w:tcPr>
            <w:tcW w:w="4815" w:type="dxa"/>
            <w:vAlign w:val="center"/>
          </w:tcPr>
          <w:p w14:paraId="42963975">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相关要求</w:t>
            </w:r>
          </w:p>
        </w:tc>
        <w:tc>
          <w:tcPr>
            <w:tcW w:w="3538" w:type="dxa"/>
            <w:vAlign w:val="center"/>
          </w:tcPr>
          <w:p w14:paraId="182719BE">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本工程符合性</w:t>
            </w:r>
          </w:p>
        </w:tc>
      </w:tr>
      <w:tr w14:paraId="31498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vAlign w:val="center"/>
          </w:tcPr>
          <w:p w14:paraId="14371579">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1</w:t>
            </w:r>
          </w:p>
        </w:tc>
        <w:tc>
          <w:tcPr>
            <w:tcW w:w="4815" w:type="dxa"/>
            <w:vAlign w:val="center"/>
          </w:tcPr>
          <w:p w14:paraId="203F76CF">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到2015年末，行业新、改、扩建项目均采用清洁生产工艺和技术，工业废水回用率达到90%以上，工业固体废物资源化及无害化处理处置率达到100%。</w:t>
            </w:r>
          </w:p>
        </w:tc>
        <w:tc>
          <w:tcPr>
            <w:tcW w:w="3538" w:type="dxa"/>
            <w:vAlign w:val="center"/>
          </w:tcPr>
          <w:p w14:paraId="3DBDB15A">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符合。本项目试压废水由罐车拉运至龙一联含油污水处理站处理后回注油层，废水回用率100%</w:t>
            </w:r>
            <w:r>
              <w:rPr>
                <w:rFonts w:hint="eastAsia" w:ascii="Times New Roman" w:hAnsi="Times New Roman" w:cs="Times New Roman"/>
                <w:color w:val="000000" w:themeColor="text1"/>
                <w:w w:val="99"/>
                <w:sz w:val="21"/>
                <w:szCs w:val="21"/>
                <w:lang w:val="en-US" w:bidi="ar-SA"/>
                <w14:textFill>
                  <w14:solidFill>
                    <w14:schemeClr w14:val="tx1"/>
                  </w14:solidFill>
                </w14:textFill>
              </w:rPr>
              <w:t>；</w:t>
            </w:r>
            <w:r>
              <w:rPr>
                <w:rFonts w:ascii="Times New Roman" w:hAnsi="Times New Roman" w:cs="Times New Roman"/>
                <w:color w:val="000000" w:themeColor="text1"/>
                <w:w w:val="99"/>
                <w:sz w:val="21"/>
                <w:szCs w:val="21"/>
                <w:lang w:val="en-US" w:bidi="ar-SA"/>
                <w14:textFill>
                  <w14:solidFill>
                    <w14:schemeClr w14:val="tx1"/>
                  </w14:solidFill>
                </w14:textFill>
              </w:rPr>
              <w:t>清淤油泥</w:t>
            </w:r>
            <w:r>
              <w:rPr>
                <w:rFonts w:ascii="Times New Roman" w:hAnsi="Times New Roman" w:cs="Times New Roman"/>
                <w:bCs/>
                <w:color w:val="000000" w:themeColor="text1"/>
                <w:w w:val="99"/>
                <w:sz w:val="21"/>
                <w:szCs w:val="21"/>
                <w:lang w:val="en-US" w:bidi="ar-SA"/>
                <w14:textFill>
                  <w14:solidFill>
                    <w14:schemeClr w14:val="tx1"/>
                  </w14:solidFill>
                </w14:textFill>
              </w:rPr>
              <w:t>由罐车拉运至</w:t>
            </w:r>
            <w:r>
              <w:rPr>
                <w:rFonts w:hint="eastAsia" w:ascii="Times New Roman" w:hAnsi="Times New Roman" w:cs="Times New Roman"/>
                <w:bCs/>
                <w:color w:val="000000" w:themeColor="text1"/>
                <w:w w:val="99"/>
                <w:sz w:val="21"/>
                <w:szCs w:val="21"/>
                <w:lang w:val="en-US" w:eastAsia="zh-CN" w:bidi="ar-SA"/>
                <w14:textFill>
                  <w14:solidFill>
                    <w14:schemeClr w14:val="tx1"/>
                  </w14:solidFill>
                </w14:textFill>
              </w:rPr>
              <w:t>第五采油厂</w:t>
            </w:r>
            <w:r>
              <w:rPr>
                <w:rFonts w:ascii="Times New Roman" w:hAnsi="Times New Roman" w:cs="Times New Roman"/>
                <w:bCs/>
                <w:color w:val="000000" w:themeColor="text1"/>
                <w:w w:val="99"/>
                <w:sz w:val="21"/>
                <w:szCs w:val="21"/>
                <w:lang w:val="en-US" w:bidi="ar-SA"/>
                <w14:textFill>
                  <w14:solidFill>
                    <w14:schemeClr w14:val="tx1"/>
                  </w14:solidFill>
                </w14:textFill>
              </w:rPr>
              <w:t>含油污泥处理站处理达标后</w:t>
            </w:r>
            <w:r>
              <w:rPr>
                <w:rFonts w:ascii="Times New Roman" w:hAnsi="Times New Roman" w:cs="Times New Roman"/>
                <w:bCs/>
                <w:color w:val="000000" w:themeColor="text1"/>
                <w:w w:val="99"/>
                <w:sz w:val="21"/>
                <w:szCs w:val="21"/>
                <w:lang w:val="en-US"/>
                <w14:textFill>
                  <w14:solidFill>
                    <w14:schemeClr w14:val="tx1"/>
                  </w14:solidFill>
                </w14:textFill>
              </w:rPr>
              <w:t>用作油田垫井场和通井路</w:t>
            </w:r>
            <w:r>
              <w:rPr>
                <w:rFonts w:ascii="Times New Roman" w:hAnsi="Times New Roman" w:cs="Times New Roman"/>
                <w:bCs/>
                <w:color w:val="000000" w:themeColor="text1"/>
                <w:w w:val="99"/>
                <w:sz w:val="21"/>
                <w:szCs w:val="21"/>
                <w:lang w:val="en-US" w:bidi="ar-SA"/>
                <w14:textFill>
                  <w14:solidFill>
                    <w14:schemeClr w14:val="tx1"/>
                  </w14:solidFill>
                </w14:textFill>
              </w:rPr>
              <w:t>，施工废料拉运至第八采油厂工业固废填埋场处理，建筑垃圾由施工单位拉运至大庆市</w:t>
            </w:r>
            <w:r>
              <w:rPr>
                <w:rFonts w:hint="eastAsia" w:ascii="Times New Roman" w:hAnsi="Times New Roman" w:cs="Times New Roman"/>
                <w:bCs/>
                <w:color w:val="000000" w:themeColor="text1"/>
                <w:w w:val="99"/>
                <w:sz w:val="21"/>
                <w:szCs w:val="21"/>
                <w:lang w:val="en-US" w:eastAsia="zh-CN" w:bidi="ar-SA"/>
                <w14:textFill>
                  <w14:solidFill>
                    <w14:schemeClr w14:val="tx1"/>
                  </w14:solidFill>
                </w14:textFill>
              </w:rPr>
              <w:t>红岗区杏树岗镇</w:t>
            </w:r>
            <w:r>
              <w:rPr>
                <w:rFonts w:ascii="Times New Roman" w:hAnsi="Times New Roman" w:cs="Times New Roman"/>
                <w:bCs/>
                <w:color w:val="000000" w:themeColor="text1"/>
                <w:w w:val="99"/>
                <w:sz w:val="21"/>
                <w:szCs w:val="21"/>
                <w:lang w:val="en-US" w:bidi="ar-SA"/>
                <w14:textFill>
                  <w14:solidFill>
                    <w14:schemeClr w14:val="tx1"/>
                  </w14:solidFill>
                </w14:textFill>
              </w:rPr>
              <w:t>建筑垃圾消纳场处理，废旧设备全部回收至</w:t>
            </w:r>
            <w:r>
              <w:rPr>
                <w:rFonts w:hint="eastAsia" w:ascii="Times New Roman" w:hAnsi="Times New Roman" w:cs="Times New Roman"/>
                <w:bCs/>
                <w:color w:val="000000" w:themeColor="text1"/>
                <w:w w:val="99"/>
                <w:sz w:val="21"/>
                <w:szCs w:val="21"/>
                <w:lang w:val="en-US" w:eastAsia="zh-CN" w:bidi="ar-SA"/>
                <w14:textFill>
                  <w14:solidFill>
                    <w14:schemeClr w14:val="tx1"/>
                  </w14:solidFill>
                </w14:textFill>
              </w:rPr>
              <w:t>第五采油厂</w:t>
            </w:r>
            <w:r>
              <w:rPr>
                <w:rFonts w:ascii="Times New Roman" w:hAnsi="Times New Roman" w:cs="Times New Roman"/>
                <w:bCs/>
                <w:color w:val="000000" w:themeColor="text1"/>
                <w:w w:val="99"/>
                <w:sz w:val="21"/>
                <w:szCs w:val="21"/>
                <w:lang w:val="en-US" w:bidi="ar-SA"/>
                <w14:textFill>
                  <w14:solidFill>
                    <w14:schemeClr w14:val="tx1"/>
                  </w14:solidFill>
                </w14:textFill>
              </w:rPr>
              <w:t>物资库再利用，</w:t>
            </w:r>
            <w:r>
              <w:rPr>
                <w:rFonts w:ascii="Times New Roman" w:hAnsi="Times New Roman" w:cs="Times New Roman"/>
                <w:color w:val="000000" w:themeColor="text1"/>
                <w:w w:val="99"/>
                <w:sz w:val="21"/>
                <w:szCs w:val="21"/>
                <w:lang w:val="en-US" w:bidi="ar-SA"/>
                <w14:textFill>
                  <w14:solidFill>
                    <w14:schemeClr w14:val="tx1"/>
                  </w14:solidFill>
                </w14:textFill>
              </w:rPr>
              <w:t>工业固废处置率达到100%。</w:t>
            </w:r>
          </w:p>
        </w:tc>
      </w:tr>
      <w:tr w14:paraId="4552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vAlign w:val="center"/>
          </w:tcPr>
          <w:p w14:paraId="6DEBD4C8">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2</w:t>
            </w:r>
          </w:p>
        </w:tc>
        <w:tc>
          <w:tcPr>
            <w:tcW w:w="4815" w:type="dxa"/>
            <w:vAlign w:val="center"/>
          </w:tcPr>
          <w:p w14:paraId="0B4EDD2B">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油气田建设应总体规划，优化布局，整体开发，减少占地和油气损失，实现油气和废物的集中收集、处理处置。</w:t>
            </w:r>
          </w:p>
        </w:tc>
        <w:tc>
          <w:tcPr>
            <w:tcW w:w="3538" w:type="dxa"/>
            <w:vAlign w:val="center"/>
          </w:tcPr>
          <w:p w14:paraId="6B876C4C">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符合。本项目为现有区块的改扩建项目，油气处置和废物收集处置均依托现有集中处置站场。</w:t>
            </w:r>
          </w:p>
        </w:tc>
      </w:tr>
      <w:tr w14:paraId="30F51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vAlign w:val="center"/>
          </w:tcPr>
          <w:p w14:paraId="57CDC3B8">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3</w:t>
            </w:r>
          </w:p>
        </w:tc>
        <w:tc>
          <w:tcPr>
            <w:tcW w:w="4815" w:type="dxa"/>
            <w:vAlign w:val="center"/>
          </w:tcPr>
          <w:p w14:paraId="0BDA3C1E">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在开发过程中，适宜注水开采的油气田，应将采出水处理满足标准后回注。</w:t>
            </w:r>
          </w:p>
        </w:tc>
        <w:tc>
          <w:tcPr>
            <w:tcW w:w="3538" w:type="dxa"/>
            <w:vAlign w:val="center"/>
          </w:tcPr>
          <w:p w14:paraId="4E410F4F">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符合。本项目试压废水由罐车拉运至龙一联含油污水处理站处理后回注油层。</w:t>
            </w:r>
          </w:p>
        </w:tc>
      </w:tr>
      <w:tr w14:paraId="39DD0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vAlign w:val="center"/>
          </w:tcPr>
          <w:p w14:paraId="4672A18A">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4</w:t>
            </w:r>
          </w:p>
        </w:tc>
        <w:tc>
          <w:tcPr>
            <w:tcW w:w="4815" w:type="dxa"/>
            <w:vAlign w:val="center"/>
          </w:tcPr>
          <w:p w14:paraId="36AC014D">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在油气集输过程中，应采用密闭流程，减少烃类气体排放。新、改、扩建油气田油气集输损耗率不高于0.5%</w:t>
            </w:r>
          </w:p>
        </w:tc>
        <w:tc>
          <w:tcPr>
            <w:tcW w:w="3538" w:type="dxa"/>
            <w:vAlign w:val="center"/>
          </w:tcPr>
          <w:p w14:paraId="7FBABC76">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符合。本项目油气集输均采用密闭流程，集输过程中烃类挥发系数为1.4175‰，不高于0.5%。</w:t>
            </w:r>
          </w:p>
        </w:tc>
      </w:tr>
      <w:tr w14:paraId="758F0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vAlign w:val="center"/>
          </w:tcPr>
          <w:p w14:paraId="4549261A">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5</w:t>
            </w:r>
          </w:p>
        </w:tc>
        <w:tc>
          <w:tcPr>
            <w:tcW w:w="4815" w:type="dxa"/>
            <w:vAlign w:val="center"/>
          </w:tcPr>
          <w:p w14:paraId="22478EDC">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应设立地下水水质监测井，加强对油气田地下水水质的监控，防止回注过程对地下水造成污染。</w:t>
            </w:r>
          </w:p>
        </w:tc>
        <w:tc>
          <w:tcPr>
            <w:tcW w:w="3538" w:type="dxa"/>
            <w:vAlign w:val="center"/>
          </w:tcPr>
          <w:p w14:paraId="2E40587A">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符合。</w:t>
            </w:r>
            <w:r>
              <w:rPr>
                <w:rFonts w:ascii="Times New Roman" w:hAnsi="Times New Roman" w:cs="Times New Roman"/>
                <w:bCs/>
                <w:color w:val="000000" w:themeColor="text1"/>
                <w:w w:val="99"/>
                <w:sz w:val="21"/>
                <w:szCs w:val="21"/>
                <w:lang w:val="en-US" w:bidi="ar-SA"/>
                <w14:textFill>
                  <w14:solidFill>
                    <w14:schemeClr w14:val="tx1"/>
                  </w14:solidFill>
                </w14:textFill>
              </w:rPr>
              <w:t>在本项目区域上游、区域内、区域下游各布设1口潜水跟踪监测水井，定期对地下水进行跟踪监测。</w:t>
            </w:r>
          </w:p>
        </w:tc>
      </w:tr>
      <w:tr w14:paraId="1BBB9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9" w:type="dxa"/>
            <w:vAlign w:val="center"/>
          </w:tcPr>
          <w:p w14:paraId="3F7DCAFB">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6</w:t>
            </w:r>
          </w:p>
        </w:tc>
        <w:tc>
          <w:tcPr>
            <w:tcW w:w="4815" w:type="dxa"/>
            <w:vAlign w:val="center"/>
          </w:tcPr>
          <w:p w14:paraId="57E0E875">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应回收落地原油，以及原油处理、废水处理产生的油泥（砂）等中的油类物质，含油污泥资源化利用率应达到90%以上，残余固体废物应按照《国家危险废物名录》和危险废物鉴别标准识别，根据识别结果资源化利用或无害化处置。</w:t>
            </w:r>
          </w:p>
        </w:tc>
        <w:tc>
          <w:tcPr>
            <w:tcW w:w="3538" w:type="dxa"/>
            <w:vAlign w:val="center"/>
          </w:tcPr>
          <w:p w14:paraId="6A42B235">
            <w:pPr>
              <w:widowControl/>
              <w:autoSpaceDE/>
              <w:autoSpaceDN/>
              <w:adjustRightInd w:val="0"/>
              <w:snapToGrid w:val="0"/>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符合。清淤油泥</w:t>
            </w:r>
            <w:r>
              <w:rPr>
                <w:rFonts w:ascii="Times New Roman" w:hAnsi="Times New Roman" w:cs="Times New Roman"/>
                <w:bCs/>
                <w:color w:val="000000" w:themeColor="text1"/>
                <w:w w:val="99"/>
                <w:sz w:val="21"/>
                <w:szCs w:val="21"/>
                <w:lang w:val="en-US" w:bidi="ar-SA"/>
                <w14:textFill>
                  <w14:solidFill>
                    <w14:schemeClr w14:val="tx1"/>
                  </w14:solidFill>
                </w14:textFill>
              </w:rPr>
              <w:t>由罐车拉运至</w:t>
            </w:r>
            <w:r>
              <w:rPr>
                <w:rFonts w:hint="eastAsia" w:ascii="Times New Roman" w:hAnsi="Times New Roman" w:cs="Times New Roman"/>
                <w:bCs/>
                <w:color w:val="000000" w:themeColor="text1"/>
                <w:w w:val="99"/>
                <w:sz w:val="21"/>
                <w:szCs w:val="21"/>
                <w:lang w:val="en-US" w:eastAsia="zh-CN" w:bidi="ar-SA"/>
                <w14:textFill>
                  <w14:solidFill>
                    <w14:schemeClr w14:val="tx1"/>
                  </w14:solidFill>
                </w14:textFill>
              </w:rPr>
              <w:t>第五采油厂</w:t>
            </w:r>
            <w:r>
              <w:rPr>
                <w:rFonts w:ascii="Times New Roman" w:hAnsi="Times New Roman" w:cs="Times New Roman"/>
                <w:bCs/>
                <w:color w:val="000000" w:themeColor="text1"/>
                <w:w w:val="99"/>
                <w:sz w:val="21"/>
                <w:szCs w:val="21"/>
                <w:lang w:val="en-US" w:bidi="ar-SA"/>
                <w14:textFill>
                  <w14:solidFill>
                    <w14:schemeClr w14:val="tx1"/>
                  </w14:solidFill>
                </w14:textFill>
              </w:rPr>
              <w:t>含油污泥处理站处理达标后</w:t>
            </w:r>
            <w:r>
              <w:rPr>
                <w:rFonts w:ascii="Times New Roman" w:hAnsi="Times New Roman" w:cs="Times New Roman"/>
                <w:bCs/>
                <w:color w:val="000000" w:themeColor="text1"/>
                <w:w w:val="99"/>
                <w:sz w:val="21"/>
                <w:szCs w:val="21"/>
                <w:lang w:val="en-US"/>
                <w14:textFill>
                  <w14:solidFill>
                    <w14:schemeClr w14:val="tx1"/>
                  </w14:solidFill>
                </w14:textFill>
              </w:rPr>
              <w:t>用作油田垫井场和通井路</w:t>
            </w:r>
            <w:r>
              <w:rPr>
                <w:rFonts w:ascii="Times New Roman" w:hAnsi="Times New Roman" w:cs="Times New Roman"/>
                <w:bCs/>
                <w:color w:val="000000" w:themeColor="text1"/>
                <w:w w:val="99"/>
                <w:sz w:val="21"/>
                <w:szCs w:val="21"/>
                <w:lang w:val="en-US" w:bidi="ar-SA"/>
                <w14:textFill>
                  <w14:solidFill>
                    <w14:schemeClr w14:val="tx1"/>
                  </w14:solidFill>
                </w14:textFill>
              </w:rPr>
              <w:t>，含油污泥资源化利用率</w:t>
            </w:r>
            <w:r>
              <w:rPr>
                <w:rFonts w:hint="eastAsia" w:ascii="Times New Roman" w:hAnsi="Times New Roman" w:cs="Times New Roman"/>
                <w:bCs/>
                <w:color w:val="000000" w:themeColor="text1"/>
                <w:w w:val="99"/>
                <w:sz w:val="21"/>
                <w:szCs w:val="21"/>
                <w:lang w:val="en-US" w:bidi="ar-SA"/>
                <w14:textFill>
                  <w14:solidFill>
                    <w14:schemeClr w14:val="tx1"/>
                  </w14:solidFill>
                </w14:textFill>
              </w:rPr>
              <w:t>1</w:t>
            </w:r>
            <w:r>
              <w:rPr>
                <w:rFonts w:ascii="Times New Roman" w:hAnsi="Times New Roman" w:cs="Times New Roman"/>
                <w:bCs/>
                <w:color w:val="000000" w:themeColor="text1"/>
                <w:w w:val="99"/>
                <w:sz w:val="21"/>
                <w:szCs w:val="21"/>
                <w:lang w:val="en-US" w:bidi="ar-SA"/>
                <w14:textFill>
                  <w14:solidFill>
                    <w14:schemeClr w14:val="tx1"/>
                  </w14:solidFill>
                </w14:textFill>
              </w:rPr>
              <w:t>00%</w:t>
            </w:r>
            <w:r>
              <w:rPr>
                <w:rFonts w:ascii="Times New Roman" w:hAnsi="Times New Roman" w:cs="Times New Roman"/>
                <w:color w:val="000000" w:themeColor="text1"/>
                <w:w w:val="99"/>
                <w:sz w:val="21"/>
                <w:szCs w:val="21"/>
                <w:lang w:val="en-US" w:bidi="ar-SA"/>
                <w14:textFill>
                  <w14:solidFill>
                    <w14:schemeClr w14:val="tx1"/>
                  </w14:solidFill>
                </w14:textFill>
              </w:rPr>
              <w:t>。</w:t>
            </w:r>
          </w:p>
        </w:tc>
      </w:tr>
    </w:tbl>
    <w:p w14:paraId="46366DCE">
      <w:pPr>
        <w:autoSpaceDE/>
        <w:autoSpaceDN/>
        <w:spacing w:line="440" w:lineRule="exact"/>
        <w:jc w:val="both"/>
        <w:outlineLvl w:val="3"/>
        <w:rPr>
          <w:rFonts w:ascii="Times New Roman" w:hAnsi="Times New Roman" w:cs="Times New Roman"/>
          <w:b/>
          <w:color w:val="000000" w:themeColor="text1"/>
          <w:w w:val="99"/>
          <w:sz w:val="24"/>
          <w:szCs w:val="24"/>
          <w:lang w:val="en-US" w:bidi="ar-SA"/>
          <w14:textFill>
            <w14:solidFill>
              <w14:schemeClr w14:val="tx1"/>
            </w14:solidFill>
          </w14:textFill>
        </w:rPr>
      </w:pPr>
      <w:r>
        <w:rPr>
          <w:rFonts w:ascii="Times New Roman" w:hAnsi="Times New Roman" w:cs="Times New Roman"/>
          <w:b/>
          <w:color w:val="000000" w:themeColor="text1"/>
          <w:w w:val="99"/>
          <w:sz w:val="24"/>
          <w:szCs w:val="24"/>
          <w:lang w:val="en-US" w:bidi="ar-SA"/>
          <w14:textFill>
            <w14:solidFill>
              <w14:schemeClr w14:val="tx1"/>
            </w14:solidFill>
          </w14:textFill>
        </w:rPr>
        <w:t>1.4.2.14与《陆上石油天然气开采工业大气污染物排放标准》相关措施符合性分析</w:t>
      </w:r>
    </w:p>
    <w:p w14:paraId="311F46F6">
      <w:pPr>
        <w:widowControl/>
        <w:autoSpaceDE/>
        <w:autoSpaceDN/>
        <w:spacing w:line="440" w:lineRule="exact"/>
        <w:ind w:firstLine="474" w:firstLineChars="200"/>
        <w:jc w:val="both"/>
        <w:rPr>
          <w:rFonts w:ascii="Times New Roman" w:hAnsi="Times New Roman" w:cs="Times New Roman"/>
          <w:iCs/>
          <w:color w:val="000000" w:themeColor="text1"/>
          <w:w w:val="99"/>
          <w:kern w:val="2"/>
          <w:sz w:val="24"/>
          <w:szCs w:val="24"/>
          <w:lang w:val="en-US" w:bidi="ar-SA"/>
          <w14:textFill>
            <w14:solidFill>
              <w14:schemeClr w14:val="tx1"/>
            </w14:solidFill>
          </w14:textFill>
        </w:rPr>
      </w:pPr>
      <w:r>
        <w:rPr>
          <w:rFonts w:ascii="Times New Roman" w:hAnsi="Times New Roman" w:cs="Times New Roman"/>
          <w:iCs/>
          <w:color w:val="000000" w:themeColor="text1"/>
          <w:w w:val="99"/>
          <w:kern w:val="2"/>
          <w:sz w:val="24"/>
          <w:szCs w:val="24"/>
          <w:lang w:val="en-US" w:bidi="ar-SA"/>
          <w14:textFill>
            <w14:solidFill>
              <w14:schemeClr w14:val="tx1"/>
            </w14:solidFill>
          </w14:textFill>
        </w:rPr>
        <w:t>本项目与《陆上石油天然气开采工业大气污染物排放标准》</w:t>
      </w:r>
      <w:r>
        <w:rPr>
          <w:rFonts w:ascii="Times New Roman" w:hAnsi="Times New Roman" w:cs="Times New Roman"/>
          <w:color w:val="000000" w:themeColor="text1"/>
          <w:w w:val="99"/>
          <w:sz w:val="24"/>
          <w:szCs w:val="24"/>
          <w:lang w:val="en-US" w:bidi="ar-SA"/>
          <w14:textFill>
            <w14:solidFill>
              <w14:schemeClr w14:val="tx1"/>
            </w14:solidFill>
          </w14:textFill>
        </w:rPr>
        <w:t>（GB39728-2020）中</w:t>
      </w:r>
      <w:r>
        <w:rPr>
          <w:rFonts w:ascii="Times New Roman" w:hAnsi="Times New Roman" w:cs="Times New Roman"/>
          <w:iCs/>
          <w:color w:val="000000" w:themeColor="text1"/>
          <w:w w:val="99"/>
          <w:kern w:val="2"/>
          <w:sz w:val="24"/>
          <w:szCs w:val="24"/>
          <w:lang w:val="en-US" w:bidi="ar-SA"/>
          <w14:textFill>
            <w14:solidFill>
              <w14:schemeClr w14:val="tx1"/>
            </w14:solidFill>
          </w14:textFill>
        </w:rPr>
        <w:t>相关要求符合性详见表1.4-10。</w:t>
      </w:r>
    </w:p>
    <w:p w14:paraId="17F21E04">
      <w:pPr>
        <w:autoSpaceDE/>
        <w:autoSpaceDN/>
        <w:spacing w:line="440" w:lineRule="exact"/>
        <w:ind w:firstLine="476" w:firstLineChars="200"/>
        <w:jc w:val="both"/>
        <w:rPr>
          <w:rFonts w:ascii="Times New Roman" w:hAnsi="Times New Roman" w:cs="Times New Roman"/>
          <w:b/>
          <w:color w:val="000000" w:themeColor="text1"/>
          <w:w w:val="99"/>
          <w:sz w:val="24"/>
          <w:szCs w:val="24"/>
          <w:lang w:val="en-US" w:bidi="ar-SA"/>
          <w14:textFill>
            <w14:solidFill>
              <w14:schemeClr w14:val="tx1"/>
            </w14:solidFill>
          </w14:textFill>
        </w:rPr>
      </w:pPr>
      <w:r>
        <w:rPr>
          <w:rFonts w:ascii="Times New Roman" w:hAnsi="Times New Roman" w:cs="Times New Roman"/>
          <w:b/>
          <w:color w:val="000000" w:themeColor="text1"/>
          <w:w w:val="99"/>
          <w:sz w:val="24"/>
          <w:szCs w:val="24"/>
          <w:lang w:val="en-US" w:bidi="ar-SA"/>
          <w14:textFill>
            <w14:solidFill>
              <w14:schemeClr w14:val="tx1"/>
            </w14:solidFill>
          </w14:textFill>
        </w:rPr>
        <w:t>表1.4-10    具体相关措施符合性分析一览表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3816"/>
        <w:gridCol w:w="3943"/>
        <w:gridCol w:w="845"/>
      </w:tblGrid>
      <w:tr w14:paraId="74883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Align w:val="center"/>
          </w:tcPr>
          <w:p w14:paraId="3E764057">
            <w:pPr>
              <w:widowControl/>
              <w:autoSpaceDE/>
              <w:autoSpaceDN/>
              <w:spacing w:line="34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序号</w:t>
            </w:r>
          </w:p>
        </w:tc>
        <w:tc>
          <w:tcPr>
            <w:tcW w:w="2054" w:type="pct"/>
            <w:vAlign w:val="center"/>
          </w:tcPr>
          <w:p w14:paraId="598F2EFB">
            <w:pPr>
              <w:widowControl/>
              <w:autoSpaceDE/>
              <w:autoSpaceDN/>
              <w:spacing w:line="34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文件要求</w:t>
            </w:r>
          </w:p>
        </w:tc>
        <w:tc>
          <w:tcPr>
            <w:tcW w:w="2122" w:type="pct"/>
            <w:vAlign w:val="center"/>
          </w:tcPr>
          <w:p w14:paraId="650A4A2B">
            <w:pPr>
              <w:widowControl/>
              <w:autoSpaceDE/>
              <w:autoSpaceDN/>
              <w:spacing w:line="34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符合性分析</w:t>
            </w:r>
          </w:p>
        </w:tc>
        <w:tc>
          <w:tcPr>
            <w:tcW w:w="455" w:type="pct"/>
          </w:tcPr>
          <w:p w14:paraId="56CC3E8B">
            <w:pPr>
              <w:widowControl/>
              <w:autoSpaceDE/>
              <w:autoSpaceDN/>
              <w:spacing w:line="34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符合性</w:t>
            </w:r>
          </w:p>
        </w:tc>
      </w:tr>
      <w:tr w14:paraId="52C8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Align w:val="center"/>
          </w:tcPr>
          <w:p w14:paraId="2974AB98">
            <w:pPr>
              <w:widowControl/>
              <w:autoSpaceDE/>
              <w:autoSpaceDN/>
              <w:spacing w:line="34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1</w:t>
            </w:r>
          </w:p>
        </w:tc>
        <w:tc>
          <w:tcPr>
            <w:tcW w:w="2054" w:type="pct"/>
            <w:vAlign w:val="center"/>
          </w:tcPr>
          <w:p w14:paraId="7BE7BD35">
            <w:pPr>
              <w:widowControl/>
              <w:autoSpaceDE/>
              <w:autoSpaceDN/>
              <w:spacing w:line="340" w:lineRule="exact"/>
              <w:jc w:val="both"/>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油气田采出水、原油稳定装置污水、天然气凝液及其产品储罐排水、原油储罐排水应采用密闭管道集输，接入口和排出口采取与环境空气隔离的措施。</w:t>
            </w:r>
          </w:p>
        </w:tc>
        <w:tc>
          <w:tcPr>
            <w:tcW w:w="2122" w:type="pct"/>
            <w:vAlign w:val="center"/>
          </w:tcPr>
          <w:p w14:paraId="0452960A">
            <w:pPr>
              <w:widowControl/>
              <w:autoSpaceDE/>
              <w:autoSpaceDN/>
              <w:spacing w:line="340" w:lineRule="exact"/>
              <w:jc w:val="both"/>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本项目采用密闭管道集输方式输送原油。</w:t>
            </w:r>
          </w:p>
        </w:tc>
        <w:tc>
          <w:tcPr>
            <w:tcW w:w="455" w:type="pct"/>
            <w:vAlign w:val="center"/>
          </w:tcPr>
          <w:p w14:paraId="6F52B3CE">
            <w:pPr>
              <w:widowControl/>
              <w:autoSpaceDE/>
              <w:autoSpaceDN/>
              <w:spacing w:line="34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符合</w:t>
            </w:r>
          </w:p>
        </w:tc>
      </w:tr>
      <w:tr w14:paraId="47129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9" w:type="pct"/>
            <w:vAlign w:val="center"/>
          </w:tcPr>
          <w:p w14:paraId="7C4E2C12">
            <w:pPr>
              <w:widowControl/>
              <w:autoSpaceDE/>
              <w:autoSpaceDN/>
              <w:spacing w:line="34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2</w:t>
            </w:r>
          </w:p>
        </w:tc>
        <w:tc>
          <w:tcPr>
            <w:tcW w:w="2054" w:type="pct"/>
            <w:vAlign w:val="center"/>
          </w:tcPr>
          <w:p w14:paraId="5DFD9830">
            <w:pPr>
              <w:widowControl/>
              <w:autoSpaceDE/>
              <w:autoSpaceDN/>
              <w:spacing w:line="340" w:lineRule="exact"/>
              <w:jc w:val="both"/>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重点地区油气集中处理站、天然气处理厂、储油库，载有气态VOCs物料、液态VOCs物料或质量占比≥10%的天然气的设备与管线组件的密封点≥2000个的，应开展泄漏检测与修复工作。</w:t>
            </w:r>
          </w:p>
        </w:tc>
        <w:tc>
          <w:tcPr>
            <w:tcW w:w="2122" w:type="pct"/>
            <w:vAlign w:val="center"/>
          </w:tcPr>
          <w:p w14:paraId="64C447C5">
            <w:pPr>
              <w:widowControl/>
              <w:autoSpaceDE/>
              <w:autoSpaceDN/>
              <w:spacing w:line="340" w:lineRule="exact"/>
              <w:jc w:val="both"/>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项目所在地区不是重点地区，本项目依托的各场站制定有每日巡查制度，有泄漏点及时发现及时修复。</w:t>
            </w:r>
          </w:p>
        </w:tc>
        <w:tc>
          <w:tcPr>
            <w:tcW w:w="455" w:type="pct"/>
            <w:vAlign w:val="center"/>
          </w:tcPr>
          <w:p w14:paraId="590244B4">
            <w:pPr>
              <w:widowControl/>
              <w:autoSpaceDE/>
              <w:autoSpaceDN/>
              <w:spacing w:line="34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符合</w:t>
            </w:r>
          </w:p>
        </w:tc>
      </w:tr>
      <w:tr w14:paraId="48F92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369" w:type="pct"/>
            <w:vAlign w:val="center"/>
          </w:tcPr>
          <w:p w14:paraId="2FF9D027">
            <w:pPr>
              <w:widowControl/>
              <w:autoSpaceDE/>
              <w:autoSpaceDN/>
              <w:spacing w:line="34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3</w:t>
            </w:r>
          </w:p>
        </w:tc>
        <w:tc>
          <w:tcPr>
            <w:tcW w:w="2054" w:type="pct"/>
            <w:vAlign w:val="center"/>
          </w:tcPr>
          <w:p w14:paraId="1DB346CE">
            <w:pPr>
              <w:widowControl/>
              <w:autoSpaceDE/>
              <w:autoSpaceDN/>
              <w:spacing w:line="340" w:lineRule="exact"/>
              <w:jc w:val="both"/>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在需要采取原油稳定措施的油田或油田区块内，将油井采出的井产物进行汇集、处理、输送至原油稳定装置的全过程应采用密闭工艺流程。</w:t>
            </w:r>
          </w:p>
        </w:tc>
        <w:tc>
          <w:tcPr>
            <w:tcW w:w="2122" w:type="pct"/>
            <w:vAlign w:val="center"/>
          </w:tcPr>
          <w:p w14:paraId="01B01020">
            <w:pPr>
              <w:widowControl/>
              <w:autoSpaceDE/>
              <w:autoSpaceDN/>
              <w:spacing w:line="340" w:lineRule="exact"/>
              <w:jc w:val="both"/>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本项目不涉及采取原油稳定措施，本项目油气集输全过程采用密闭集输方式。</w:t>
            </w:r>
          </w:p>
        </w:tc>
        <w:tc>
          <w:tcPr>
            <w:tcW w:w="455" w:type="pct"/>
            <w:vAlign w:val="center"/>
          </w:tcPr>
          <w:p w14:paraId="5A675372">
            <w:pPr>
              <w:widowControl/>
              <w:autoSpaceDE/>
              <w:autoSpaceDN/>
              <w:spacing w:line="34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符合</w:t>
            </w:r>
          </w:p>
        </w:tc>
      </w:tr>
      <w:tr w14:paraId="2D33B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369" w:type="pct"/>
            <w:vAlign w:val="center"/>
          </w:tcPr>
          <w:p w14:paraId="31021A5B">
            <w:pPr>
              <w:widowControl/>
              <w:autoSpaceDE/>
              <w:autoSpaceDN/>
              <w:spacing w:line="34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4</w:t>
            </w:r>
          </w:p>
        </w:tc>
        <w:tc>
          <w:tcPr>
            <w:tcW w:w="2054" w:type="pct"/>
            <w:vAlign w:val="center"/>
          </w:tcPr>
          <w:p w14:paraId="38B9F378">
            <w:pPr>
              <w:widowControl/>
              <w:autoSpaceDE/>
              <w:autoSpaceDN/>
              <w:spacing w:line="340" w:lineRule="exact"/>
              <w:jc w:val="both"/>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企业应按照有关法律、《环境监测管理办法》和HJ 819等规定，建立监测制度，制订监测方案，对大气污染物排放状况开展自行监测，保存原始监测记录，并公布监测结果。</w:t>
            </w:r>
          </w:p>
        </w:tc>
        <w:tc>
          <w:tcPr>
            <w:tcW w:w="2122" w:type="pct"/>
            <w:vAlign w:val="center"/>
          </w:tcPr>
          <w:p w14:paraId="50BE1756">
            <w:pPr>
              <w:widowControl/>
              <w:autoSpaceDE/>
              <w:autoSpaceDN/>
              <w:spacing w:line="340" w:lineRule="exact"/>
              <w:jc w:val="both"/>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本项目在运营期期针对混输阀组间厂界制定了非甲烷总烃监测计划，监测频次为1次/季度。</w:t>
            </w:r>
          </w:p>
        </w:tc>
        <w:tc>
          <w:tcPr>
            <w:tcW w:w="455" w:type="pct"/>
            <w:vAlign w:val="center"/>
          </w:tcPr>
          <w:p w14:paraId="279228CB">
            <w:pPr>
              <w:widowControl/>
              <w:autoSpaceDE/>
              <w:autoSpaceDN/>
              <w:spacing w:line="34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符合</w:t>
            </w:r>
          </w:p>
        </w:tc>
      </w:tr>
    </w:tbl>
    <w:p w14:paraId="335233FB">
      <w:pPr>
        <w:autoSpaceDE/>
        <w:autoSpaceDN/>
        <w:spacing w:line="440" w:lineRule="exact"/>
        <w:ind w:firstLine="474" w:firstLineChars="200"/>
        <w:jc w:val="both"/>
        <w:rPr>
          <w:rFonts w:ascii="Times New Roman" w:hAnsi="Times New Roman" w:cs="Times New Roman"/>
          <w:color w:val="000000" w:themeColor="text1"/>
          <w:w w:val="99"/>
          <w:sz w:val="24"/>
          <w:szCs w:val="24"/>
          <w:lang w:val="en-US" w:bidi="ar-SA"/>
          <w14:textFill>
            <w14:solidFill>
              <w14:schemeClr w14:val="tx1"/>
            </w14:solidFill>
          </w14:textFill>
        </w:rPr>
      </w:pPr>
      <w:r>
        <w:rPr>
          <w:rFonts w:ascii="Times New Roman" w:hAnsi="Times New Roman" w:cs="Times New Roman"/>
          <w:color w:val="000000" w:themeColor="text1"/>
          <w:w w:val="99"/>
          <w:sz w:val="24"/>
          <w:szCs w:val="24"/>
          <w:lang w:val="en-US" w:bidi="ar-SA"/>
          <w14:textFill>
            <w14:solidFill>
              <w14:schemeClr w14:val="tx1"/>
            </w14:solidFill>
          </w14:textFill>
        </w:rPr>
        <w:t>根据以上分析，本项目满足《陆上石油天然气开采工业大气污染物排放标准》（GB39728-2020）中的相关要求。</w:t>
      </w:r>
    </w:p>
    <w:p w14:paraId="08EBA6F0">
      <w:pPr>
        <w:autoSpaceDE/>
        <w:autoSpaceDN/>
        <w:spacing w:line="440" w:lineRule="exact"/>
        <w:jc w:val="both"/>
        <w:outlineLvl w:val="3"/>
        <w:rPr>
          <w:rFonts w:ascii="Times New Roman" w:hAnsi="Times New Roman" w:cs="Times New Roman"/>
          <w:b/>
          <w:color w:val="000000" w:themeColor="text1"/>
          <w:w w:val="99"/>
          <w:sz w:val="24"/>
          <w:szCs w:val="24"/>
          <w:lang w:val="en-US" w:bidi="ar-SA"/>
          <w14:textFill>
            <w14:solidFill>
              <w14:schemeClr w14:val="tx1"/>
            </w14:solidFill>
          </w14:textFill>
        </w:rPr>
      </w:pPr>
      <w:r>
        <w:rPr>
          <w:rFonts w:ascii="Times New Roman" w:hAnsi="Times New Roman" w:cs="Times New Roman"/>
          <w:b/>
          <w:color w:val="000000" w:themeColor="text1"/>
          <w:w w:val="99"/>
          <w:sz w:val="24"/>
          <w:szCs w:val="24"/>
          <w:lang w:val="en-US" w:bidi="ar-SA"/>
          <w14:textFill>
            <w14:solidFill>
              <w14:schemeClr w14:val="tx1"/>
            </w14:solidFill>
          </w14:textFill>
        </w:rPr>
        <w:t>1.4.2.15</w:t>
      </w:r>
      <w:r>
        <w:rPr>
          <w:rFonts w:hint="eastAsia" w:ascii="Times New Roman" w:hAnsi="Times New Roman" w:cs="Times New Roman"/>
          <w:b/>
          <w:color w:val="000000" w:themeColor="text1"/>
          <w:w w:val="99"/>
          <w:sz w:val="24"/>
          <w:szCs w:val="24"/>
          <w:lang w:val="en-US" w:bidi="ar-SA"/>
          <w14:textFill>
            <w14:solidFill>
              <w14:schemeClr w14:val="tx1"/>
            </w14:solidFill>
          </w14:textFill>
        </w:rPr>
        <w:t>与《</w:t>
      </w:r>
      <w:r>
        <w:rPr>
          <w:rFonts w:ascii="Times New Roman" w:hAnsi="Times New Roman" w:cs="Times New Roman"/>
          <w:b/>
          <w:color w:val="000000" w:themeColor="text1"/>
          <w:w w:val="99"/>
          <w:sz w:val="24"/>
          <w:szCs w:val="24"/>
          <w:lang w:val="en-US" w:bidi="ar-SA"/>
          <w14:textFill>
            <w14:solidFill>
              <w14:schemeClr w14:val="tx1"/>
            </w14:solidFill>
          </w14:textFill>
        </w:rPr>
        <w:t>2020年挥发性有机物治理攻坚方案</w:t>
      </w:r>
      <w:r>
        <w:rPr>
          <w:rFonts w:hint="eastAsia" w:ascii="Times New Roman" w:hAnsi="Times New Roman" w:cs="Times New Roman"/>
          <w:b/>
          <w:color w:val="000000" w:themeColor="text1"/>
          <w:w w:val="99"/>
          <w:sz w:val="24"/>
          <w:szCs w:val="24"/>
          <w:lang w:val="en-US" w:bidi="ar-SA"/>
          <w14:textFill>
            <w14:solidFill>
              <w14:schemeClr w14:val="tx1"/>
            </w14:solidFill>
          </w14:textFill>
        </w:rPr>
        <w:t>》符合性分析</w:t>
      </w:r>
    </w:p>
    <w:p w14:paraId="536FEBED">
      <w:pPr>
        <w:autoSpaceDE/>
        <w:autoSpaceDN/>
        <w:spacing w:line="440" w:lineRule="exact"/>
        <w:ind w:firstLine="474" w:firstLineChars="200"/>
        <w:jc w:val="both"/>
        <w:rPr>
          <w:rFonts w:ascii="Times New Roman" w:hAnsi="Times New Roman" w:cs="Times New Roman"/>
          <w:color w:val="000000" w:themeColor="text1"/>
          <w:w w:val="99"/>
          <w:sz w:val="24"/>
          <w:szCs w:val="24"/>
          <w:lang w:val="en-US" w:bidi="ar-SA"/>
          <w14:textFill>
            <w14:solidFill>
              <w14:schemeClr w14:val="tx1"/>
            </w14:solidFill>
          </w14:textFill>
        </w:rPr>
      </w:pPr>
      <w:r>
        <w:rPr>
          <w:rFonts w:hint="eastAsia" w:ascii="Times New Roman" w:hAnsi="Times New Roman" w:cs="Times New Roman"/>
          <w:color w:val="000000" w:themeColor="text1"/>
          <w:w w:val="99"/>
          <w:sz w:val="24"/>
          <w:szCs w:val="24"/>
          <w:lang w:val="en-US" w:bidi="ar-SA"/>
          <w14:textFill>
            <w14:solidFill>
              <w14:schemeClr w14:val="tx1"/>
            </w14:solidFill>
          </w14:textFill>
        </w:rPr>
        <w:t>根据《</w:t>
      </w:r>
      <w:r>
        <w:rPr>
          <w:rFonts w:ascii="Times New Roman" w:hAnsi="Times New Roman" w:cs="Times New Roman"/>
          <w:color w:val="000000" w:themeColor="text1"/>
          <w:w w:val="99"/>
          <w:sz w:val="24"/>
          <w:szCs w:val="24"/>
          <w:lang w:val="en-US" w:bidi="ar-SA"/>
          <w14:textFill>
            <w14:solidFill>
              <w14:schemeClr w14:val="tx1"/>
            </w14:solidFill>
          </w14:textFill>
        </w:rPr>
        <w:t>2020年挥发性有机物治理攻坚方案》</w:t>
      </w:r>
      <w:r>
        <w:rPr>
          <w:rFonts w:hint="eastAsia" w:ascii="Times New Roman" w:hAnsi="Times New Roman" w:cs="Times New Roman"/>
          <w:color w:val="000000" w:themeColor="text1"/>
          <w:w w:val="99"/>
          <w:sz w:val="24"/>
          <w:szCs w:val="24"/>
          <w:lang w:val="en-US" w:bidi="ar-SA"/>
          <w14:textFill>
            <w14:solidFill>
              <w14:schemeClr w14:val="tx1"/>
            </w14:solidFill>
          </w14:textFill>
        </w:rPr>
        <w:t>要求</w:t>
      </w:r>
      <w:r>
        <w:rPr>
          <w:rFonts w:ascii="Times New Roman" w:hAnsi="Times New Roman" w:cs="Times New Roman"/>
          <w:color w:val="000000" w:themeColor="text1"/>
          <w:w w:val="99"/>
          <w:sz w:val="24"/>
          <w:szCs w:val="24"/>
          <w:lang w:val="en-US" w:bidi="ar-SA"/>
          <w14:textFill>
            <w14:solidFill>
              <w14:schemeClr w14:val="tx1"/>
            </w14:solidFill>
          </w14:textFill>
        </w:rPr>
        <w:t>，</w:t>
      </w:r>
      <w:r>
        <w:rPr>
          <w:rFonts w:hint="eastAsia" w:ascii="Times New Roman" w:hAnsi="Times New Roman" w:cs="Times New Roman"/>
          <w:color w:val="000000" w:themeColor="text1"/>
          <w:w w:val="99"/>
          <w:sz w:val="24"/>
          <w:szCs w:val="24"/>
          <w:lang w:val="en-US" w:bidi="ar-SA"/>
          <w14:textFill>
            <w14:solidFill>
              <w14:schemeClr w14:val="tx1"/>
            </w14:solidFill>
          </w14:textFill>
        </w:rPr>
        <w:t>2020年7月1日起，全面执行《挥发性有机物无组织排放控制标准》，重点区域应落实无组织排放特别控制要求。各地要加大标准生效时间、涉及行业及控制要求等宣贯力度，通过现场指导、组织培训、新媒体信息推送、发放明白纸等多种方式，督促指导企业对照标准要求开展含VOCs物料（包括含VOCs原辅材料、含VOCs产品、含VOCs废料以及有机聚合物材料等）储存、转移和输送、设备与管线组件泄漏、敞开液面逸散以及工艺过程等无组织排放环节排查整治，对达不到要求的加快整改。指导企业制定VOCs无组织排放控制规程，细化到具体工序和生产环节，以及启停机、检维修作业等，落实到具体责任人；健全内部考核制度，严格按照操作规程生产。</w:t>
      </w:r>
    </w:p>
    <w:p w14:paraId="07BAB96B">
      <w:pPr>
        <w:autoSpaceDE/>
        <w:autoSpaceDN/>
        <w:spacing w:line="440" w:lineRule="exact"/>
        <w:ind w:firstLine="474" w:firstLineChars="200"/>
        <w:jc w:val="both"/>
        <w:rPr>
          <w:rFonts w:ascii="Times New Roman" w:hAnsi="Times New Roman" w:cs="Times New Roman"/>
          <w:color w:val="000000" w:themeColor="text1"/>
          <w:w w:val="99"/>
          <w:sz w:val="24"/>
          <w:szCs w:val="24"/>
          <w:lang w:val="en-US" w:bidi="ar-SA"/>
          <w14:textFill>
            <w14:solidFill>
              <w14:schemeClr w14:val="tx1"/>
            </w14:solidFill>
          </w14:textFill>
        </w:rPr>
      </w:pPr>
      <w:r>
        <w:rPr>
          <w:rFonts w:hint="eastAsia" w:ascii="Times New Roman" w:hAnsi="Times New Roman" w:cs="Times New Roman"/>
          <w:color w:val="000000" w:themeColor="text1"/>
          <w:w w:val="99"/>
          <w:sz w:val="24"/>
          <w:szCs w:val="24"/>
          <w:lang w:val="en-US" w:bidi="ar-SA"/>
          <w14:textFill>
            <w14:solidFill>
              <w14:schemeClr w14:val="tx1"/>
            </w14:solidFill>
          </w14:textFill>
        </w:rPr>
        <w:t>企业在无组织排放排查整治过程中，在保证安全的前提下，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不得随意丢弃，7月15日前集中清运一次，交有资质的单位处置；处置单位在贮存、清洗、破碎等环节应按要求对VOCs无组织排放废气进行收集、处理。高VOCs含量废水的集输、储存和处理环节，应加盖密闭。企业中载有气态、液态VOCs物料的设备与管线组件密封点大于等于2000个的，应全面梳理建立台账，6-9月完成一轮泄漏检测与修复（LDAR）工作，及时修复泄漏源；石油炼制、石油化工、合成树脂企业严格按照排放标准要求开展LDAR工作，加强备用泵、在用泵、调节阀、搅拌器、开口管线等检测工作，强化质量控制；要将VOCs治理设施和储罐的密封点纳入检测计划中。</w:t>
      </w:r>
    </w:p>
    <w:p w14:paraId="2167FAF1">
      <w:pPr>
        <w:autoSpaceDE/>
        <w:autoSpaceDN/>
        <w:spacing w:line="440" w:lineRule="exact"/>
        <w:ind w:firstLine="474" w:firstLineChars="200"/>
        <w:jc w:val="both"/>
        <w:rPr>
          <w:rFonts w:ascii="Times New Roman" w:hAnsi="Times New Roman" w:cs="Times New Roman"/>
          <w:color w:val="000000" w:themeColor="text1"/>
          <w:w w:val="99"/>
          <w:sz w:val="24"/>
          <w:szCs w:val="24"/>
          <w:lang w:val="en-US" w:bidi="ar-SA"/>
          <w14:textFill>
            <w14:solidFill>
              <w14:schemeClr w14:val="tx1"/>
            </w14:solidFill>
          </w14:textFill>
        </w:rPr>
      </w:pPr>
      <w:r>
        <w:rPr>
          <w:rFonts w:hint="eastAsia" w:ascii="Times New Roman" w:hAnsi="Times New Roman" w:cs="Times New Roman"/>
          <w:color w:val="000000" w:themeColor="text1"/>
          <w:w w:val="99"/>
          <w:sz w:val="24"/>
          <w:szCs w:val="24"/>
          <w:lang w:val="en-US" w:bidi="ar-SA"/>
          <w14:textFill>
            <w14:solidFill>
              <w14:schemeClr w14:val="tx1"/>
            </w14:solidFill>
          </w14:textFill>
        </w:rPr>
        <w:t>本项目拆除原有拉油点，解决拉油点废气无组织排放问题，运营期油气集输均采用管线密闭形式，可有效控制挥发性有机物无组织排放</w:t>
      </w:r>
      <w:r>
        <w:rPr>
          <w:rFonts w:ascii="Times New Roman" w:hAnsi="Times New Roman" w:cs="Times New Roman"/>
          <w:color w:val="000000" w:themeColor="text1"/>
          <w:w w:val="99"/>
          <w:sz w:val="24"/>
          <w:szCs w:val="24"/>
          <w:lang w:val="en-US" w:bidi="ar-SA"/>
          <w14:textFill>
            <w14:solidFill>
              <w14:schemeClr w14:val="tx1"/>
            </w14:solidFill>
          </w14:textFill>
        </w:rPr>
        <w:t>，</w:t>
      </w:r>
      <w:r>
        <w:rPr>
          <w:rFonts w:hint="eastAsia" w:ascii="Times New Roman" w:hAnsi="Times New Roman" w:cs="Times New Roman"/>
          <w:color w:val="000000" w:themeColor="text1"/>
          <w:w w:val="99"/>
          <w:sz w:val="24"/>
          <w:szCs w:val="24"/>
          <w:lang w:val="en-US" w:bidi="ar-SA"/>
          <w14:textFill>
            <w14:solidFill>
              <w14:schemeClr w14:val="tx1"/>
            </w14:solidFill>
          </w14:textFill>
        </w:rPr>
        <w:t>满足《</w:t>
      </w:r>
      <w:r>
        <w:rPr>
          <w:rFonts w:ascii="Times New Roman" w:hAnsi="Times New Roman" w:cs="Times New Roman"/>
          <w:color w:val="000000" w:themeColor="text1"/>
          <w:w w:val="99"/>
          <w:sz w:val="24"/>
          <w:szCs w:val="24"/>
          <w:lang w:val="en-US" w:bidi="ar-SA"/>
          <w14:textFill>
            <w14:solidFill>
              <w14:schemeClr w14:val="tx1"/>
            </w14:solidFill>
          </w14:textFill>
        </w:rPr>
        <w:t>2020年挥发性有机物治理攻坚方案》</w:t>
      </w:r>
      <w:r>
        <w:rPr>
          <w:rFonts w:hint="eastAsia" w:ascii="Times New Roman" w:hAnsi="Times New Roman" w:cs="Times New Roman"/>
          <w:color w:val="000000" w:themeColor="text1"/>
          <w:w w:val="99"/>
          <w:sz w:val="24"/>
          <w:szCs w:val="24"/>
          <w:lang w:val="en-US" w:bidi="ar-SA"/>
          <w14:textFill>
            <w14:solidFill>
              <w14:schemeClr w14:val="tx1"/>
            </w14:solidFill>
          </w14:textFill>
        </w:rPr>
        <w:t>相关</w:t>
      </w:r>
      <w:r>
        <w:rPr>
          <w:rFonts w:ascii="Times New Roman" w:hAnsi="Times New Roman" w:cs="Times New Roman"/>
          <w:color w:val="000000" w:themeColor="text1"/>
          <w:w w:val="99"/>
          <w:sz w:val="24"/>
          <w:szCs w:val="24"/>
          <w:lang w:val="en-US" w:bidi="ar-SA"/>
          <w14:textFill>
            <w14:solidFill>
              <w14:schemeClr w14:val="tx1"/>
            </w14:solidFill>
          </w14:textFill>
        </w:rPr>
        <w:t>要求。</w:t>
      </w:r>
    </w:p>
    <w:p w14:paraId="3A1CCCBD">
      <w:pPr>
        <w:autoSpaceDE/>
        <w:autoSpaceDN/>
        <w:spacing w:line="440" w:lineRule="exact"/>
        <w:jc w:val="both"/>
        <w:outlineLvl w:val="3"/>
        <w:rPr>
          <w:rFonts w:ascii="Times New Roman" w:hAnsi="Times New Roman" w:cs="Times New Roman"/>
          <w:b/>
          <w:color w:val="000000" w:themeColor="text1"/>
          <w:w w:val="99"/>
          <w:sz w:val="24"/>
          <w:szCs w:val="24"/>
          <w:lang w:val="en-US" w:bidi="ar-SA"/>
          <w14:textFill>
            <w14:solidFill>
              <w14:schemeClr w14:val="tx1"/>
            </w14:solidFill>
          </w14:textFill>
        </w:rPr>
      </w:pPr>
      <w:bookmarkStart w:id="39" w:name="_Toc70050125"/>
      <w:r>
        <w:rPr>
          <w:rFonts w:ascii="Times New Roman" w:hAnsi="Times New Roman" w:cs="Times New Roman"/>
          <w:b/>
          <w:color w:val="000000" w:themeColor="text1"/>
          <w:w w:val="99"/>
          <w:sz w:val="24"/>
          <w:szCs w:val="24"/>
          <w:lang w:val="en-US" w:bidi="ar-SA"/>
          <w14:textFill>
            <w14:solidFill>
              <w14:schemeClr w14:val="tx1"/>
            </w14:solidFill>
          </w14:textFill>
        </w:rPr>
        <w:t>1.4.2.16</w:t>
      </w:r>
      <w:r>
        <w:rPr>
          <w:rFonts w:hint="eastAsia" w:ascii="Times New Roman" w:hAnsi="Times New Roman" w:cs="Times New Roman"/>
          <w:b/>
          <w:color w:val="000000" w:themeColor="text1"/>
          <w:w w:val="99"/>
          <w:sz w:val="24"/>
          <w:szCs w:val="24"/>
          <w:lang w:val="en-US" w:bidi="ar-SA"/>
          <w14:textFill>
            <w14:solidFill>
              <w14:schemeClr w14:val="tx1"/>
            </w14:solidFill>
          </w14:textFill>
        </w:rPr>
        <w:t xml:space="preserve"> 与《黑龙江省重点行业挥发性有机物综合治理行动方案》（黑环发〔2019〕153号）符合性判定</w:t>
      </w:r>
      <w:bookmarkEnd w:id="39"/>
    </w:p>
    <w:p w14:paraId="7DE754B6">
      <w:pPr>
        <w:autoSpaceDE/>
        <w:autoSpaceDN/>
        <w:spacing w:line="440" w:lineRule="exact"/>
        <w:ind w:firstLine="474" w:firstLineChars="200"/>
        <w:jc w:val="both"/>
        <w:rPr>
          <w:rFonts w:ascii="Times New Roman" w:hAnsi="Times New Roman" w:cs="Times New Roman"/>
          <w:color w:val="000000" w:themeColor="text1"/>
          <w:w w:val="99"/>
          <w:sz w:val="24"/>
          <w:szCs w:val="24"/>
          <w:lang w:val="en-US" w:bidi="ar-SA"/>
          <w14:textFill>
            <w14:solidFill>
              <w14:schemeClr w14:val="tx1"/>
            </w14:solidFill>
          </w14:textFill>
        </w:rPr>
      </w:pPr>
      <w:r>
        <w:rPr>
          <w:rFonts w:hint="eastAsia" w:ascii="Times New Roman" w:hAnsi="Times New Roman" w:cs="Times New Roman"/>
          <w:color w:val="000000" w:themeColor="text1"/>
          <w:w w:val="99"/>
          <w:sz w:val="24"/>
          <w:szCs w:val="24"/>
          <w:lang w:val="en-US" w:bidi="ar-SA"/>
          <w14:textFill>
            <w14:solidFill>
              <w14:schemeClr w14:val="tx1"/>
            </w14:solidFill>
          </w14:textFill>
        </w:rPr>
        <w:t>表1.</w:t>
      </w:r>
      <w:r>
        <w:rPr>
          <w:rFonts w:ascii="Times New Roman" w:hAnsi="Times New Roman" w:cs="Times New Roman"/>
          <w:color w:val="000000" w:themeColor="text1"/>
          <w:w w:val="99"/>
          <w:sz w:val="24"/>
          <w:szCs w:val="24"/>
          <w:lang w:val="en-US" w:bidi="ar-SA"/>
          <w14:textFill>
            <w14:solidFill>
              <w14:schemeClr w14:val="tx1"/>
            </w14:solidFill>
          </w14:textFill>
        </w:rPr>
        <w:t>4</w:t>
      </w:r>
      <w:r>
        <w:rPr>
          <w:rFonts w:hint="eastAsia" w:ascii="Times New Roman" w:hAnsi="Times New Roman" w:cs="Times New Roman"/>
          <w:color w:val="000000" w:themeColor="text1"/>
          <w:w w:val="99"/>
          <w:sz w:val="24"/>
          <w:szCs w:val="24"/>
          <w:lang w:val="en-US" w:bidi="ar-SA"/>
          <w14:textFill>
            <w14:solidFill>
              <w14:schemeClr w14:val="tx1"/>
            </w14:solidFill>
          </w14:textFill>
        </w:rPr>
        <w:t>-</w:t>
      </w:r>
      <w:r>
        <w:rPr>
          <w:rFonts w:ascii="Times New Roman" w:hAnsi="Times New Roman" w:cs="Times New Roman"/>
          <w:color w:val="000000" w:themeColor="text1"/>
          <w:w w:val="99"/>
          <w:sz w:val="24"/>
          <w:szCs w:val="24"/>
          <w:lang w:val="en-US" w:bidi="ar-SA"/>
          <w14:textFill>
            <w14:solidFill>
              <w14:schemeClr w14:val="tx1"/>
            </w14:solidFill>
          </w14:textFill>
        </w:rPr>
        <w:t xml:space="preserve">11    </w:t>
      </w:r>
      <w:r>
        <w:rPr>
          <w:rFonts w:hint="eastAsia" w:ascii="Times New Roman" w:hAnsi="Times New Roman" w:cs="Times New Roman"/>
          <w:color w:val="000000" w:themeColor="text1"/>
          <w:w w:val="99"/>
          <w:sz w:val="24"/>
          <w:szCs w:val="24"/>
          <w:lang w:val="en-US" w:bidi="ar-SA"/>
          <w14:textFill>
            <w14:solidFill>
              <w14:schemeClr w14:val="tx1"/>
            </w14:solidFill>
          </w14:textFill>
        </w:rPr>
        <w:t>与黑环发〔2019〕153号相关要求符合性判定</w:t>
      </w:r>
    </w:p>
    <w:tbl>
      <w:tblPr>
        <w:tblStyle w:val="80"/>
        <w:tblW w:w="0" w:type="auto"/>
        <w:tblInd w:w="0" w:type="dxa"/>
        <w:tblBorders>
          <w:top w:val="single" w:color="auto" w:sz="6" w:space="0"/>
          <w:left w:val="single" w:color="auto" w:sz="6" w:space="0"/>
          <w:bottom w:val="single" w:color="auto" w:sz="6" w:space="0"/>
          <w:right w:val="single" w:color="auto" w:sz="6" w:space="0"/>
          <w:insideH w:val="single" w:color="auto" w:sz="4" w:space="0"/>
          <w:insideV w:val="single" w:color="auto" w:sz="6" w:space="0"/>
        </w:tblBorders>
        <w:tblLayout w:type="fixed"/>
        <w:tblCellMar>
          <w:top w:w="0" w:type="dxa"/>
          <w:left w:w="108" w:type="dxa"/>
          <w:bottom w:w="0" w:type="dxa"/>
          <w:right w:w="108" w:type="dxa"/>
        </w:tblCellMar>
      </w:tblPr>
      <w:tblGrid>
        <w:gridCol w:w="657"/>
        <w:gridCol w:w="1577"/>
        <w:gridCol w:w="5245"/>
        <w:gridCol w:w="1701"/>
      </w:tblGrid>
      <w:tr w14:paraId="2920FD75">
        <w:tblPrEx>
          <w:tblBorders>
            <w:top w:val="single" w:color="auto" w:sz="6" w:space="0"/>
            <w:left w:val="single" w:color="auto" w:sz="6" w:space="0"/>
            <w:bottom w:val="single" w:color="auto" w:sz="6" w:space="0"/>
            <w:right w:val="single" w:color="auto" w:sz="6" w:space="0"/>
            <w:insideH w:val="single" w:color="auto" w:sz="4" w:space="0"/>
            <w:insideV w:val="single" w:color="auto" w:sz="6" w:space="0"/>
          </w:tblBorders>
          <w:tblCellMar>
            <w:top w:w="0" w:type="dxa"/>
            <w:left w:w="108" w:type="dxa"/>
            <w:bottom w:w="0" w:type="dxa"/>
            <w:right w:w="108" w:type="dxa"/>
          </w:tblCellMar>
        </w:tblPrEx>
        <w:trPr>
          <w:trHeight w:val="90" w:hRule="atLeast"/>
        </w:trPr>
        <w:tc>
          <w:tcPr>
            <w:tcW w:w="657" w:type="dxa"/>
            <w:vAlign w:val="center"/>
          </w:tcPr>
          <w:p w14:paraId="2EA9B318">
            <w:pPr>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14:textFill>
                  <w14:solidFill>
                    <w14:schemeClr w14:val="tx1"/>
                  </w14:solidFill>
                </w14:textFill>
              </w:rPr>
            </w:pPr>
            <w:r>
              <w:rPr>
                <w:rFonts w:hint="eastAsia" w:ascii="Times New Roman" w:hAnsi="Times New Roman" w:cs="Times New Roman" w:eastAsiaTheme="minorEastAsia"/>
                <w:iCs/>
                <w:color w:val="000000" w:themeColor="text1"/>
                <w:w w:val="99"/>
                <w:kern w:val="28"/>
                <w:sz w:val="21"/>
                <w:szCs w:val="21"/>
                <w14:textFill>
                  <w14:solidFill>
                    <w14:schemeClr w14:val="tx1"/>
                  </w14:solidFill>
                </w14:textFill>
              </w:rPr>
              <w:t>序号</w:t>
            </w:r>
          </w:p>
        </w:tc>
        <w:tc>
          <w:tcPr>
            <w:tcW w:w="1577" w:type="dxa"/>
            <w:vAlign w:val="center"/>
          </w:tcPr>
          <w:p w14:paraId="3F4865A1">
            <w:pPr>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14:textFill>
                  <w14:solidFill>
                    <w14:schemeClr w14:val="tx1"/>
                  </w14:solidFill>
                </w14:textFill>
              </w:rPr>
            </w:pPr>
            <w:r>
              <w:rPr>
                <w:rFonts w:hint="eastAsia" w:ascii="Times New Roman" w:hAnsi="Times New Roman" w:cs="Times New Roman" w:eastAsiaTheme="minorEastAsia"/>
                <w:iCs/>
                <w:color w:val="000000" w:themeColor="text1"/>
                <w:w w:val="99"/>
                <w:kern w:val="28"/>
                <w:sz w:val="21"/>
                <w:szCs w:val="21"/>
                <w14:textFill>
                  <w14:solidFill>
                    <w14:schemeClr w14:val="tx1"/>
                  </w14:solidFill>
                </w14:textFill>
              </w:rPr>
              <w:t>类别</w:t>
            </w:r>
          </w:p>
        </w:tc>
        <w:tc>
          <w:tcPr>
            <w:tcW w:w="5245" w:type="dxa"/>
            <w:vAlign w:val="center"/>
          </w:tcPr>
          <w:p w14:paraId="576F9705">
            <w:pPr>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14:textFill>
                  <w14:solidFill>
                    <w14:schemeClr w14:val="tx1"/>
                  </w14:solidFill>
                </w14:textFill>
              </w:rPr>
            </w:pPr>
            <w:r>
              <w:rPr>
                <w:rFonts w:hint="eastAsia" w:ascii="Times New Roman" w:hAnsi="Times New Roman" w:cs="Times New Roman" w:eastAsiaTheme="minorEastAsia"/>
                <w:iCs/>
                <w:color w:val="000000" w:themeColor="text1"/>
                <w:w w:val="99"/>
                <w:kern w:val="28"/>
                <w:sz w:val="21"/>
                <w:szCs w:val="21"/>
                <w14:textFill>
                  <w14:solidFill>
                    <w14:schemeClr w14:val="tx1"/>
                  </w14:solidFill>
                </w14:textFill>
              </w:rPr>
              <w:t>相关要求</w:t>
            </w:r>
          </w:p>
        </w:tc>
        <w:tc>
          <w:tcPr>
            <w:tcW w:w="1701" w:type="dxa"/>
            <w:vAlign w:val="center"/>
          </w:tcPr>
          <w:p w14:paraId="6F018A3B">
            <w:pPr>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14:textFill>
                  <w14:solidFill>
                    <w14:schemeClr w14:val="tx1"/>
                  </w14:solidFill>
                </w14:textFill>
              </w:rPr>
            </w:pPr>
            <w:r>
              <w:rPr>
                <w:rFonts w:hint="eastAsia" w:ascii="Times New Roman" w:hAnsi="Times New Roman" w:cs="Times New Roman" w:eastAsiaTheme="minorEastAsia"/>
                <w:iCs/>
                <w:color w:val="000000" w:themeColor="text1"/>
                <w:w w:val="99"/>
                <w:kern w:val="28"/>
                <w:sz w:val="21"/>
                <w:szCs w:val="21"/>
                <w14:textFill>
                  <w14:solidFill>
                    <w14:schemeClr w14:val="tx1"/>
                  </w14:solidFill>
                </w14:textFill>
              </w:rPr>
              <w:t>本工程符合性</w:t>
            </w:r>
          </w:p>
        </w:tc>
      </w:tr>
      <w:tr w14:paraId="0E2E9BA8">
        <w:tblPrEx>
          <w:tblBorders>
            <w:top w:val="single" w:color="auto" w:sz="6" w:space="0"/>
            <w:left w:val="single" w:color="auto" w:sz="6" w:space="0"/>
            <w:bottom w:val="single" w:color="auto" w:sz="6" w:space="0"/>
            <w:right w:val="single" w:color="auto" w:sz="6" w:space="0"/>
            <w:insideH w:val="single" w:color="auto" w:sz="4" w:space="0"/>
            <w:insideV w:val="single" w:color="auto" w:sz="6" w:space="0"/>
          </w:tblBorders>
          <w:tblCellMar>
            <w:top w:w="0" w:type="dxa"/>
            <w:left w:w="108" w:type="dxa"/>
            <w:bottom w:w="0" w:type="dxa"/>
            <w:right w:w="108" w:type="dxa"/>
          </w:tblCellMar>
        </w:tblPrEx>
        <w:trPr>
          <w:trHeight w:val="90" w:hRule="atLeast"/>
        </w:trPr>
        <w:tc>
          <w:tcPr>
            <w:tcW w:w="657" w:type="dxa"/>
            <w:vAlign w:val="center"/>
          </w:tcPr>
          <w:p w14:paraId="71A84D70">
            <w:pPr>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14:textFill>
                  <w14:solidFill>
                    <w14:schemeClr w14:val="tx1"/>
                  </w14:solidFill>
                </w14:textFill>
              </w:rPr>
            </w:pPr>
            <w:r>
              <w:rPr>
                <w:rFonts w:hint="eastAsia" w:ascii="Times New Roman" w:hAnsi="Times New Roman" w:cs="Times New Roman" w:eastAsiaTheme="minorEastAsia"/>
                <w:iCs/>
                <w:color w:val="000000" w:themeColor="text1"/>
                <w:w w:val="99"/>
                <w:kern w:val="28"/>
                <w:sz w:val="21"/>
                <w:szCs w:val="21"/>
                <w14:textFill>
                  <w14:solidFill>
                    <w14:schemeClr w14:val="tx1"/>
                  </w14:solidFill>
                </w14:textFill>
              </w:rPr>
              <w:t>1</w:t>
            </w:r>
          </w:p>
        </w:tc>
        <w:tc>
          <w:tcPr>
            <w:tcW w:w="1577" w:type="dxa"/>
            <w:vAlign w:val="center"/>
          </w:tcPr>
          <w:p w14:paraId="60AFBD05">
            <w:pPr>
              <w:adjustRightInd w:val="0"/>
              <w:snapToGrid w:val="0"/>
              <w:spacing w:line="360" w:lineRule="exact"/>
              <w:jc w:val="both"/>
              <w:rPr>
                <w:rFonts w:ascii="Times New Roman" w:hAnsi="Times New Roman" w:cs="Times New Roman" w:eastAsiaTheme="minorEastAsia"/>
                <w:iCs/>
                <w:color w:val="000000" w:themeColor="text1"/>
                <w:w w:val="99"/>
                <w:kern w:val="28"/>
                <w:sz w:val="21"/>
                <w:szCs w:val="21"/>
                <w14:textFill>
                  <w14:solidFill>
                    <w14:schemeClr w14:val="tx1"/>
                  </w14:solidFill>
                </w14:textFill>
              </w:rPr>
            </w:pPr>
            <w:r>
              <w:rPr>
                <w:rFonts w:hint="eastAsia" w:ascii="Times New Roman" w:hAnsi="Times New Roman" w:cs="Times New Roman" w:eastAsiaTheme="minorEastAsia"/>
                <w:iCs/>
                <w:color w:val="000000" w:themeColor="text1"/>
                <w:w w:val="99"/>
                <w:kern w:val="28"/>
                <w:sz w:val="21"/>
                <w:szCs w:val="21"/>
                <w14:textFill>
                  <w14:solidFill>
                    <w14:schemeClr w14:val="tx1"/>
                  </w14:solidFill>
                </w14:textFill>
              </w:rPr>
              <w:t>加强政策引导</w:t>
            </w:r>
          </w:p>
        </w:tc>
        <w:tc>
          <w:tcPr>
            <w:tcW w:w="5245" w:type="dxa"/>
            <w:vAlign w:val="center"/>
          </w:tcPr>
          <w:p w14:paraId="50F3420E">
            <w:pPr>
              <w:adjustRightInd w:val="0"/>
              <w:snapToGrid w:val="0"/>
              <w:spacing w:line="360" w:lineRule="exact"/>
              <w:jc w:val="both"/>
              <w:rPr>
                <w:rFonts w:ascii="Times New Roman" w:hAnsi="Times New Roman" w:cs="Times New Roman" w:eastAsiaTheme="minorEastAsia"/>
                <w:iCs/>
                <w:color w:val="000000" w:themeColor="text1"/>
                <w:w w:val="99"/>
                <w:kern w:val="28"/>
                <w:sz w:val="21"/>
                <w:szCs w:val="21"/>
                <w14:textFill>
                  <w14:solidFill>
                    <w14:schemeClr w14:val="tx1"/>
                  </w14:solidFill>
                </w14:textFill>
              </w:rPr>
            </w:pPr>
            <w:r>
              <w:rPr>
                <w:rFonts w:hint="eastAsia" w:ascii="Times New Roman" w:hAnsi="Times New Roman" w:cs="Times New Roman" w:eastAsiaTheme="minorEastAsia"/>
                <w:iCs/>
                <w:color w:val="000000" w:themeColor="text1"/>
                <w:w w:val="99"/>
                <w:kern w:val="28"/>
                <w:sz w:val="21"/>
                <w:szCs w:val="21"/>
                <w14:textFill>
                  <w14:solidFill>
                    <w14:schemeClr w14:val="tx1"/>
                  </w14:solidFill>
                </w14:textFill>
              </w:rPr>
              <w:t>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tc>
        <w:tc>
          <w:tcPr>
            <w:tcW w:w="1701" w:type="dxa"/>
            <w:vMerge w:val="restart"/>
            <w:vAlign w:val="center"/>
          </w:tcPr>
          <w:p w14:paraId="1F39F9BD">
            <w:pPr>
              <w:adjustRightInd w:val="0"/>
              <w:snapToGrid w:val="0"/>
              <w:spacing w:line="360" w:lineRule="exact"/>
              <w:jc w:val="both"/>
              <w:rPr>
                <w:rFonts w:ascii="Times New Roman" w:hAnsi="Times New Roman" w:cs="Times New Roman" w:eastAsiaTheme="minorEastAsia"/>
                <w:iCs/>
                <w:color w:val="000000" w:themeColor="text1"/>
                <w:w w:val="99"/>
                <w:kern w:val="28"/>
                <w:sz w:val="21"/>
                <w:szCs w:val="21"/>
                <w14:textFill>
                  <w14:solidFill>
                    <w14:schemeClr w14:val="tx1"/>
                  </w14:solidFill>
                </w14:textFill>
              </w:rPr>
            </w:pPr>
            <w:r>
              <w:rPr>
                <w:rFonts w:hint="eastAsia" w:ascii="Times New Roman" w:hAnsi="Times New Roman" w:cs="Times New Roman" w:eastAsiaTheme="minorEastAsia"/>
                <w:iCs/>
                <w:color w:val="000000" w:themeColor="text1"/>
                <w:w w:val="99"/>
                <w:kern w:val="28"/>
                <w:sz w:val="21"/>
                <w:szCs w:val="21"/>
                <w14:textFill>
                  <w14:solidFill>
                    <w14:schemeClr w14:val="tx1"/>
                  </w14:solidFill>
                </w14:textFill>
              </w:rPr>
              <w:t>本项目拆除原有拉油点，解决拉油点挥发性有机物无组织排放问题，运营期油气集输均采用管线密闭形式，可有效控制挥发性有机物无组织排放，符合要求。</w:t>
            </w:r>
          </w:p>
        </w:tc>
      </w:tr>
      <w:tr w14:paraId="72F915CD">
        <w:tblPrEx>
          <w:tblBorders>
            <w:top w:val="single" w:color="auto" w:sz="6" w:space="0"/>
            <w:left w:val="single" w:color="auto" w:sz="6" w:space="0"/>
            <w:bottom w:val="single" w:color="auto" w:sz="6" w:space="0"/>
            <w:right w:val="single" w:color="auto" w:sz="6" w:space="0"/>
            <w:insideH w:val="single" w:color="auto" w:sz="4" w:space="0"/>
            <w:insideV w:val="single" w:color="auto" w:sz="6" w:space="0"/>
          </w:tblBorders>
          <w:tblCellMar>
            <w:top w:w="0" w:type="dxa"/>
            <w:left w:w="108" w:type="dxa"/>
            <w:bottom w:w="0" w:type="dxa"/>
            <w:right w:w="108" w:type="dxa"/>
          </w:tblCellMar>
        </w:tblPrEx>
        <w:trPr>
          <w:trHeight w:val="90" w:hRule="atLeast"/>
        </w:trPr>
        <w:tc>
          <w:tcPr>
            <w:tcW w:w="657" w:type="dxa"/>
            <w:vAlign w:val="center"/>
          </w:tcPr>
          <w:p w14:paraId="2D164743">
            <w:pPr>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14:textFill>
                  <w14:solidFill>
                    <w14:schemeClr w14:val="tx1"/>
                  </w14:solidFill>
                </w14:textFill>
              </w:rPr>
            </w:pPr>
            <w:r>
              <w:rPr>
                <w:rFonts w:hint="eastAsia" w:ascii="Times New Roman" w:hAnsi="Times New Roman" w:cs="Times New Roman" w:eastAsiaTheme="minorEastAsia"/>
                <w:iCs/>
                <w:color w:val="000000" w:themeColor="text1"/>
                <w:w w:val="99"/>
                <w:kern w:val="28"/>
                <w:sz w:val="21"/>
                <w:szCs w:val="21"/>
                <w14:textFill>
                  <w14:solidFill>
                    <w14:schemeClr w14:val="tx1"/>
                  </w14:solidFill>
                </w14:textFill>
              </w:rPr>
              <w:t>2</w:t>
            </w:r>
          </w:p>
        </w:tc>
        <w:tc>
          <w:tcPr>
            <w:tcW w:w="1577" w:type="dxa"/>
            <w:vAlign w:val="center"/>
          </w:tcPr>
          <w:p w14:paraId="4AB896E7">
            <w:pPr>
              <w:adjustRightInd w:val="0"/>
              <w:snapToGrid w:val="0"/>
              <w:spacing w:line="360" w:lineRule="exact"/>
              <w:jc w:val="both"/>
              <w:rPr>
                <w:rFonts w:ascii="Times New Roman" w:hAnsi="Times New Roman" w:cs="Times New Roman" w:eastAsiaTheme="minorEastAsia"/>
                <w:iCs/>
                <w:color w:val="000000" w:themeColor="text1"/>
                <w:w w:val="99"/>
                <w:kern w:val="28"/>
                <w:sz w:val="21"/>
                <w:szCs w:val="21"/>
                <w14:textFill>
                  <w14:solidFill>
                    <w14:schemeClr w14:val="tx1"/>
                  </w14:solidFill>
                </w14:textFill>
              </w:rPr>
            </w:pPr>
            <w:r>
              <w:rPr>
                <w:rFonts w:hint="eastAsia" w:ascii="Times New Roman" w:hAnsi="Times New Roman" w:cs="Times New Roman" w:eastAsiaTheme="minorEastAsia"/>
                <w:iCs/>
                <w:color w:val="000000" w:themeColor="text1"/>
                <w:w w:val="99"/>
                <w:kern w:val="28"/>
                <w:sz w:val="21"/>
                <w:szCs w:val="21"/>
                <w14:textFill>
                  <w14:solidFill>
                    <w14:schemeClr w14:val="tx1"/>
                  </w14:solidFill>
                </w14:textFill>
              </w:rPr>
              <w:t>加强设备与场所密闭管理</w:t>
            </w:r>
          </w:p>
        </w:tc>
        <w:tc>
          <w:tcPr>
            <w:tcW w:w="5245" w:type="dxa"/>
            <w:vAlign w:val="center"/>
          </w:tcPr>
          <w:p w14:paraId="2681F349">
            <w:pPr>
              <w:adjustRightInd w:val="0"/>
              <w:snapToGrid w:val="0"/>
              <w:spacing w:line="360" w:lineRule="exact"/>
              <w:jc w:val="both"/>
              <w:rPr>
                <w:rFonts w:ascii="Times New Roman" w:hAnsi="Times New Roman" w:cs="Times New Roman" w:eastAsiaTheme="minorEastAsia"/>
                <w:iCs/>
                <w:color w:val="000000" w:themeColor="text1"/>
                <w:w w:val="99"/>
                <w:kern w:val="28"/>
                <w:sz w:val="21"/>
                <w:szCs w:val="21"/>
                <w14:textFill>
                  <w14:solidFill>
                    <w14:schemeClr w14:val="tx1"/>
                  </w14:solidFill>
                </w14:textFill>
              </w:rPr>
            </w:pPr>
            <w:r>
              <w:rPr>
                <w:rFonts w:hint="eastAsia" w:ascii="Times New Roman" w:hAnsi="Times New Roman" w:cs="Times New Roman" w:eastAsiaTheme="minorEastAsia"/>
                <w:iCs/>
                <w:color w:val="000000" w:themeColor="text1"/>
                <w:w w:val="99"/>
                <w:kern w:val="28"/>
                <w:sz w:val="21"/>
                <w:szCs w:val="21"/>
                <w14:textFill>
                  <w14:solidFill>
                    <w14:schemeClr w14:val="tx1"/>
                  </w14:solidFill>
                </w14:textFill>
              </w:rPr>
              <w:t>含 VOCs 物料应储存于密闭容器、包装袋，高效密封储罐，封闭式储库、料仓等。含VOCs 物料转移和输送，应采用密闭管道或密闭容器、罐车等。</w:t>
            </w:r>
          </w:p>
        </w:tc>
        <w:tc>
          <w:tcPr>
            <w:tcW w:w="1701" w:type="dxa"/>
            <w:vMerge w:val="continue"/>
            <w:vAlign w:val="center"/>
          </w:tcPr>
          <w:p w14:paraId="625F096A">
            <w:pPr>
              <w:widowControl/>
              <w:autoSpaceDE/>
              <w:autoSpaceDN/>
              <w:adjustRightInd w:val="0"/>
              <w:snapToGrid w:val="0"/>
              <w:spacing w:line="360" w:lineRule="exact"/>
              <w:jc w:val="center"/>
              <w:rPr>
                <w:rFonts w:ascii="Times New Roman" w:hAnsi="Times New Roman"/>
                <w:color w:val="000000" w:themeColor="text1"/>
                <w:sz w:val="21"/>
                <w:szCs w:val="21"/>
                <w:lang w:val="en-US" w:bidi="ar-SA"/>
                <w14:textFill>
                  <w14:solidFill>
                    <w14:schemeClr w14:val="tx1"/>
                  </w14:solidFill>
                </w14:textFill>
              </w:rPr>
            </w:pPr>
          </w:p>
        </w:tc>
      </w:tr>
      <w:tr w14:paraId="66B73A22">
        <w:tblPrEx>
          <w:tblBorders>
            <w:top w:val="single" w:color="auto" w:sz="6" w:space="0"/>
            <w:left w:val="single" w:color="auto" w:sz="6" w:space="0"/>
            <w:bottom w:val="single" w:color="auto" w:sz="6" w:space="0"/>
            <w:right w:val="single" w:color="auto" w:sz="6" w:space="0"/>
            <w:insideH w:val="single" w:color="auto" w:sz="4" w:space="0"/>
            <w:insideV w:val="single" w:color="auto" w:sz="6" w:space="0"/>
          </w:tblBorders>
          <w:tblCellMar>
            <w:top w:w="0" w:type="dxa"/>
            <w:left w:w="108" w:type="dxa"/>
            <w:bottom w:w="0" w:type="dxa"/>
            <w:right w:w="108" w:type="dxa"/>
          </w:tblCellMar>
        </w:tblPrEx>
        <w:trPr>
          <w:trHeight w:val="90" w:hRule="atLeast"/>
        </w:trPr>
        <w:tc>
          <w:tcPr>
            <w:tcW w:w="657" w:type="dxa"/>
            <w:vAlign w:val="center"/>
          </w:tcPr>
          <w:p w14:paraId="58C641B2">
            <w:pPr>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14:textFill>
                  <w14:solidFill>
                    <w14:schemeClr w14:val="tx1"/>
                  </w14:solidFill>
                </w14:textFill>
              </w:rPr>
            </w:pPr>
            <w:r>
              <w:rPr>
                <w:rFonts w:hint="eastAsia" w:ascii="Times New Roman" w:hAnsi="Times New Roman" w:cs="Times New Roman" w:eastAsiaTheme="minorEastAsia"/>
                <w:iCs/>
                <w:color w:val="000000" w:themeColor="text1"/>
                <w:w w:val="99"/>
                <w:kern w:val="28"/>
                <w:sz w:val="21"/>
                <w:szCs w:val="21"/>
                <w14:textFill>
                  <w14:solidFill>
                    <w14:schemeClr w14:val="tx1"/>
                  </w14:solidFill>
                </w14:textFill>
              </w:rPr>
              <w:t>3</w:t>
            </w:r>
          </w:p>
        </w:tc>
        <w:tc>
          <w:tcPr>
            <w:tcW w:w="1577" w:type="dxa"/>
            <w:vAlign w:val="center"/>
          </w:tcPr>
          <w:p w14:paraId="48D33CFA">
            <w:pPr>
              <w:adjustRightInd w:val="0"/>
              <w:snapToGrid w:val="0"/>
              <w:spacing w:line="360" w:lineRule="exact"/>
              <w:jc w:val="both"/>
              <w:rPr>
                <w:rFonts w:ascii="Times New Roman" w:hAnsi="Times New Roman" w:cs="Times New Roman" w:eastAsiaTheme="minorEastAsia"/>
                <w:iCs/>
                <w:color w:val="000000" w:themeColor="text1"/>
                <w:w w:val="99"/>
                <w:kern w:val="28"/>
                <w:sz w:val="21"/>
                <w:szCs w:val="21"/>
                <w14:textFill>
                  <w14:solidFill>
                    <w14:schemeClr w14:val="tx1"/>
                  </w14:solidFill>
                </w14:textFill>
              </w:rPr>
            </w:pPr>
            <w:r>
              <w:rPr>
                <w:rFonts w:hint="eastAsia" w:ascii="Times New Roman" w:hAnsi="Times New Roman" w:cs="Times New Roman" w:eastAsiaTheme="minorEastAsia"/>
                <w:iCs/>
                <w:color w:val="000000" w:themeColor="text1"/>
                <w:w w:val="99"/>
                <w:kern w:val="28"/>
                <w:sz w:val="21"/>
                <w:szCs w:val="21"/>
                <w14:textFill>
                  <w14:solidFill>
                    <w14:schemeClr w14:val="tx1"/>
                  </w14:solidFill>
                </w14:textFill>
              </w:rPr>
              <w:t>推进使用先进生产工艺</w:t>
            </w:r>
          </w:p>
        </w:tc>
        <w:tc>
          <w:tcPr>
            <w:tcW w:w="5245" w:type="dxa"/>
            <w:vAlign w:val="center"/>
          </w:tcPr>
          <w:p w14:paraId="6AD73190">
            <w:pPr>
              <w:adjustRightInd w:val="0"/>
              <w:snapToGrid w:val="0"/>
              <w:spacing w:line="360" w:lineRule="exact"/>
              <w:jc w:val="both"/>
              <w:rPr>
                <w:rFonts w:ascii="Times New Roman" w:hAnsi="Times New Roman" w:cs="Times New Roman" w:eastAsiaTheme="minorEastAsia"/>
                <w:iCs/>
                <w:color w:val="000000" w:themeColor="text1"/>
                <w:w w:val="99"/>
                <w:kern w:val="28"/>
                <w:sz w:val="21"/>
                <w:szCs w:val="21"/>
                <w14:textFill>
                  <w14:solidFill>
                    <w14:schemeClr w14:val="tx1"/>
                  </w14:solidFill>
                </w14:textFill>
              </w:rPr>
            </w:pPr>
            <w:r>
              <w:rPr>
                <w:rFonts w:hint="eastAsia" w:ascii="Times New Roman" w:hAnsi="Times New Roman" w:cs="Times New Roman" w:eastAsiaTheme="minorEastAsia"/>
                <w:iCs/>
                <w:color w:val="000000" w:themeColor="text1"/>
                <w:w w:val="99"/>
                <w:kern w:val="28"/>
                <w:sz w:val="21"/>
                <w:szCs w:val="21"/>
                <w14:textFill>
                  <w14:solidFill>
                    <w14:schemeClr w14:val="tx1"/>
                  </w14:solidFill>
                </w14:textFill>
              </w:rPr>
              <w:t>通过采用全密闭、连续化、自动化等生产技术，以及高效工艺与设备等，减少工艺过程无组织排放。挥发性有机液体装载优先采用底部装载方式。</w:t>
            </w:r>
          </w:p>
        </w:tc>
        <w:tc>
          <w:tcPr>
            <w:tcW w:w="1701" w:type="dxa"/>
            <w:vMerge w:val="continue"/>
            <w:vAlign w:val="center"/>
          </w:tcPr>
          <w:p w14:paraId="5C954CFC">
            <w:pPr>
              <w:widowControl/>
              <w:autoSpaceDE/>
              <w:autoSpaceDN/>
              <w:adjustRightInd w:val="0"/>
              <w:snapToGrid w:val="0"/>
              <w:spacing w:line="360" w:lineRule="exact"/>
              <w:jc w:val="center"/>
              <w:rPr>
                <w:rFonts w:ascii="Times New Roman" w:hAnsi="Times New Roman"/>
                <w:color w:val="000000" w:themeColor="text1"/>
                <w:sz w:val="21"/>
                <w:szCs w:val="21"/>
                <w:lang w:val="en-US" w:bidi="ar-SA"/>
                <w14:textFill>
                  <w14:solidFill>
                    <w14:schemeClr w14:val="tx1"/>
                  </w14:solidFill>
                </w14:textFill>
              </w:rPr>
            </w:pPr>
          </w:p>
        </w:tc>
      </w:tr>
      <w:tr w14:paraId="7B6966B8">
        <w:tblPrEx>
          <w:tblBorders>
            <w:top w:val="single" w:color="auto" w:sz="6" w:space="0"/>
            <w:left w:val="single" w:color="auto" w:sz="6" w:space="0"/>
            <w:bottom w:val="single" w:color="auto" w:sz="6" w:space="0"/>
            <w:right w:val="single" w:color="auto" w:sz="6" w:space="0"/>
            <w:insideH w:val="single" w:color="auto" w:sz="4" w:space="0"/>
            <w:insideV w:val="single" w:color="auto" w:sz="6" w:space="0"/>
          </w:tblBorders>
          <w:tblCellMar>
            <w:top w:w="0" w:type="dxa"/>
            <w:left w:w="108" w:type="dxa"/>
            <w:bottom w:w="0" w:type="dxa"/>
            <w:right w:w="108" w:type="dxa"/>
          </w:tblCellMar>
        </w:tblPrEx>
        <w:trPr>
          <w:trHeight w:val="90" w:hRule="atLeast"/>
        </w:trPr>
        <w:tc>
          <w:tcPr>
            <w:tcW w:w="657" w:type="dxa"/>
            <w:vAlign w:val="center"/>
          </w:tcPr>
          <w:p w14:paraId="1E3E1B59">
            <w:pPr>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14:textFill>
                  <w14:solidFill>
                    <w14:schemeClr w14:val="tx1"/>
                  </w14:solidFill>
                </w14:textFill>
              </w:rPr>
            </w:pPr>
            <w:r>
              <w:rPr>
                <w:rFonts w:hint="eastAsia" w:ascii="Times New Roman" w:hAnsi="Times New Roman" w:cs="Times New Roman" w:eastAsiaTheme="minorEastAsia"/>
                <w:iCs/>
                <w:color w:val="000000" w:themeColor="text1"/>
                <w:w w:val="99"/>
                <w:kern w:val="28"/>
                <w:sz w:val="21"/>
                <w:szCs w:val="21"/>
                <w14:textFill>
                  <w14:solidFill>
                    <w14:schemeClr w14:val="tx1"/>
                  </w14:solidFill>
                </w14:textFill>
              </w:rPr>
              <w:t>4</w:t>
            </w:r>
          </w:p>
        </w:tc>
        <w:tc>
          <w:tcPr>
            <w:tcW w:w="1577" w:type="dxa"/>
            <w:vAlign w:val="center"/>
          </w:tcPr>
          <w:p w14:paraId="4FABD583">
            <w:pPr>
              <w:adjustRightInd w:val="0"/>
              <w:snapToGrid w:val="0"/>
              <w:spacing w:line="360" w:lineRule="exact"/>
              <w:jc w:val="both"/>
              <w:rPr>
                <w:rFonts w:ascii="Times New Roman" w:hAnsi="Times New Roman" w:cs="Times New Roman" w:eastAsiaTheme="minorEastAsia"/>
                <w:iCs/>
                <w:color w:val="000000" w:themeColor="text1"/>
                <w:w w:val="99"/>
                <w:kern w:val="28"/>
                <w:sz w:val="21"/>
                <w:szCs w:val="21"/>
                <w14:textFill>
                  <w14:solidFill>
                    <w14:schemeClr w14:val="tx1"/>
                  </w14:solidFill>
                </w14:textFill>
              </w:rPr>
            </w:pPr>
            <w:r>
              <w:rPr>
                <w:rFonts w:hint="eastAsia" w:ascii="Times New Roman" w:hAnsi="Times New Roman" w:cs="Times New Roman" w:eastAsiaTheme="minorEastAsia"/>
                <w:iCs/>
                <w:color w:val="000000" w:themeColor="text1"/>
                <w:w w:val="99"/>
                <w:kern w:val="28"/>
                <w:sz w:val="21"/>
                <w:szCs w:val="21"/>
                <w14:textFill>
                  <w14:solidFill>
                    <w14:schemeClr w14:val="tx1"/>
                  </w14:solidFill>
                </w14:textFill>
              </w:rPr>
              <w:t>加大废水集输系统改造力度</w:t>
            </w:r>
          </w:p>
        </w:tc>
        <w:tc>
          <w:tcPr>
            <w:tcW w:w="5245" w:type="dxa"/>
            <w:vAlign w:val="center"/>
          </w:tcPr>
          <w:p w14:paraId="0E2AD491">
            <w:pPr>
              <w:adjustRightInd w:val="0"/>
              <w:snapToGrid w:val="0"/>
              <w:spacing w:line="360" w:lineRule="exact"/>
              <w:jc w:val="both"/>
              <w:rPr>
                <w:rFonts w:ascii="Times New Roman" w:hAnsi="Times New Roman" w:cs="Times New Roman" w:eastAsiaTheme="minorEastAsia"/>
                <w:iCs/>
                <w:color w:val="000000" w:themeColor="text1"/>
                <w:w w:val="99"/>
                <w:kern w:val="28"/>
                <w:sz w:val="21"/>
                <w:szCs w:val="21"/>
                <w14:textFill>
                  <w14:solidFill>
                    <w14:schemeClr w14:val="tx1"/>
                  </w14:solidFill>
                </w14:textFill>
              </w:rPr>
            </w:pPr>
            <w:r>
              <w:rPr>
                <w:rFonts w:hint="eastAsia" w:ascii="Times New Roman" w:hAnsi="Times New Roman" w:cs="Times New Roman" w:eastAsiaTheme="minorEastAsia"/>
                <w:iCs/>
                <w:color w:val="000000" w:themeColor="text1"/>
                <w:w w:val="99"/>
                <w:kern w:val="28"/>
                <w:sz w:val="21"/>
                <w:szCs w:val="21"/>
                <w14:textFill>
                  <w14:solidFill>
                    <w14:schemeClr w14:val="tx1"/>
                  </w14:solidFill>
                </w14:textFill>
              </w:rPr>
              <w:t>哈尔滨市、大庆市现有重点企业通过采取密闭管道等措施逐步替代地漏、沟、渠、井等敞开式集输方式。</w:t>
            </w:r>
          </w:p>
        </w:tc>
        <w:tc>
          <w:tcPr>
            <w:tcW w:w="1701" w:type="dxa"/>
            <w:vMerge w:val="continue"/>
            <w:vAlign w:val="center"/>
          </w:tcPr>
          <w:p w14:paraId="1C296737">
            <w:pPr>
              <w:widowControl/>
              <w:autoSpaceDE/>
              <w:autoSpaceDN/>
              <w:adjustRightInd w:val="0"/>
              <w:snapToGrid w:val="0"/>
              <w:spacing w:line="360" w:lineRule="exact"/>
              <w:jc w:val="center"/>
              <w:rPr>
                <w:rFonts w:ascii="Times New Roman" w:hAnsi="Times New Roman"/>
                <w:color w:val="000000" w:themeColor="text1"/>
                <w:sz w:val="21"/>
                <w:szCs w:val="21"/>
                <w:lang w:val="en-US" w:bidi="ar-SA"/>
                <w14:textFill>
                  <w14:solidFill>
                    <w14:schemeClr w14:val="tx1"/>
                  </w14:solidFill>
                </w14:textFill>
              </w:rPr>
            </w:pPr>
          </w:p>
        </w:tc>
      </w:tr>
    </w:tbl>
    <w:p w14:paraId="46E1F8D9">
      <w:pPr>
        <w:pStyle w:val="129"/>
        <w:spacing w:line="440" w:lineRule="exact"/>
        <w:ind w:firstLine="0" w:firstLineChars="0"/>
        <w:jc w:val="both"/>
        <w:outlineLvl w:val="3"/>
        <w:rPr>
          <w:rFonts w:ascii="Times New Roman" w:hAnsi="Times New Roman" w:eastAsiaTheme="minorEastAsia"/>
          <w:b/>
          <w:color w:val="000000" w:themeColor="text1"/>
          <w:w w:val="99"/>
          <w14:textFill>
            <w14:solidFill>
              <w14:schemeClr w14:val="tx1"/>
            </w14:solidFill>
          </w14:textFill>
        </w:rPr>
      </w:pPr>
      <w:r>
        <w:rPr>
          <w:rFonts w:ascii="Times New Roman" w:hAnsi="Times New Roman" w:eastAsiaTheme="minorEastAsia"/>
          <w:b/>
          <w:color w:val="000000" w:themeColor="text1"/>
          <w:w w:val="99"/>
          <w14:textFill>
            <w14:solidFill>
              <w14:schemeClr w14:val="tx1"/>
            </w14:solidFill>
          </w14:textFill>
        </w:rPr>
        <w:t>1.4.</w:t>
      </w:r>
      <w:r>
        <w:rPr>
          <w:rFonts w:ascii="Times New Roman" w:hAnsi="Times New Roman" w:eastAsiaTheme="minorEastAsia"/>
          <w:b/>
          <w:color w:val="000000" w:themeColor="text1"/>
          <w:w w:val="99"/>
          <w:lang w:val="en-US"/>
          <w14:textFill>
            <w14:solidFill>
              <w14:schemeClr w14:val="tx1"/>
            </w14:solidFill>
          </w14:textFill>
        </w:rPr>
        <w:t>2</w:t>
      </w:r>
      <w:r>
        <w:rPr>
          <w:rFonts w:ascii="Times New Roman" w:hAnsi="Times New Roman" w:eastAsiaTheme="minorEastAsia"/>
          <w:b/>
          <w:color w:val="000000" w:themeColor="text1"/>
          <w:w w:val="99"/>
          <w14:textFill>
            <w14:solidFill>
              <w14:schemeClr w14:val="tx1"/>
            </w14:solidFill>
          </w14:textFill>
        </w:rPr>
        <w:t>.</w:t>
      </w:r>
      <w:r>
        <w:rPr>
          <w:rFonts w:ascii="Times New Roman" w:hAnsi="Times New Roman" w:eastAsiaTheme="minorEastAsia"/>
          <w:b/>
          <w:color w:val="000000" w:themeColor="text1"/>
          <w:w w:val="99"/>
          <w:lang w:val="en-US"/>
          <w14:textFill>
            <w14:solidFill>
              <w14:schemeClr w14:val="tx1"/>
            </w14:solidFill>
          </w14:textFill>
        </w:rPr>
        <w:t>17</w:t>
      </w:r>
      <w:r>
        <w:rPr>
          <w:rFonts w:ascii="Times New Roman" w:hAnsi="Times New Roman" w:eastAsiaTheme="minorEastAsia"/>
          <w:b/>
          <w:color w:val="000000" w:themeColor="text1"/>
          <w:w w:val="99"/>
          <w14:textFill>
            <w14:solidFill>
              <w14:schemeClr w14:val="tx1"/>
            </w14:solidFill>
          </w14:textFill>
        </w:rPr>
        <w:t>与黑政办规〔2021〕18号符合性分析</w:t>
      </w:r>
    </w:p>
    <w:p w14:paraId="66147279">
      <w:pPr>
        <w:spacing w:line="440" w:lineRule="exact"/>
        <w:ind w:firstLine="474" w:firstLineChars="200"/>
        <w:jc w:val="both"/>
        <w:rPr>
          <w:rFonts w:ascii="Times New Roman" w:hAnsi="Times New Roman" w:cs="Times New Roman" w:eastAsiaTheme="minorEastAsia"/>
          <w:iCs/>
          <w:color w:val="000000" w:themeColor="text1"/>
          <w:w w:val="99"/>
          <w:kern w:val="2"/>
          <w:sz w:val="24"/>
          <w:szCs w:val="24"/>
          <w14:textFill>
            <w14:solidFill>
              <w14:schemeClr w14:val="tx1"/>
            </w14:solidFill>
          </w14:textFill>
        </w:rPr>
      </w:pPr>
      <w:r>
        <w:rPr>
          <w:rFonts w:ascii="Times New Roman" w:hAnsi="Times New Roman" w:cs="Times New Roman" w:eastAsiaTheme="minorEastAsia"/>
          <w:iCs/>
          <w:color w:val="000000" w:themeColor="text1"/>
          <w:w w:val="99"/>
          <w:kern w:val="2"/>
          <w:sz w:val="24"/>
          <w:szCs w:val="24"/>
          <w14:textFill>
            <w14:solidFill>
              <w14:schemeClr w14:val="tx1"/>
            </w14:solidFill>
          </w14:textFill>
        </w:rPr>
        <w:t>本项目与《黑龙江省人民政府办公厅关于建设占用耕地耕作层土壤剥离利用工作的指导意见（试行）》（黑政办规〔2021〕18号）符合性分析见表1.4-</w:t>
      </w:r>
      <w:r>
        <w:rPr>
          <w:rFonts w:ascii="Times New Roman" w:hAnsi="Times New Roman" w:cs="Times New Roman" w:eastAsiaTheme="minorEastAsia"/>
          <w:iCs/>
          <w:color w:val="000000" w:themeColor="text1"/>
          <w:w w:val="99"/>
          <w:kern w:val="2"/>
          <w:sz w:val="24"/>
          <w:szCs w:val="24"/>
          <w:lang w:val="en-US"/>
          <w14:textFill>
            <w14:solidFill>
              <w14:schemeClr w14:val="tx1"/>
            </w14:solidFill>
          </w14:textFill>
        </w:rPr>
        <w:t>12</w:t>
      </w:r>
      <w:r>
        <w:rPr>
          <w:rFonts w:ascii="Times New Roman" w:hAnsi="Times New Roman" w:cs="Times New Roman" w:eastAsiaTheme="minorEastAsia"/>
          <w:iCs/>
          <w:color w:val="000000" w:themeColor="text1"/>
          <w:w w:val="99"/>
          <w:kern w:val="2"/>
          <w:sz w:val="24"/>
          <w:szCs w:val="24"/>
          <w14:textFill>
            <w14:solidFill>
              <w14:schemeClr w14:val="tx1"/>
            </w14:solidFill>
          </w14:textFill>
        </w:rPr>
        <w:t>。</w:t>
      </w:r>
    </w:p>
    <w:p w14:paraId="39787D66">
      <w:pPr>
        <w:spacing w:line="440" w:lineRule="exact"/>
        <w:ind w:firstLine="476" w:firstLineChars="200"/>
        <w:jc w:val="both"/>
        <w:rPr>
          <w:rFonts w:ascii="Times New Roman" w:hAnsi="Times New Roman" w:cs="Times New Roman" w:eastAsiaTheme="minorEastAsia"/>
          <w:b/>
          <w:iCs/>
          <w:color w:val="000000" w:themeColor="text1"/>
          <w:w w:val="99"/>
          <w:kern w:val="2"/>
          <w:sz w:val="24"/>
          <w:szCs w:val="24"/>
          <w14:textFill>
            <w14:solidFill>
              <w14:schemeClr w14:val="tx1"/>
            </w14:solidFill>
          </w14:textFill>
        </w:rPr>
      </w:pPr>
      <w:r>
        <w:rPr>
          <w:rFonts w:ascii="Times New Roman" w:hAnsi="Times New Roman" w:cs="Times New Roman" w:eastAsiaTheme="minorEastAsia"/>
          <w:b/>
          <w:iCs/>
          <w:color w:val="000000" w:themeColor="text1"/>
          <w:w w:val="99"/>
          <w:kern w:val="2"/>
          <w:sz w:val="24"/>
          <w:szCs w:val="24"/>
          <w14:textFill>
            <w14:solidFill>
              <w14:schemeClr w14:val="tx1"/>
            </w14:solidFill>
          </w14:textFill>
        </w:rPr>
        <w:t>表1.4-</w:t>
      </w:r>
      <w:r>
        <w:rPr>
          <w:rFonts w:ascii="Times New Roman" w:hAnsi="Times New Roman" w:cs="Times New Roman" w:eastAsiaTheme="minorEastAsia"/>
          <w:b/>
          <w:iCs/>
          <w:color w:val="000000" w:themeColor="text1"/>
          <w:w w:val="99"/>
          <w:kern w:val="2"/>
          <w:sz w:val="24"/>
          <w:szCs w:val="24"/>
          <w:lang w:val="en-US"/>
          <w14:textFill>
            <w14:solidFill>
              <w14:schemeClr w14:val="tx1"/>
            </w14:solidFill>
          </w14:textFill>
        </w:rPr>
        <w:t>12</w:t>
      </w:r>
      <w:r>
        <w:rPr>
          <w:rFonts w:ascii="Times New Roman" w:hAnsi="Times New Roman" w:cs="Times New Roman" w:eastAsiaTheme="minorEastAsia"/>
          <w:b/>
          <w:iCs/>
          <w:color w:val="000000" w:themeColor="text1"/>
          <w:w w:val="99"/>
          <w:kern w:val="2"/>
          <w:sz w:val="24"/>
          <w:szCs w:val="24"/>
          <w14:textFill>
            <w14:solidFill>
              <w14:schemeClr w14:val="tx1"/>
            </w14:solidFill>
          </w14:textFill>
        </w:rPr>
        <w:t xml:space="preserve">    本项目与</w:t>
      </w:r>
      <w:r>
        <w:rPr>
          <w:rFonts w:ascii="Times New Roman" w:hAnsi="Times New Roman" w:cs="Times New Roman" w:eastAsiaTheme="minorEastAsia"/>
          <w:b/>
          <w:color w:val="000000" w:themeColor="text1"/>
          <w:w w:val="99"/>
          <w:sz w:val="24"/>
          <w:szCs w:val="24"/>
          <w14:textFill>
            <w14:solidFill>
              <w14:schemeClr w14:val="tx1"/>
            </w14:solidFill>
          </w14:textFill>
        </w:rPr>
        <w:t>黑政办规〔2021〕18号</w:t>
      </w:r>
      <w:r>
        <w:rPr>
          <w:rFonts w:ascii="Times New Roman" w:hAnsi="Times New Roman" w:cs="Times New Roman" w:eastAsiaTheme="minorEastAsia"/>
          <w:b/>
          <w:iCs/>
          <w:color w:val="000000" w:themeColor="text1"/>
          <w:w w:val="99"/>
          <w:kern w:val="2"/>
          <w:sz w:val="24"/>
          <w:szCs w:val="24"/>
          <w14:textFill>
            <w14:solidFill>
              <w14:schemeClr w14:val="tx1"/>
            </w14:solidFill>
          </w14:textFill>
        </w:rPr>
        <w:t>相关要求符合性一览表</w:t>
      </w:r>
    </w:p>
    <w:tbl>
      <w:tblPr>
        <w:tblStyle w:val="8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3797"/>
        <w:gridCol w:w="3844"/>
        <w:gridCol w:w="940"/>
      </w:tblGrid>
      <w:tr w14:paraId="0F133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Align w:val="center"/>
          </w:tcPr>
          <w:p w14:paraId="5E6F8C0B">
            <w:pPr>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14:textFill>
                  <w14:solidFill>
                    <w14:schemeClr w14:val="tx1"/>
                  </w14:solidFill>
                </w14:textFill>
              </w:rPr>
            </w:pPr>
            <w:r>
              <w:rPr>
                <w:rFonts w:ascii="Times New Roman" w:hAnsi="Times New Roman" w:cs="Times New Roman" w:eastAsiaTheme="minorEastAsia"/>
                <w:iCs/>
                <w:color w:val="000000" w:themeColor="text1"/>
                <w:w w:val="99"/>
                <w:kern w:val="28"/>
                <w:sz w:val="21"/>
                <w:szCs w:val="21"/>
                <w14:textFill>
                  <w14:solidFill>
                    <w14:schemeClr w14:val="tx1"/>
                  </w14:solidFill>
                </w14:textFill>
              </w:rPr>
              <w:t>序号</w:t>
            </w:r>
          </w:p>
        </w:tc>
        <w:tc>
          <w:tcPr>
            <w:tcW w:w="2045" w:type="pct"/>
            <w:vAlign w:val="center"/>
          </w:tcPr>
          <w:p w14:paraId="785C619A">
            <w:pPr>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14:textFill>
                  <w14:solidFill>
                    <w14:schemeClr w14:val="tx1"/>
                  </w14:solidFill>
                </w14:textFill>
              </w:rPr>
            </w:pPr>
            <w:r>
              <w:rPr>
                <w:rFonts w:ascii="Times New Roman" w:hAnsi="Times New Roman" w:cs="Times New Roman" w:eastAsiaTheme="minorEastAsia"/>
                <w:iCs/>
                <w:color w:val="000000" w:themeColor="text1"/>
                <w:w w:val="99"/>
                <w:kern w:val="28"/>
                <w:sz w:val="21"/>
                <w:szCs w:val="21"/>
                <w14:textFill>
                  <w14:solidFill>
                    <w14:schemeClr w14:val="tx1"/>
                  </w14:solidFill>
                </w14:textFill>
              </w:rPr>
              <w:t>文件要求</w:t>
            </w:r>
          </w:p>
        </w:tc>
        <w:tc>
          <w:tcPr>
            <w:tcW w:w="2070" w:type="pct"/>
            <w:vAlign w:val="center"/>
          </w:tcPr>
          <w:p w14:paraId="0B194876">
            <w:pPr>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14:textFill>
                  <w14:solidFill>
                    <w14:schemeClr w14:val="tx1"/>
                  </w14:solidFill>
                </w14:textFill>
              </w:rPr>
            </w:pPr>
            <w:r>
              <w:rPr>
                <w:rFonts w:ascii="Times New Roman" w:hAnsi="Times New Roman" w:cs="Times New Roman" w:eastAsiaTheme="minorEastAsia"/>
                <w:iCs/>
                <w:color w:val="000000" w:themeColor="text1"/>
                <w:w w:val="99"/>
                <w:kern w:val="28"/>
                <w:sz w:val="21"/>
                <w:szCs w:val="21"/>
                <w14:textFill>
                  <w14:solidFill>
                    <w14:schemeClr w14:val="tx1"/>
                  </w14:solidFill>
                </w14:textFill>
              </w:rPr>
              <w:t>符合性分析</w:t>
            </w:r>
          </w:p>
        </w:tc>
        <w:tc>
          <w:tcPr>
            <w:tcW w:w="506" w:type="pct"/>
            <w:vAlign w:val="center"/>
          </w:tcPr>
          <w:p w14:paraId="63FD7F8D">
            <w:pPr>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14:textFill>
                  <w14:solidFill>
                    <w14:schemeClr w14:val="tx1"/>
                  </w14:solidFill>
                </w14:textFill>
              </w:rPr>
            </w:pPr>
            <w:r>
              <w:rPr>
                <w:rFonts w:ascii="Times New Roman" w:hAnsi="Times New Roman" w:cs="Times New Roman" w:eastAsiaTheme="minorEastAsia"/>
                <w:iCs/>
                <w:color w:val="000000" w:themeColor="text1"/>
                <w:w w:val="99"/>
                <w:kern w:val="28"/>
                <w:sz w:val="21"/>
                <w:szCs w:val="21"/>
                <w14:textFill>
                  <w14:solidFill>
                    <w14:schemeClr w14:val="tx1"/>
                  </w14:solidFill>
                </w14:textFill>
              </w:rPr>
              <w:t>符合性</w:t>
            </w:r>
          </w:p>
        </w:tc>
      </w:tr>
      <w:tr w14:paraId="3408F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Align w:val="center"/>
          </w:tcPr>
          <w:p w14:paraId="6F1593B6">
            <w:pPr>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14:textFill>
                  <w14:solidFill>
                    <w14:schemeClr w14:val="tx1"/>
                  </w14:solidFill>
                </w14:textFill>
              </w:rPr>
            </w:pPr>
            <w:r>
              <w:rPr>
                <w:rFonts w:ascii="Times New Roman" w:hAnsi="Times New Roman" w:cs="Times New Roman" w:eastAsiaTheme="minorEastAsia"/>
                <w:iCs/>
                <w:color w:val="000000" w:themeColor="text1"/>
                <w:w w:val="99"/>
                <w:kern w:val="28"/>
                <w:sz w:val="21"/>
                <w:szCs w:val="21"/>
                <w14:textFill>
                  <w14:solidFill>
                    <w14:schemeClr w14:val="tx1"/>
                  </w14:solidFill>
                </w14:textFill>
              </w:rPr>
              <w:t>1</w:t>
            </w:r>
          </w:p>
        </w:tc>
        <w:tc>
          <w:tcPr>
            <w:tcW w:w="2045" w:type="pct"/>
            <w:vAlign w:val="center"/>
          </w:tcPr>
          <w:p w14:paraId="29D0921F">
            <w:pPr>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14:textFill>
                  <w14:solidFill>
                    <w14:schemeClr w14:val="tx1"/>
                  </w14:solidFill>
                </w14:textFill>
              </w:rPr>
            </w:pPr>
            <w:r>
              <w:rPr>
                <w:rFonts w:ascii="Times New Roman" w:hAnsi="Times New Roman" w:cs="Times New Roman" w:eastAsiaTheme="minorEastAsia"/>
                <w:iCs/>
                <w:color w:val="000000" w:themeColor="text1"/>
                <w:w w:val="99"/>
                <w:kern w:val="28"/>
                <w:sz w:val="21"/>
                <w:szCs w:val="21"/>
                <w14:textFill>
                  <w14:solidFill>
                    <w14:schemeClr w14:val="tx1"/>
                  </w14:solidFill>
                </w14:textFill>
              </w:rPr>
              <w:t>成片开发和城镇批次用地占用耕地的，应在供地前实施耕作层土壤剥离；单独选址项目及其他需要剥离的项目，应在开工建设前按照剥离利用方案要求实施耕作层土壤剥离，并将剥离土壤存储在指定地点或直接输送到再利用场所。耕作层土壤剥离及运输过程中，应采取水土保持和扬尘防治措施，防止土壤和环境污染。土壤存储点的选取应遵循就近存储、易于存放、专人管理的原则，尽量利用废弃土地、闲置建设用地和未利用地，避让永久基本农田和生态保护红线、水源地等敏感区域。土壤存储要采取必要的工程防护和保育措施，防止出现水土流失、土壤质量退化和安全隐患。</w:t>
            </w:r>
          </w:p>
        </w:tc>
        <w:tc>
          <w:tcPr>
            <w:tcW w:w="2070" w:type="pct"/>
            <w:vAlign w:val="center"/>
          </w:tcPr>
          <w:p w14:paraId="41828368">
            <w:pPr>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14:textFill>
                  <w14:solidFill>
                    <w14:schemeClr w14:val="tx1"/>
                  </w14:solidFill>
                </w14:textFill>
              </w:rPr>
            </w:pPr>
            <w:r>
              <w:rPr>
                <w:rFonts w:ascii="Times New Roman" w:hAnsi="Times New Roman" w:cs="Times New Roman" w:eastAsiaTheme="minorEastAsia"/>
                <w:iCs/>
                <w:color w:val="000000" w:themeColor="text1"/>
                <w:w w:val="99"/>
                <w:kern w:val="28"/>
                <w:sz w:val="21"/>
                <w:szCs w:val="21"/>
                <w14:textFill>
                  <w14:solidFill>
                    <w14:schemeClr w14:val="tx1"/>
                  </w14:solidFill>
                </w14:textFill>
              </w:rPr>
              <w:t>本项目建设占用一般草地及一般耕地。项目建设</w:t>
            </w:r>
            <w:r>
              <w:rPr>
                <w:rFonts w:hint="eastAsia" w:ascii="Times New Roman" w:hAnsi="Times New Roman" w:cs="Times New Roman" w:eastAsiaTheme="minorEastAsia"/>
                <w:iCs/>
                <w:color w:val="000000" w:themeColor="text1"/>
                <w:w w:val="99"/>
                <w:kern w:val="28"/>
                <w:sz w:val="21"/>
                <w:szCs w:val="21"/>
                <w14:textFill>
                  <w14:solidFill>
                    <w14:schemeClr w14:val="tx1"/>
                  </w14:solidFill>
                </w14:textFill>
              </w:rPr>
              <w:t>不</w:t>
            </w:r>
            <w:r>
              <w:rPr>
                <w:rFonts w:ascii="Times New Roman" w:hAnsi="Times New Roman" w:cs="Times New Roman" w:eastAsiaTheme="minorEastAsia"/>
                <w:iCs/>
                <w:color w:val="000000" w:themeColor="text1"/>
                <w:w w:val="99"/>
                <w:kern w:val="28"/>
                <w:sz w:val="21"/>
                <w:szCs w:val="21"/>
                <w14:textFill>
                  <w14:solidFill>
                    <w14:schemeClr w14:val="tx1"/>
                  </w14:solidFill>
                </w14:textFill>
              </w:rPr>
              <w:t>新增永久占地，目在施工过程中针对临时占地，应剥离占地内0.3m的表土，采用分层开挖，分层堆放，集中暂存于施工管线临时占地内的表土剥离临时堆放区，并采取苫布遮盖，表土剥离临时堆放区周围设置排水沟等措施防止水土流失，并定期采取洒水抑尘措施，耕作层土壤剥离完成后，由当地自然资源主管部门会同农业农村主管部门组织验收，验收合格的方能实施项目建设。针对永久占地将剥离的表土按照“占一补一，质量相等”的要求进行补偿并易地补充耕地，针对临时占地在将剥离的表土在施工结束后分层回填，并及时恢复地表植被。</w:t>
            </w:r>
          </w:p>
        </w:tc>
        <w:tc>
          <w:tcPr>
            <w:tcW w:w="506" w:type="pct"/>
            <w:vAlign w:val="center"/>
          </w:tcPr>
          <w:p w14:paraId="46F805F2">
            <w:pPr>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14:textFill>
                  <w14:solidFill>
                    <w14:schemeClr w14:val="tx1"/>
                  </w14:solidFill>
                </w14:textFill>
              </w:rPr>
            </w:pPr>
            <w:r>
              <w:rPr>
                <w:rFonts w:ascii="Times New Roman" w:hAnsi="Times New Roman" w:cs="Times New Roman" w:eastAsiaTheme="minorEastAsia"/>
                <w:iCs/>
                <w:color w:val="000000" w:themeColor="text1"/>
                <w:w w:val="99"/>
                <w:kern w:val="28"/>
                <w:sz w:val="21"/>
                <w:szCs w:val="21"/>
                <w14:textFill>
                  <w14:solidFill>
                    <w14:schemeClr w14:val="tx1"/>
                  </w14:solidFill>
                </w14:textFill>
              </w:rPr>
              <w:t>符合</w:t>
            </w:r>
          </w:p>
        </w:tc>
      </w:tr>
    </w:tbl>
    <w:p w14:paraId="569C69B2">
      <w:pPr>
        <w:spacing w:line="440" w:lineRule="exact"/>
        <w:ind w:firstLine="474" w:firstLineChars="200"/>
        <w:jc w:val="both"/>
        <w:rPr>
          <w:rFonts w:ascii="Times New Roman" w:hAnsi="Times New Roman" w:cs="Times New Roman" w:eastAsiaTheme="minorEastAsia"/>
          <w:iCs/>
          <w:color w:val="000000" w:themeColor="text1"/>
          <w:w w:val="99"/>
          <w:kern w:val="2"/>
          <w:sz w:val="24"/>
          <w:szCs w:val="24"/>
          <w14:textFill>
            <w14:solidFill>
              <w14:schemeClr w14:val="tx1"/>
            </w14:solidFill>
          </w14:textFill>
        </w:rPr>
      </w:pPr>
      <w:r>
        <w:rPr>
          <w:rFonts w:ascii="Times New Roman" w:hAnsi="Times New Roman" w:cs="Times New Roman" w:eastAsiaTheme="minorEastAsia"/>
          <w:iCs/>
          <w:color w:val="000000" w:themeColor="text1"/>
          <w:w w:val="99"/>
          <w:kern w:val="2"/>
          <w:sz w:val="24"/>
          <w:szCs w:val="24"/>
          <w14:textFill>
            <w14:solidFill>
              <w14:schemeClr w14:val="tx1"/>
            </w14:solidFill>
          </w14:textFill>
        </w:rPr>
        <w:t>根据以上分析，本项目符合《黑龙江省人民政府办公厅关于建设占用耕地耕作层土壤剥离利用工作的指导意见（试行）》（黑政办规〔2021〕18号）中要求。</w:t>
      </w:r>
    </w:p>
    <w:p w14:paraId="498FC2E1">
      <w:pPr>
        <w:pStyle w:val="129"/>
        <w:spacing w:line="440" w:lineRule="exact"/>
        <w:ind w:firstLine="0" w:firstLineChars="0"/>
        <w:jc w:val="both"/>
        <w:outlineLvl w:val="3"/>
        <w:rPr>
          <w:rFonts w:ascii="Times New Roman" w:hAnsi="Times New Roman" w:eastAsiaTheme="minorEastAsia"/>
          <w:b/>
          <w:color w:val="000000" w:themeColor="text1"/>
          <w:w w:val="99"/>
          <w:sz w:val="24"/>
          <w:szCs w:val="24"/>
          <w14:textFill>
            <w14:solidFill>
              <w14:schemeClr w14:val="tx1"/>
            </w14:solidFill>
          </w14:textFill>
        </w:rPr>
      </w:pPr>
      <w:r>
        <w:rPr>
          <w:rFonts w:ascii="Times New Roman" w:hAnsi="Times New Roman" w:eastAsiaTheme="minorEastAsia"/>
          <w:b/>
          <w:color w:val="000000" w:themeColor="text1"/>
          <w:w w:val="99"/>
          <w:sz w:val="24"/>
          <w:szCs w:val="24"/>
          <w14:textFill>
            <w14:solidFill>
              <w14:schemeClr w14:val="tx1"/>
            </w14:solidFill>
          </w14:textFill>
        </w:rPr>
        <w:t>1.4.</w:t>
      </w:r>
      <w:r>
        <w:rPr>
          <w:rFonts w:ascii="Times New Roman" w:hAnsi="Times New Roman" w:eastAsiaTheme="minorEastAsia"/>
          <w:b/>
          <w:color w:val="000000" w:themeColor="text1"/>
          <w:w w:val="99"/>
          <w:sz w:val="24"/>
          <w:szCs w:val="24"/>
          <w:lang w:val="en-US"/>
          <w14:textFill>
            <w14:solidFill>
              <w14:schemeClr w14:val="tx1"/>
            </w14:solidFill>
          </w14:textFill>
        </w:rPr>
        <w:t>2</w:t>
      </w:r>
      <w:r>
        <w:rPr>
          <w:rFonts w:ascii="Times New Roman" w:hAnsi="Times New Roman" w:eastAsiaTheme="minorEastAsia"/>
          <w:b/>
          <w:color w:val="000000" w:themeColor="text1"/>
          <w:w w:val="99"/>
          <w:sz w:val="24"/>
          <w:szCs w:val="24"/>
          <w14:textFill>
            <w14:solidFill>
              <w14:schemeClr w14:val="tx1"/>
            </w14:solidFill>
          </w14:textFill>
        </w:rPr>
        <w:t>.</w:t>
      </w:r>
      <w:r>
        <w:rPr>
          <w:rFonts w:ascii="Times New Roman" w:hAnsi="Times New Roman" w:eastAsiaTheme="minorEastAsia"/>
          <w:b/>
          <w:color w:val="000000" w:themeColor="text1"/>
          <w:w w:val="99"/>
          <w:sz w:val="24"/>
          <w:szCs w:val="24"/>
          <w:lang w:val="en-US"/>
          <w14:textFill>
            <w14:solidFill>
              <w14:schemeClr w14:val="tx1"/>
            </w14:solidFill>
          </w14:textFill>
        </w:rPr>
        <w:t>18</w:t>
      </w:r>
      <w:r>
        <w:rPr>
          <w:rFonts w:ascii="Times New Roman" w:hAnsi="Times New Roman" w:eastAsiaTheme="minorEastAsia"/>
          <w:b/>
          <w:color w:val="000000" w:themeColor="text1"/>
          <w:w w:val="99"/>
          <w:sz w:val="24"/>
          <w:szCs w:val="24"/>
          <w14:textFill>
            <w14:solidFill>
              <w14:schemeClr w14:val="tx1"/>
            </w14:solidFill>
          </w14:textFill>
        </w:rPr>
        <w:t>与</w:t>
      </w:r>
      <w:r>
        <w:rPr>
          <w:rFonts w:ascii="Times New Roman" w:hAnsi="Times New Roman" w:eastAsiaTheme="minorEastAsia"/>
          <w:b/>
          <w:color w:val="000000" w:themeColor="text1"/>
          <w:w w:val="99"/>
          <w:sz w:val="24"/>
          <w:szCs w:val="24"/>
          <w:lang w:val="en-US"/>
          <w14:textFill>
            <w14:solidFill>
              <w14:schemeClr w14:val="tx1"/>
            </w14:solidFill>
          </w14:textFill>
        </w:rPr>
        <w:t>《中华人民共和国黑土地保护法》的符合性分析</w:t>
      </w:r>
    </w:p>
    <w:p w14:paraId="2B341D30">
      <w:pPr>
        <w:spacing w:line="440" w:lineRule="exact"/>
        <w:ind w:firstLine="474" w:firstLineChars="200"/>
        <w:jc w:val="both"/>
        <w:rPr>
          <w:rFonts w:ascii="Times New Roman" w:hAnsi="Times New Roman" w:cs="Times New Roman" w:eastAsiaTheme="minorEastAsia"/>
          <w:iCs/>
          <w:color w:val="000000" w:themeColor="text1"/>
          <w:w w:val="99"/>
          <w:kern w:val="2"/>
          <w:sz w:val="24"/>
          <w:szCs w:val="24"/>
          <w14:textFill>
            <w14:solidFill>
              <w14:schemeClr w14:val="tx1"/>
            </w14:solidFill>
          </w14:textFill>
        </w:rPr>
      </w:pPr>
      <w:r>
        <w:rPr>
          <w:rFonts w:ascii="Times New Roman" w:hAnsi="Times New Roman" w:cs="Times New Roman" w:eastAsiaTheme="minorEastAsia"/>
          <w:iCs/>
          <w:color w:val="000000" w:themeColor="text1"/>
          <w:w w:val="99"/>
          <w:kern w:val="2"/>
          <w:sz w:val="24"/>
          <w:szCs w:val="24"/>
          <w14:textFill>
            <w14:solidFill>
              <w14:schemeClr w14:val="tx1"/>
            </w14:solidFill>
          </w14:textFill>
        </w:rPr>
        <w:t>本项目与</w:t>
      </w:r>
      <w:r>
        <w:rPr>
          <w:rFonts w:ascii="Times New Roman" w:hAnsi="Times New Roman" w:cs="Times New Roman" w:eastAsiaTheme="minorEastAsia"/>
          <w:iCs/>
          <w:color w:val="000000" w:themeColor="text1"/>
          <w:w w:val="99"/>
          <w:kern w:val="2"/>
          <w:sz w:val="24"/>
          <w:szCs w:val="24"/>
          <w:lang w:val="en-US"/>
          <w14:textFill>
            <w14:solidFill>
              <w14:schemeClr w14:val="tx1"/>
            </w14:solidFill>
          </w14:textFill>
        </w:rPr>
        <w:t>《中华人民共和国黑土地保护法》</w:t>
      </w:r>
      <w:r>
        <w:rPr>
          <w:rFonts w:ascii="Times New Roman" w:hAnsi="Times New Roman" w:cs="Times New Roman" w:eastAsiaTheme="minorEastAsia"/>
          <w:iCs/>
          <w:color w:val="000000" w:themeColor="text1"/>
          <w:w w:val="99"/>
          <w:kern w:val="2"/>
          <w:sz w:val="24"/>
          <w:szCs w:val="24"/>
          <w14:textFill>
            <w14:solidFill>
              <w14:schemeClr w14:val="tx1"/>
            </w14:solidFill>
          </w14:textFill>
        </w:rPr>
        <w:t>（中华人民共和国主席令第一一五号）符合性分析见表1.4-</w:t>
      </w:r>
      <w:r>
        <w:rPr>
          <w:rFonts w:ascii="Times New Roman" w:hAnsi="Times New Roman" w:cs="Times New Roman" w:eastAsiaTheme="minorEastAsia"/>
          <w:iCs/>
          <w:color w:val="000000" w:themeColor="text1"/>
          <w:w w:val="99"/>
          <w:kern w:val="2"/>
          <w:sz w:val="24"/>
          <w:szCs w:val="24"/>
          <w:lang w:val="en-US"/>
          <w14:textFill>
            <w14:solidFill>
              <w14:schemeClr w14:val="tx1"/>
            </w14:solidFill>
          </w14:textFill>
        </w:rPr>
        <w:t>13</w:t>
      </w:r>
      <w:r>
        <w:rPr>
          <w:rFonts w:ascii="Times New Roman" w:hAnsi="Times New Roman" w:cs="Times New Roman" w:eastAsiaTheme="minorEastAsia"/>
          <w:iCs/>
          <w:color w:val="000000" w:themeColor="text1"/>
          <w:w w:val="99"/>
          <w:kern w:val="2"/>
          <w:sz w:val="24"/>
          <w:szCs w:val="24"/>
          <w14:textFill>
            <w14:solidFill>
              <w14:schemeClr w14:val="tx1"/>
            </w14:solidFill>
          </w14:textFill>
        </w:rPr>
        <w:t>。</w:t>
      </w:r>
    </w:p>
    <w:p w14:paraId="0950800D">
      <w:pPr>
        <w:spacing w:line="440" w:lineRule="exact"/>
        <w:ind w:firstLine="476" w:firstLineChars="200"/>
        <w:jc w:val="both"/>
        <w:rPr>
          <w:rFonts w:ascii="Times New Roman" w:hAnsi="Times New Roman" w:cs="Times New Roman" w:eastAsiaTheme="minorEastAsia"/>
          <w:b/>
          <w:iCs/>
          <w:color w:val="000000" w:themeColor="text1"/>
          <w:w w:val="99"/>
          <w:kern w:val="2"/>
          <w:sz w:val="24"/>
          <w:szCs w:val="24"/>
          <w14:textFill>
            <w14:solidFill>
              <w14:schemeClr w14:val="tx1"/>
            </w14:solidFill>
          </w14:textFill>
        </w:rPr>
      </w:pPr>
      <w:r>
        <w:rPr>
          <w:rFonts w:ascii="Times New Roman" w:hAnsi="Times New Roman" w:cs="Times New Roman" w:eastAsiaTheme="minorEastAsia"/>
          <w:b/>
          <w:iCs/>
          <w:color w:val="000000" w:themeColor="text1"/>
          <w:w w:val="99"/>
          <w:kern w:val="2"/>
          <w:sz w:val="24"/>
          <w:szCs w:val="24"/>
          <w14:textFill>
            <w14:solidFill>
              <w14:schemeClr w14:val="tx1"/>
            </w14:solidFill>
          </w14:textFill>
        </w:rPr>
        <w:t>表1.4-</w:t>
      </w:r>
      <w:r>
        <w:rPr>
          <w:rFonts w:ascii="Times New Roman" w:hAnsi="Times New Roman" w:cs="Times New Roman" w:eastAsiaTheme="minorEastAsia"/>
          <w:b/>
          <w:iCs/>
          <w:color w:val="000000" w:themeColor="text1"/>
          <w:w w:val="99"/>
          <w:kern w:val="2"/>
          <w:sz w:val="24"/>
          <w:szCs w:val="24"/>
          <w:lang w:val="en-US"/>
          <w14:textFill>
            <w14:solidFill>
              <w14:schemeClr w14:val="tx1"/>
            </w14:solidFill>
          </w14:textFill>
        </w:rPr>
        <w:t>13</w:t>
      </w:r>
      <w:r>
        <w:rPr>
          <w:rFonts w:ascii="Times New Roman" w:hAnsi="Times New Roman" w:cs="Times New Roman" w:eastAsiaTheme="minorEastAsia"/>
          <w:b/>
          <w:iCs/>
          <w:color w:val="000000" w:themeColor="text1"/>
          <w:w w:val="99"/>
          <w:kern w:val="2"/>
          <w:sz w:val="24"/>
          <w:szCs w:val="24"/>
          <w14:textFill>
            <w14:solidFill>
              <w14:schemeClr w14:val="tx1"/>
            </w14:solidFill>
          </w14:textFill>
        </w:rPr>
        <w:t xml:space="preserve">    本项目与</w:t>
      </w:r>
      <w:r>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t>《中华人民共和国黑土地保护法》</w:t>
      </w:r>
      <w:r>
        <w:rPr>
          <w:rFonts w:ascii="Times New Roman" w:hAnsi="Times New Roman" w:cs="Times New Roman" w:eastAsiaTheme="minorEastAsia"/>
          <w:b/>
          <w:iCs/>
          <w:color w:val="000000" w:themeColor="text1"/>
          <w:w w:val="99"/>
          <w:kern w:val="2"/>
          <w:sz w:val="24"/>
          <w:szCs w:val="24"/>
          <w14:textFill>
            <w14:solidFill>
              <w14:schemeClr w14:val="tx1"/>
            </w14:solidFill>
          </w14:textFill>
        </w:rPr>
        <w:t>相关要求符合性一览表</w:t>
      </w:r>
    </w:p>
    <w:tbl>
      <w:tblPr>
        <w:tblStyle w:val="8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069"/>
        <w:gridCol w:w="4573"/>
        <w:gridCol w:w="938"/>
      </w:tblGrid>
      <w:tr w14:paraId="0B873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Align w:val="center"/>
          </w:tcPr>
          <w:p w14:paraId="704D1C61">
            <w:pPr>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14:textFill>
                  <w14:solidFill>
                    <w14:schemeClr w14:val="tx1"/>
                  </w14:solidFill>
                </w14:textFill>
              </w:rPr>
            </w:pPr>
            <w:r>
              <w:rPr>
                <w:rFonts w:ascii="Times New Roman" w:hAnsi="Times New Roman" w:cs="Times New Roman" w:eastAsiaTheme="minorEastAsia"/>
                <w:iCs/>
                <w:color w:val="000000" w:themeColor="text1"/>
                <w:w w:val="99"/>
                <w:kern w:val="28"/>
                <w:sz w:val="21"/>
                <w:szCs w:val="21"/>
                <w14:textFill>
                  <w14:solidFill>
                    <w14:schemeClr w14:val="tx1"/>
                  </w14:solidFill>
                </w14:textFill>
              </w:rPr>
              <w:t>序号</w:t>
            </w:r>
          </w:p>
        </w:tc>
        <w:tc>
          <w:tcPr>
            <w:tcW w:w="1653" w:type="pct"/>
            <w:vAlign w:val="center"/>
          </w:tcPr>
          <w:p w14:paraId="5946B524">
            <w:pPr>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14:textFill>
                  <w14:solidFill>
                    <w14:schemeClr w14:val="tx1"/>
                  </w14:solidFill>
                </w14:textFill>
              </w:rPr>
            </w:pPr>
            <w:r>
              <w:rPr>
                <w:rFonts w:ascii="Times New Roman" w:hAnsi="Times New Roman" w:cs="Times New Roman" w:eastAsiaTheme="minorEastAsia"/>
                <w:iCs/>
                <w:color w:val="000000" w:themeColor="text1"/>
                <w:w w:val="99"/>
                <w:kern w:val="28"/>
                <w:sz w:val="21"/>
                <w:szCs w:val="21"/>
                <w14:textFill>
                  <w14:solidFill>
                    <w14:schemeClr w14:val="tx1"/>
                  </w14:solidFill>
                </w14:textFill>
              </w:rPr>
              <w:t>文件要求</w:t>
            </w:r>
          </w:p>
        </w:tc>
        <w:tc>
          <w:tcPr>
            <w:tcW w:w="2463" w:type="pct"/>
            <w:vAlign w:val="center"/>
          </w:tcPr>
          <w:p w14:paraId="08A00252">
            <w:pPr>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14:textFill>
                  <w14:solidFill>
                    <w14:schemeClr w14:val="tx1"/>
                  </w14:solidFill>
                </w14:textFill>
              </w:rPr>
            </w:pPr>
            <w:r>
              <w:rPr>
                <w:rFonts w:ascii="Times New Roman" w:hAnsi="Times New Roman" w:cs="Times New Roman" w:eastAsiaTheme="minorEastAsia"/>
                <w:iCs/>
                <w:color w:val="000000" w:themeColor="text1"/>
                <w:w w:val="99"/>
                <w:kern w:val="28"/>
                <w:sz w:val="21"/>
                <w:szCs w:val="21"/>
                <w14:textFill>
                  <w14:solidFill>
                    <w14:schemeClr w14:val="tx1"/>
                  </w14:solidFill>
                </w14:textFill>
              </w:rPr>
              <w:t>符合性分析</w:t>
            </w:r>
          </w:p>
        </w:tc>
        <w:tc>
          <w:tcPr>
            <w:tcW w:w="506" w:type="pct"/>
            <w:vAlign w:val="center"/>
          </w:tcPr>
          <w:p w14:paraId="7D85A7E7">
            <w:pPr>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14:textFill>
                  <w14:solidFill>
                    <w14:schemeClr w14:val="tx1"/>
                  </w14:solidFill>
                </w14:textFill>
              </w:rPr>
            </w:pPr>
            <w:r>
              <w:rPr>
                <w:rFonts w:ascii="Times New Roman" w:hAnsi="Times New Roman" w:cs="Times New Roman" w:eastAsiaTheme="minorEastAsia"/>
                <w:iCs/>
                <w:color w:val="000000" w:themeColor="text1"/>
                <w:w w:val="99"/>
                <w:kern w:val="28"/>
                <w:sz w:val="21"/>
                <w:szCs w:val="21"/>
                <w14:textFill>
                  <w14:solidFill>
                    <w14:schemeClr w14:val="tx1"/>
                  </w14:solidFill>
                </w14:textFill>
              </w:rPr>
              <w:t>符合性</w:t>
            </w:r>
          </w:p>
        </w:tc>
      </w:tr>
      <w:tr w14:paraId="70202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vAlign w:val="center"/>
          </w:tcPr>
          <w:p w14:paraId="5D77D9C1">
            <w:pPr>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14:textFill>
                  <w14:solidFill>
                    <w14:schemeClr w14:val="tx1"/>
                  </w14:solidFill>
                </w14:textFill>
              </w:rPr>
            </w:pPr>
            <w:r>
              <w:rPr>
                <w:rFonts w:ascii="Times New Roman" w:hAnsi="Times New Roman" w:cs="Times New Roman" w:eastAsiaTheme="minorEastAsia"/>
                <w:iCs/>
                <w:color w:val="000000" w:themeColor="text1"/>
                <w:w w:val="99"/>
                <w:kern w:val="28"/>
                <w:sz w:val="21"/>
                <w:szCs w:val="21"/>
                <w14:textFill>
                  <w14:solidFill>
                    <w14:schemeClr w14:val="tx1"/>
                  </w14:solidFill>
                </w14:textFill>
              </w:rPr>
              <w:t>1</w:t>
            </w:r>
          </w:p>
        </w:tc>
        <w:tc>
          <w:tcPr>
            <w:tcW w:w="1653" w:type="pct"/>
            <w:vAlign w:val="center"/>
          </w:tcPr>
          <w:p w14:paraId="59E9963B">
            <w:pPr>
              <w:adjustRightInd w:val="0"/>
              <w:snapToGrid w:val="0"/>
              <w:spacing w:line="360" w:lineRule="exact"/>
              <w:jc w:val="both"/>
              <w:rPr>
                <w:rFonts w:ascii="Times New Roman" w:hAnsi="Times New Roman" w:cs="Times New Roman" w:eastAsiaTheme="minorEastAsia"/>
                <w:iCs/>
                <w:color w:val="000000" w:themeColor="text1"/>
                <w:w w:val="99"/>
                <w:kern w:val="28"/>
                <w:sz w:val="21"/>
                <w:szCs w:val="21"/>
                <w14:textFill>
                  <w14:solidFill>
                    <w14:schemeClr w14:val="tx1"/>
                  </w14:solidFill>
                </w14:textFill>
              </w:rPr>
            </w:pPr>
            <w:r>
              <w:rPr>
                <w:rFonts w:ascii="Times New Roman" w:hAnsi="Times New Roman" w:cs="Times New Roman" w:eastAsiaTheme="minorEastAsia"/>
                <w:iCs/>
                <w:color w:val="000000" w:themeColor="text1"/>
                <w:w w:val="99"/>
                <w:kern w:val="28"/>
                <w:sz w:val="21"/>
                <w:szCs w:val="21"/>
                <w14:textFill>
                  <w14:solidFill>
                    <w14:schemeClr w14:val="tx1"/>
                  </w14:solidFill>
                </w14:textFill>
              </w:rPr>
              <w:t>建设项目不得占用黑土地；确需占用的，应当依法严格审批，并补充数量和质量相当的耕地。建设项目占用黑土地的，应当按照规定的标准对耕作层的土壤进行剥离。剥离的黑土应当就近用于新开垦耕地和劣质耕地改良、被污染耕地的治理、高标准农田建设、土地复垦等。建设项目主体应当制定剥离黑土的再利用方案，报自然资源主管部门备案。具体办法由四省区人民政府分别制定。</w:t>
            </w:r>
          </w:p>
        </w:tc>
        <w:tc>
          <w:tcPr>
            <w:tcW w:w="2463" w:type="pct"/>
            <w:vAlign w:val="center"/>
          </w:tcPr>
          <w:p w14:paraId="71353C75">
            <w:pPr>
              <w:adjustRightInd w:val="0"/>
              <w:snapToGrid w:val="0"/>
              <w:spacing w:line="360" w:lineRule="exact"/>
              <w:jc w:val="both"/>
              <w:rPr>
                <w:rFonts w:ascii="Times New Roman" w:hAnsi="Times New Roman" w:cs="Times New Roman" w:eastAsiaTheme="minorEastAsia"/>
                <w:iCs/>
                <w:color w:val="000000" w:themeColor="text1"/>
                <w:w w:val="99"/>
                <w:kern w:val="28"/>
                <w:sz w:val="21"/>
                <w:szCs w:val="21"/>
                <w14:textFill>
                  <w14:solidFill>
                    <w14:schemeClr w14:val="tx1"/>
                  </w14:solidFill>
                </w14:textFill>
              </w:rPr>
            </w:pPr>
            <w:r>
              <w:rPr>
                <w:rFonts w:ascii="Times New Roman" w:hAnsi="Times New Roman" w:cs="Times New Roman" w:eastAsiaTheme="minorEastAsia"/>
                <w:iCs/>
                <w:color w:val="000000" w:themeColor="text1"/>
                <w:w w:val="99"/>
                <w:kern w:val="28"/>
                <w:sz w:val="21"/>
                <w:szCs w:val="21"/>
                <w14:textFill>
                  <w14:solidFill>
                    <w14:schemeClr w14:val="tx1"/>
                  </w14:solidFill>
                </w14:textFill>
              </w:rPr>
              <w:t>本项目建设占用一般草地及一般耕地。本项目建设</w:t>
            </w:r>
            <w:r>
              <w:rPr>
                <w:rFonts w:hint="eastAsia" w:ascii="Times New Roman" w:hAnsi="Times New Roman" w:cs="Times New Roman" w:eastAsiaTheme="minorEastAsia"/>
                <w:iCs/>
                <w:color w:val="000000" w:themeColor="text1"/>
                <w:w w:val="99"/>
                <w:kern w:val="28"/>
                <w:sz w:val="21"/>
                <w:szCs w:val="21"/>
                <w14:textFill>
                  <w14:solidFill>
                    <w14:schemeClr w14:val="tx1"/>
                  </w14:solidFill>
                </w14:textFill>
              </w:rPr>
              <w:t>不</w:t>
            </w:r>
            <w:r>
              <w:rPr>
                <w:rFonts w:ascii="Times New Roman" w:hAnsi="Times New Roman" w:cs="Times New Roman" w:eastAsiaTheme="minorEastAsia"/>
                <w:iCs/>
                <w:color w:val="000000" w:themeColor="text1"/>
                <w:w w:val="99"/>
                <w:kern w:val="28"/>
                <w:sz w:val="21"/>
                <w:szCs w:val="21"/>
                <w14:textFill>
                  <w14:solidFill>
                    <w14:schemeClr w14:val="tx1"/>
                  </w14:solidFill>
                </w14:textFill>
              </w:rPr>
              <w:t>新增永久占地，在施工过程中针对临时占地，应剥离占地内0.3m的表土，采用分层开挖，分层堆放，集中暂存于施工管线临时占地内的表土剥离临时堆放区，并采取苫布遮盖，表土剥离临时堆放区周围设置排水沟等措施防止水土流失，并定期采取洒水抑尘措施，耕作层土壤剥离完成后，由当地自然资源主管部门会同农业农村主管部门组织验收，验收合格的方能实施项目建设。</w:t>
            </w:r>
          </w:p>
        </w:tc>
        <w:tc>
          <w:tcPr>
            <w:tcW w:w="506" w:type="pct"/>
            <w:vAlign w:val="center"/>
          </w:tcPr>
          <w:p w14:paraId="225D4B58">
            <w:pPr>
              <w:adjustRightInd w:val="0"/>
              <w:snapToGrid w:val="0"/>
              <w:spacing w:line="360" w:lineRule="exact"/>
              <w:jc w:val="center"/>
              <w:rPr>
                <w:rFonts w:ascii="Times New Roman" w:hAnsi="Times New Roman" w:cs="Times New Roman" w:eastAsiaTheme="minorEastAsia"/>
                <w:iCs/>
                <w:color w:val="000000" w:themeColor="text1"/>
                <w:w w:val="99"/>
                <w:kern w:val="28"/>
                <w:sz w:val="21"/>
                <w:szCs w:val="21"/>
                <w14:textFill>
                  <w14:solidFill>
                    <w14:schemeClr w14:val="tx1"/>
                  </w14:solidFill>
                </w14:textFill>
              </w:rPr>
            </w:pPr>
            <w:r>
              <w:rPr>
                <w:rFonts w:ascii="Times New Roman" w:hAnsi="Times New Roman" w:cs="Times New Roman" w:eastAsiaTheme="minorEastAsia"/>
                <w:iCs/>
                <w:color w:val="000000" w:themeColor="text1"/>
                <w:w w:val="99"/>
                <w:kern w:val="28"/>
                <w:sz w:val="21"/>
                <w:szCs w:val="21"/>
                <w14:textFill>
                  <w14:solidFill>
                    <w14:schemeClr w14:val="tx1"/>
                  </w14:solidFill>
                </w14:textFill>
              </w:rPr>
              <w:t>符合</w:t>
            </w:r>
          </w:p>
        </w:tc>
      </w:tr>
    </w:tbl>
    <w:p w14:paraId="228CE01B">
      <w:pPr>
        <w:spacing w:line="440" w:lineRule="exact"/>
        <w:ind w:firstLine="434" w:firstLineChars="200"/>
        <w:jc w:val="both"/>
        <w:rPr>
          <w:rFonts w:ascii="Times New Roman" w:hAnsi="Times New Roman" w:cs="Times New Roman" w:eastAsiaTheme="minorEastAsia"/>
          <w:iCs/>
          <w:color w:val="000000" w:themeColor="text1"/>
          <w:w w:val="99"/>
          <w:kern w:val="2"/>
          <w14:textFill>
            <w14:solidFill>
              <w14:schemeClr w14:val="tx1"/>
            </w14:solidFill>
          </w14:textFill>
        </w:rPr>
      </w:pPr>
      <w:r>
        <w:rPr>
          <w:rFonts w:ascii="Times New Roman" w:hAnsi="Times New Roman" w:cs="Times New Roman" w:eastAsiaTheme="minorEastAsia"/>
          <w:iCs/>
          <w:color w:val="000000" w:themeColor="text1"/>
          <w:w w:val="99"/>
          <w:kern w:val="2"/>
          <w14:textFill>
            <w14:solidFill>
              <w14:schemeClr w14:val="tx1"/>
            </w14:solidFill>
          </w14:textFill>
        </w:rPr>
        <w:t>根据以上分析，本项目符合</w:t>
      </w:r>
      <w:r>
        <w:rPr>
          <w:rFonts w:ascii="Times New Roman" w:hAnsi="Times New Roman" w:cs="Times New Roman" w:eastAsiaTheme="minorEastAsia"/>
          <w:iCs/>
          <w:color w:val="000000" w:themeColor="text1"/>
          <w:w w:val="99"/>
          <w:kern w:val="2"/>
          <w:lang w:val="en-US"/>
          <w14:textFill>
            <w14:solidFill>
              <w14:schemeClr w14:val="tx1"/>
            </w14:solidFill>
          </w14:textFill>
        </w:rPr>
        <w:t>《中华人民共和国黑土地保护法》</w:t>
      </w:r>
      <w:r>
        <w:rPr>
          <w:rFonts w:ascii="Times New Roman" w:hAnsi="Times New Roman" w:cs="Times New Roman" w:eastAsiaTheme="minorEastAsia"/>
          <w:iCs/>
          <w:color w:val="000000" w:themeColor="text1"/>
          <w:w w:val="99"/>
          <w:kern w:val="2"/>
          <w14:textFill>
            <w14:solidFill>
              <w14:schemeClr w14:val="tx1"/>
            </w14:solidFill>
          </w14:textFill>
        </w:rPr>
        <w:t>（中华人民共和国主席令第一一五号）中要求。</w:t>
      </w:r>
    </w:p>
    <w:p w14:paraId="79A5F5B8">
      <w:pPr>
        <w:pStyle w:val="107"/>
        <w:tabs>
          <w:tab w:val="left" w:pos="930"/>
        </w:tabs>
        <w:spacing w:before="60" w:after="60" w:line="440" w:lineRule="exact"/>
        <w:ind w:left="0" w:firstLine="0"/>
        <w:jc w:val="both"/>
        <w:outlineLvl w:val="2"/>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bookmarkStart w:id="40" w:name="_Toc117794509"/>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1.4.3 “三线一单”符合性分析</w:t>
      </w:r>
      <w:bookmarkEnd w:id="40"/>
    </w:p>
    <w:p w14:paraId="6ED0807D">
      <w:pPr>
        <w:pStyle w:val="129"/>
        <w:spacing w:line="440" w:lineRule="exact"/>
        <w:ind w:firstLine="0" w:firstLineChars="0"/>
        <w:jc w:val="both"/>
        <w:outlineLvl w:val="3"/>
        <w:rPr>
          <w:rFonts w:ascii="Times New Roman" w:hAnsi="Times New Roman" w:eastAsiaTheme="minorEastAsia"/>
          <w:b/>
          <w:color w:val="000000" w:themeColor="text1"/>
          <w:w w:val="99"/>
          <w:sz w:val="24"/>
          <w:szCs w:val="24"/>
          <w14:textFill>
            <w14:solidFill>
              <w14:schemeClr w14:val="tx1"/>
            </w14:solidFill>
          </w14:textFill>
        </w:rPr>
      </w:pPr>
      <w:r>
        <w:rPr>
          <w:rFonts w:ascii="Times New Roman" w:hAnsi="Times New Roman" w:eastAsiaTheme="minorEastAsia"/>
          <w:b/>
          <w:color w:val="000000" w:themeColor="text1"/>
          <w:w w:val="99"/>
          <w:sz w:val="24"/>
          <w:szCs w:val="24"/>
          <w14:textFill>
            <w14:solidFill>
              <w14:schemeClr w14:val="tx1"/>
            </w14:solidFill>
          </w14:textFill>
        </w:rPr>
        <w:t>1.4.3.1生态保护红线</w:t>
      </w:r>
    </w:p>
    <w:p w14:paraId="4FDE23EF">
      <w:pPr>
        <w:spacing w:line="440" w:lineRule="exact"/>
        <w:ind w:firstLine="474" w:firstLineChars="200"/>
        <w:jc w:val="both"/>
        <w:rPr>
          <w:rFonts w:ascii="Times New Roman" w:hAnsi="Times New Roman" w:cs="Times New Roman" w:eastAsiaTheme="minorEastAsia"/>
          <w:color w:val="000000" w:themeColor="text1"/>
          <w:w w:val="99"/>
          <w:kern w:val="2"/>
          <w:sz w:val="24"/>
          <w:szCs w:val="24"/>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本项目位于大庆市</w:t>
      </w:r>
      <w:r>
        <w:rPr>
          <w:rFonts w:hint="eastAsia" w:ascii="Times New Roman" w:hAnsi="Times New Roman" w:cs="Times New Roman" w:eastAsiaTheme="minorEastAsia"/>
          <w:color w:val="000000" w:themeColor="text1"/>
          <w:w w:val="99"/>
          <w:kern w:val="2"/>
          <w:sz w:val="24"/>
          <w:szCs w:val="28"/>
          <w:lang w:val="en-US" w:eastAsia="zh-CN" w:bidi="ar-SA"/>
          <w14:textFill>
            <w14:solidFill>
              <w14:schemeClr w14:val="tx1"/>
            </w14:solidFill>
          </w14:textFill>
        </w:rPr>
        <w:t>红岗区杏树岗镇</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杏树岗村周边，</w:t>
      </w:r>
      <w:r>
        <w:rPr>
          <w:rFonts w:ascii="Times New Roman" w:hAnsi="Times New Roman" w:cs="Times New Roman" w:eastAsiaTheme="minorEastAsia"/>
          <w:color w:val="000000" w:themeColor="text1"/>
          <w:w w:val="99"/>
          <w:sz w:val="24"/>
          <w:szCs w:val="24"/>
          <w14:textFill>
            <w14:solidFill>
              <w14:schemeClr w14:val="tx1"/>
            </w14:solidFill>
          </w14:textFill>
        </w:rPr>
        <w:t>项目不涉及国家、省、市级自然保护区、自然文化遗产、风景名胜区、文物古迹、生态红线、饮用水水源保护区、重要湿地等区域。根据黑龙江省“三线一单”图集中大庆市生态保护红线分布图，本项目不在红线范围内，本项目与大庆市生态保护红线的位置关系见附图22。根据《黑龙江省人民政府关于实施“三线一单”生态环境分区管控的意见》（黑政发〔2020〕14号）及《大庆市人民政府关于实施“三线一单”生态环境分区管控的意见》（庆政规〔2021〕3号），</w:t>
      </w:r>
      <w:r>
        <w:rPr>
          <w:rFonts w:hint="eastAsia" w:ascii="Times New Roman" w:hAnsi="Times New Roman" w:cs="Times New Roman" w:eastAsiaTheme="minorEastAsia"/>
          <w:color w:val="000000" w:themeColor="text1"/>
          <w:w w:val="99"/>
          <w:sz w:val="24"/>
          <w:szCs w:val="24"/>
          <w:lang w:val="en-US"/>
          <w14:textFill>
            <w14:solidFill>
              <w14:schemeClr w14:val="tx1"/>
            </w14:solidFill>
          </w14:textFill>
        </w:rPr>
        <w:t>项目</w:t>
      </w:r>
      <w:r>
        <w:rPr>
          <w:rFonts w:ascii="Times New Roman" w:hAnsi="Times New Roman" w:cs="Times New Roman" w:eastAsiaTheme="minorEastAsia"/>
          <w:color w:val="000000" w:themeColor="text1"/>
          <w:w w:val="99"/>
          <w:sz w:val="24"/>
          <w:szCs w:val="24"/>
          <w:lang w:val="en-US"/>
          <w14:textFill>
            <w14:solidFill>
              <w14:schemeClr w14:val="tx1"/>
            </w14:solidFill>
          </w14:textFill>
        </w:rPr>
        <w:t>占地涉及</w:t>
      </w:r>
      <w:r>
        <w:rPr>
          <w:rFonts w:hint="eastAsia" w:ascii="Times New Roman" w:hAnsi="Times New Roman" w:cs="Times New Roman" w:eastAsiaTheme="minorEastAsia"/>
          <w:color w:val="000000" w:themeColor="text1"/>
          <w:w w:val="99"/>
          <w:sz w:val="24"/>
          <w:szCs w:val="24"/>
          <w:lang w:val="en-US"/>
          <w14:textFill>
            <w14:solidFill>
              <w14:schemeClr w14:val="tx1"/>
            </w14:solidFill>
          </w14:textFill>
        </w:rPr>
        <w:t>优先</w:t>
      </w:r>
      <w:r>
        <w:rPr>
          <w:rFonts w:ascii="Times New Roman" w:hAnsi="Times New Roman" w:cs="Times New Roman" w:eastAsiaTheme="minorEastAsia"/>
          <w:color w:val="000000" w:themeColor="text1"/>
          <w:w w:val="99"/>
          <w:sz w:val="24"/>
          <w:szCs w:val="24"/>
          <w:lang w:val="en-US"/>
          <w14:textFill>
            <w14:solidFill>
              <w14:schemeClr w14:val="tx1"/>
            </w14:solidFill>
          </w14:textFill>
        </w:rPr>
        <w:t>管控单元</w:t>
      </w:r>
      <w:r>
        <w:rPr>
          <w:rFonts w:hint="eastAsia" w:ascii="Times New Roman" w:hAnsi="Times New Roman" w:cs="Times New Roman" w:eastAsiaTheme="minorEastAsia"/>
          <w:color w:val="000000" w:themeColor="text1"/>
          <w:w w:val="99"/>
          <w:sz w:val="24"/>
          <w:szCs w:val="24"/>
          <w:lang w:val="en-US"/>
          <w14:textFill>
            <w14:solidFill>
              <w14:schemeClr w14:val="tx1"/>
            </w14:solidFill>
          </w14:textFill>
        </w:rPr>
        <w:t>和一般管控单元</w:t>
      </w:r>
      <w:r>
        <w:rPr>
          <w:rFonts w:ascii="Times New Roman" w:hAnsi="Times New Roman" w:cs="Times New Roman" w:eastAsiaTheme="minorEastAsia"/>
          <w:color w:val="000000" w:themeColor="text1"/>
          <w:w w:val="99"/>
          <w:sz w:val="24"/>
          <w:szCs w:val="24"/>
          <w14:textFill>
            <w14:solidFill>
              <w14:schemeClr w14:val="tx1"/>
            </w14:solidFill>
          </w14:textFill>
        </w:rPr>
        <w:t>，本项目与黑龙江省环境管控单元位置关系见附图4，本项目与黑龙江省大庆市环境管控单元位置关系见附图5。本项目与分区管控要求符合性分析见表1.4-14。</w:t>
      </w:r>
    </w:p>
    <w:p w14:paraId="181570A7">
      <w:pPr>
        <w:spacing w:line="440" w:lineRule="exact"/>
        <w:ind w:firstLine="476" w:firstLineChars="200"/>
        <w:jc w:val="both"/>
        <w:rPr>
          <w:rFonts w:ascii="Times New Roman" w:hAnsi="Times New Roman" w:cs="Times New Roman" w:eastAsiaTheme="minorEastAsia"/>
          <w:b/>
          <w:bCs/>
          <w:color w:val="000000" w:themeColor="text1"/>
          <w:w w:val="99"/>
          <w:kern w:val="2"/>
          <w:sz w:val="24"/>
          <w:szCs w:val="24"/>
          <w14:textFill>
            <w14:solidFill>
              <w14:schemeClr w14:val="tx1"/>
            </w14:solidFill>
          </w14:textFill>
        </w:rPr>
      </w:pPr>
      <w:r>
        <w:rPr>
          <w:rFonts w:ascii="Times New Roman" w:hAnsi="Times New Roman" w:cs="Times New Roman" w:eastAsiaTheme="minorEastAsia"/>
          <w:b/>
          <w:bCs/>
          <w:color w:val="000000" w:themeColor="text1"/>
          <w:w w:val="99"/>
          <w:sz w:val="24"/>
          <w:szCs w:val="24"/>
          <w14:textFill>
            <w14:solidFill>
              <w14:schemeClr w14:val="tx1"/>
            </w14:solidFill>
          </w14:textFill>
        </w:rPr>
        <w:t>表1.4-14    本项目与分区管控要求符合性分析</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75"/>
        <w:gridCol w:w="2985"/>
        <w:gridCol w:w="4121"/>
        <w:gridCol w:w="703"/>
      </w:tblGrid>
      <w:tr w14:paraId="78507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2" w:type="pct"/>
            <w:vAlign w:val="center"/>
          </w:tcPr>
          <w:p w14:paraId="098F6E91">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环境管控单元</w:t>
            </w:r>
          </w:p>
        </w:tc>
        <w:tc>
          <w:tcPr>
            <w:tcW w:w="1643" w:type="pct"/>
            <w:vAlign w:val="center"/>
          </w:tcPr>
          <w:p w14:paraId="5E91777B">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分区管控要求</w:t>
            </w:r>
          </w:p>
        </w:tc>
        <w:tc>
          <w:tcPr>
            <w:tcW w:w="2268" w:type="pct"/>
            <w:vAlign w:val="center"/>
          </w:tcPr>
          <w:p w14:paraId="0DA19C7A">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拟建项目情况</w:t>
            </w:r>
          </w:p>
        </w:tc>
        <w:tc>
          <w:tcPr>
            <w:tcW w:w="387" w:type="pct"/>
            <w:vAlign w:val="center"/>
          </w:tcPr>
          <w:p w14:paraId="0BFCB24A">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符合性</w:t>
            </w:r>
          </w:p>
        </w:tc>
      </w:tr>
      <w:tr w14:paraId="2F76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2" w:type="pct"/>
            <w:vAlign w:val="center"/>
          </w:tcPr>
          <w:p w14:paraId="42CBD0BD">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优先保护单元</w:t>
            </w:r>
          </w:p>
        </w:tc>
        <w:tc>
          <w:tcPr>
            <w:tcW w:w="1643" w:type="pct"/>
            <w:vAlign w:val="center"/>
          </w:tcPr>
          <w:p w14:paraId="2013BF0D">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以生态环境保护为主，依法禁止或限制大规模、高强度的工业和城镇建设。在功能受损的优先保护单元，优先开展生态保护修复活动，恢复生态系统服务功能；在生态保护红线区域，严格按照国家和省生态保护红线管理相关规定进行管控。</w:t>
            </w:r>
          </w:p>
        </w:tc>
        <w:tc>
          <w:tcPr>
            <w:tcW w:w="2268" w:type="pct"/>
            <w:vAlign w:val="center"/>
          </w:tcPr>
          <w:p w14:paraId="309507C7">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项目</w:t>
            </w:r>
            <w:r>
              <w:rPr>
                <w:rFonts w:hint="eastAsia" w:ascii="Times New Roman" w:hAnsi="Times New Roman" w:cs="Times New Roman" w:eastAsiaTheme="minorEastAsia"/>
                <w:color w:val="000000" w:themeColor="text1"/>
                <w:w w:val="99"/>
                <w:sz w:val="21"/>
                <w:szCs w:val="21"/>
                <w14:textFill>
                  <w14:solidFill>
                    <w14:schemeClr w14:val="tx1"/>
                  </w14:solidFill>
                </w14:textFill>
              </w:rPr>
              <w:t>部分管线位于</w:t>
            </w:r>
            <w:r>
              <w:rPr>
                <w:rFonts w:ascii="Times New Roman" w:hAnsi="Times New Roman" w:cs="Times New Roman" w:eastAsiaTheme="minorEastAsia"/>
                <w:color w:val="000000" w:themeColor="text1"/>
                <w:w w:val="99"/>
                <w:sz w:val="21"/>
                <w:szCs w:val="21"/>
                <w14:textFill>
                  <w14:solidFill>
                    <w14:schemeClr w14:val="tx1"/>
                  </w14:solidFill>
                </w14:textFill>
              </w:rPr>
              <w:t>优先管控单元</w:t>
            </w:r>
            <w:r>
              <w:rPr>
                <w:rFonts w:hint="eastAsia" w:ascii="Times New Roman" w:hAnsi="Times New Roman" w:cs="Times New Roman" w:eastAsiaTheme="minorEastAsia"/>
                <w:color w:val="000000" w:themeColor="text1"/>
                <w:w w:val="99"/>
                <w:sz w:val="21"/>
                <w:szCs w:val="21"/>
                <w14:textFill>
                  <w14:solidFill>
                    <w14:schemeClr w14:val="tx1"/>
                  </w14:solidFill>
                </w14:textFill>
              </w:rPr>
              <w:t>，但不属于</w:t>
            </w:r>
            <w:r>
              <w:rPr>
                <w:rFonts w:ascii="Times New Roman" w:hAnsi="Times New Roman" w:cs="Times New Roman" w:eastAsiaTheme="minorEastAsia"/>
                <w:color w:val="000000" w:themeColor="text1"/>
                <w:w w:val="99"/>
                <w:sz w:val="21"/>
                <w:szCs w:val="21"/>
                <w14:textFill>
                  <w14:solidFill>
                    <w14:schemeClr w14:val="tx1"/>
                  </w14:solidFill>
                </w14:textFill>
              </w:rPr>
              <w:t>生态保护红线范围。本项目施工期运行期产生的污染物均可得到有效治理，可控制污染物排放；废水、固体废物等均不外排，且施工结束后对临时占地进行恢复。在环境风险防控方面采取加强施工管理、制定岗位操作规程并定期培训学习、实行岗位责任制、制定可行的突发环境事件环境应急预案等措施。</w:t>
            </w:r>
          </w:p>
        </w:tc>
        <w:tc>
          <w:tcPr>
            <w:tcW w:w="387" w:type="pct"/>
            <w:vAlign w:val="center"/>
          </w:tcPr>
          <w:p w14:paraId="60581DA8">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符合</w:t>
            </w:r>
          </w:p>
        </w:tc>
      </w:tr>
      <w:tr w14:paraId="2C40A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2" w:type="pct"/>
            <w:vAlign w:val="center"/>
          </w:tcPr>
          <w:p w14:paraId="06B22C91">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一般管控单元</w:t>
            </w:r>
          </w:p>
        </w:tc>
        <w:tc>
          <w:tcPr>
            <w:tcW w:w="1643" w:type="pct"/>
            <w:vAlign w:val="center"/>
          </w:tcPr>
          <w:p w14:paraId="7C646521">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以生态环境保护与适度开发相结合为主，落实生态环境管控相关要求，重点加强农业、生活等领域污染治理。</w:t>
            </w:r>
          </w:p>
        </w:tc>
        <w:tc>
          <w:tcPr>
            <w:tcW w:w="2268" w:type="pct"/>
            <w:vAlign w:val="center"/>
          </w:tcPr>
          <w:p w14:paraId="32889481">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项目</w:t>
            </w:r>
            <w:r>
              <w:rPr>
                <w:rFonts w:hint="eastAsia" w:ascii="Times New Roman" w:hAnsi="Times New Roman" w:cs="Times New Roman" w:eastAsiaTheme="minorEastAsia"/>
                <w:color w:val="000000" w:themeColor="text1"/>
                <w:w w:val="99"/>
                <w:sz w:val="21"/>
                <w:szCs w:val="21"/>
                <w14:textFill>
                  <w14:solidFill>
                    <w14:schemeClr w14:val="tx1"/>
                  </w14:solidFill>
                </w14:textFill>
              </w:rPr>
              <w:t>部分</w:t>
            </w:r>
            <w:r>
              <w:rPr>
                <w:rFonts w:ascii="Times New Roman" w:hAnsi="Times New Roman" w:cs="Times New Roman" w:eastAsiaTheme="minorEastAsia"/>
                <w:color w:val="000000" w:themeColor="text1"/>
                <w:w w:val="99"/>
                <w:sz w:val="21"/>
                <w:szCs w:val="21"/>
                <w14:textFill>
                  <w14:solidFill>
                    <w14:schemeClr w14:val="tx1"/>
                  </w14:solidFill>
                </w14:textFill>
              </w:rPr>
              <w:t>管线</w:t>
            </w:r>
            <w:r>
              <w:rPr>
                <w:rFonts w:hint="eastAsia" w:ascii="Times New Roman" w:hAnsi="Times New Roman" w:cs="Times New Roman" w:eastAsiaTheme="minorEastAsia"/>
                <w:color w:val="000000" w:themeColor="text1"/>
                <w:w w:val="99"/>
                <w:sz w:val="21"/>
                <w:szCs w:val="21"/>
                <w14:textFill>
                  <w14:solidFill>
                    <w14:schemeClr w14:val="tx1"/>
                  </w14:solidFill>
                </w14:textFill>
              </w:rPr>
              <w:t>位于</w:t>
            </w:r>
            <w:r>
              <w:rPr>
                <w:rFonts w:ascii="Times New Roman" w:hAnsi="Times New Roman" w:cs="Times New Roman" w:eastAsiaTheme="minorEastAsia"/>
                <w:color w:val="000000" w:themeColor="text1"/>
                <w:w w:val="99"/>
                <w:sz w:val="21"/>
                <w:szCs w:val="21"/>
                <w14:textFill>
                  <w14:solidFill>
                    <w14:schemeClr w14:val="tx1"/>
                  </w14:solidFill>
                </w14:textFill>
              </w:rPr>
              <w:t>一般管控单元。本项目产生的污染物均可得到有效治理，符合以生态环境保护与适度开发相结合为主的要求。</w:t>
            </w:r>
          </w:p>
        </w:tc>
        <w:tc>
          <w:tcPr>
            <w:tcW w:w="387" w:type="pct"/>
            <w:vAlign w:val="center"/>
          </w:tcPr>
          <w:p w14:paraId="3CB5F9E5">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符合</w:t>
            </w:r>
          </w:p>
        </w:tc>
      </w:tr>
    </w:tbl>
    <w:p w14:paraId="72A54DBE">
      <w:pPr>
        <w:pStyle w:val="129"/>
        <w:spacing w:line="440" w:lineRule="exact"/>
        <w:ind w:firstLine="0" w:firstLineChars="0"/>
        <w:jc w:val="both"/>
        <w:outlineLvl w:val="3"/>
        <w:rPr>
          <w:rFonts w:ascii="Times New Roman" w:hAnsi="Times New Roman" w:eastAsiaTheme="minorEastAsia"/>
          <w:b/>
          <w:color w:val="000000" w:themeColor="text1"/>
          <w:w w:val="99"/>
          <w:sz w:val="24"/>
          <w:szCs w:val="24"/>
          <w14:textFill>
            <w14:solidFill>
              <w14:schemeClr w14:val="tx1"/>
            </w14:solidFill>
          </w14:textFill>
        </w:rPr>
      </w:pPr>
      <w:r>
        <w:rPr>
          <w:rFonts w:ascii="Times New Roman" w:hAnsi="Times New Roman" w:eastAsiaTheme="minorEastAsia"/>
          <w:b/>
          <w:color w:val="000000" w:themeColor="text1"/>
          <w:w w:val="99"/>
          <w:sz w:val="24"/>
          <w:szCs w:val="24"/>
          <w14:textFill>
            <w14:solidFill>
              <w14:schemeClr w14:val="tx1"/>
            </w14:solidFill>
          </w14:textFill>
        </w:rPr>
        <w:t>1.4.3.2环境质量底线</w:t>
      </w:r>
    </w:p>
    <w:p w14:paraId="4AA45A53">
      <w:pPr>
        <w:spacing w:line="440" w:lineRule="exact"/>
        <w:ind w:firstLine="474" w:firstLineChars="200"/>
        <w:jc w:val="both"/>
        <w:rPr>
          <w:rFonts w:ascii="Times New Roman" w:hAnsi="Times New Roman" w:cs="Times New Roman" w:eastAsiaTheme="minorEastAsia"/>
          <w:color w:val="000000" w:themeColor="text1"/>
          <w:w w:val="99"/>
          <w:kern w:val="2"/>
          <w:sz w:val="24"/>
          <w:szCs w:val="24"/>
          <w14:textFill>
            <w14:solidFill>
              <w14:schemeClr w14:val="tx1"/>
            </w14:solidFill>
          </w14:textFill>
        </w:rPr>
      </w:pPr>
      <w:r>
        <w:rPr>
          <w:rFonts w:ascii="Times New Roman" w:hAnsi="Times New Roman" w:cs="Times New Roman" w:eastAsiaTheme="minorEastAsia"/>
          <w:color w:val="000000" w:themeColor="text1"/>
          <w:w w:val="99"/>
          <w:kern w:val="2"/>
          <w:sz w:val="24"/>
          <w:szCs w:val="24"/>
          <w14:textFill>
            <w14:solidFill>
              <w14:schemeClr w14:val="tx1"/>
            </w14:solidFill>
          </w14:textFill>
        </w:rPr>
        <w:t>根据大庆市生态环境局2022年6月5日公布的《2021年大庆市生态环境状况公报》，项目区域大气环境质量优于</w:t>
      </w:r>
      <w:r>
        <w:rPr>
          <w:rFonts w:ascii="Times New Roman" w:hAnsi="Times New Roman" w:cs="Times New Roman" w:eastAsiaTheme="minorEastAsia"/>
          <w:color w:val="000000" w:themeColor="text1"/>
          <w:spacing w:val="-5"/>
          <w:w w:val="99"/>
          <w:kern w:val="2"/>
          <w:sz w:val="24"/>
          <w:szCs w:val="24"/>
          <w14:textFill>
            <w14:solidFill>
              <w14:schemeClr w14:val="tx1"/>
            </w14:solidFill>
          </w14:textFill>
        </w:rPr>
        <w:t>《环境空气质量标准》</w:t>
      </w:r>
      <w:r>
        <w:rPr>
          <w:rFonts w:ascii="Times New Roman" w:hAnsi="Times New Roman" w:cs="Times New Roman" w:eastAsiaTheme="minorEastAsia"/>
          <w:color w:val="000000" w:themeColor="text1"/>
          <w:w w:val="99"/>
          <w:kern w:val="2"/>
          <w:sz w:val="24"/>
          <w:szCs w:val="24"/>
          <w14:textFill>
            <w14:solidFill>
              <w14:schemeClr w14:val="tx1"/>
            </w14:solidFill>
          </w14:textFill>
        </w:rPr>
        <w:t>（GB3095-2012）二级标准要求，项目区域属于达标区。根据补充现状监测结果：非甲烷总烃可以达到《大气污染物综合排放标准详解》中限值要求；本项目不排放废水，不会对周边地表水古努泡子产生影响；本项目在采取措施后不会对地下水及土壤环境产生影响，区域地下水质量可以满足《地下水质量标准》（GB/T14848-2017）III类标准，石油类可以满足《地表水环境质量标准》（GB3838-2002）表1中的III类标准限值要求；</w:t>
      </w:r>
      <w:r>
        <w:rPr>
          <w:rFonts w:ascii="Times New Roman" w:hAnsi="Times New Roman" w:cs="Times New Roman" w:eastAsiaTheme="minorEastAsia"/>
          <w:color w:val="000000" w:themeColor="text1"/>
          <w:w w:val="99"/>
          <w:sz w:val="24"/>
          <w:szCs w:val="24"/>
          <w14:textFill>
            <w14:solidFill>
              <w14:schemeClr w14:val="tx1"/>
            </w14:solidFill>
          </w14:textFill>
        </w:rPr>
        <w:t>本项目占地内土壤可以满足《土壤环境质量 建设用地土壤污染风险管控标准（试行）》（GB36600-2018）中表1建设用地土壤污染风险筛选值（基本项目）中第二类用地筛选值标准，以及表2（其他项目）中第二类用地筛选值标准；评价范围内居住区土壤可以满足《土壤环境质量 建设用地土壤污染风险管控标准（试行）》（GB36600-2018）中表1建设用地土壤污染风险筛选值（基本项目）中第一类用地筛选值标准，以及表2（其他项目）中第一类用地筛选值标准；评价范围内农用地土壤可以满足《土壤环境质量 农用地土壤污染风险管控标准（试行）》（GB15618-2018）表1农用地土壤风险筛选值（基本项目）中标准</w:t>
      </w:r>
      <w:r>
        <w:rPr>
          <w:rFonts w:ascii="Times New Roman" w:hAnsi="Times New Roman" w:cs="Times New Roman" w:eastAsiaTheme="minorEastAsia"/>
          <w:color w:val="000000" w:themeColor="text1"/>
          <w:w w:val="99"/>
          <w:kern w:val="2"/>
          <w:sz w:val="24"/>
          <w:szCs w:val="24"/>
          <w14:textFill>
            <w14:solidFill>
              <w14:schemeClr w14:val="tx1"/>
            </w14:solidFill>
          </w14:textFill>
        </w:rPr>
        <w:t>。因此本项目建设符合环境质量底线要求。</w:t>
      </w:r>
    </w:p>
    <w:p w14:paraId="1E29F600">
      <w:pPr>
        <w:pStyle w:val="129"/>
        <w:spacing w:line="440" w:lineRule="exact"/>
        <w:ind w:firstLine="0" w:firstLineChars="0"/>
        <w:jc w:val="both"/>
        <w:outlineLvl w:val="3"/>
        <w:rPr>
          <w:rFonts w:ascii="Times New Roman" w:hAnsi="Times New Roman" w:eastAsiaTheme="minorEastAsia"/>
          <w:b/>
          <w:color w:val="000000" w:themeColor="text1"/>
          <w:w w:val="99"/>
          <w:sz w:val="24"/>
          <w:szCs w:val="24"/>
          <w14:textFill>
            <w14:solidFill>
              <w14:schemeClr w14:val="tx1"/>
            </w14:solidFill>
          </w14:textFill>
        </w:rPr>
      </w:pPr>
      <w:r>
        <w:rPr>
          <w:rFonts w:ascii="Times New Roman" w:hAnsi="Times New Roman" w:eastAsiaTheme="minorEastAsia"/>
          <w:b/>
          <w:color w:val="000000" w:themeColor="text1"/>
          <w:w w:val="99"/>
          <w:sz w:val="24"/>
          <w:szCs w:val="24"/>
          <w14:textFill>
            <w14:solidFill>
              <w14:schemeClr w14:val="tx1"/>
            </w14:solidFill>
          </w14:textFill>
        </w:rPr>
        <w:t>1.4.3.3资源利用上线</w:t>
      </w:r>
    </w:p>
    <w:p w14:paraId="4ACF1B4A">
      <w:pPr>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14:textFill>
            <w14:solidFill>
              <w14:schemeClr w14:val="tx1"/>
            </w14:solidFill>
          </w14:textFill>
        </w:rPr>
        <w:t>本项目为油田开发项目，项目建设不新增永久占地，临时占地均为施工结束后进行生态恢复，土地的占用较少；本项目施工期消耗的水主要用于生活及管线试压需要，用量较少，运营期不新增水资源消耗；本项目拆除拉油点内九合一装置，改为集输管线进行集油，用电量大幅度减少，项目资源消耗量相对区域资源利用总量较小，符合资源利用上限要求。</w:t>
      </w:r>
    </w:p>
    <w:p w14:paraId="0656D60E">
      <w:pPr>
        <w:pStyle w:val="129"/>
        <w:spacing w:line="440" w:lineRule="exact"/>
        <w:ind w:firstLine="0" w:firstLineChars="0"/>
        <w:jc w:val="both"/>
        <w:outlineLvl w:val="3"/>
        <w:rPr>
          <w:rFonts w:ascii="Times New Roman" w:hAnsi="Times New Roman" w:eastAsiaTheme="minorEastAsia"/>
          <w:b/>
          <w:color w:val="000000" w:themeColor="text1"/>
          <w:w w:val="99"/>
          <w:sz w:val="24"/>
          <w:szCs w:val="24"/>
          <w14:textFill>
            <w14:solidFill>
              <w14:schemeClr w14:val="tx1"/>
            </w14:solidFill>
          </w14:textFill>
        </w:rPr>
      </w:pPr>
      <w:r>
        <w:rPr>
          <w:rFonts w:ascii="Times New Roman" w:hAnsi="Times New Roman" w:eastAsiaTheme="minorEastAsia"/>
          <w:b/>
          <w:color w:val="000000" w:themeColor="text1"/>
          <w:w w:val="99"/>
          <w:sz w:val="24"/>
          <w:szCs w:val="24"/>
          <w14:textFill>
            <w14:solidFill>
              <w14:schemeClr w14:val="tx1"/>
            </w14:solidFill>
          </w14:textFill>
        </w:rPr>
        <w:t>1.4.3.4生态环境准入清单</w:t>
      </w:r>
    </w:p>
    <w:p w14:paraId="4C5E8757">
      <w:pPr>
        <w:spacing w:line="440" w:lineRule="exact"/>
        <w:ind w:firstLine="474" w:firstLineChars="200"/>
        <w:jc w:val="both"/>
        <w:rPr>
          <w:rFonts w:ascii="Times New Roman" w:hAnsi="Times New Roman" w:cs="Times New Roman" w:eastAsiaTheme="minorEastAsia"/>
          <w:color w:val="000000" w:themeColor="text1"/>
          <w:w w:val="99"/>
          <w:kern w:val="2"/>
          <w:sz w:val="24"/>
          <w:szCs w:val="24"/>
          <w14:textFill>
            <w14:solidFill>
              <w14:schemeClr w14:val="tx1"/>
            </w14:solidFill>
          </w14:textFill>
        </w:rPr>
      </w:pPr>
      <w:r>
        <w:rPr>
          <w:rFonts w:ascii="Times New Roman" w:hAnsi="Times New Roman" w:cs="Times New Roman" w:eastAsiaTheme="minorEastAsia"/>
          <w:color w:val="000000" w:themeColor="text1"/>
          <w:w w:val="99"/>
          <w:kern w:val="2"/>
          <w:sz w:val="24"/>
          <w:szCs w:val="24"/>
          <w14:textFill>
            <w14:solidFill>
              <w14:schemeClr w14:val="tx1"/>
            </w14:solidFill>
          </w14:textFill>
        </w:rPr>
        <w:t>根据《大庆市人民政府关于实施“三线一单”生态环境分区管控的意见》（庆政规〔2021〕3号），</w:t>
      </w:r>
      <w:r>
        <w:rPr>
          <w:rFonts w:hint="eastAsia" w:ascii="Times New Roman" w:hAnsi="Times New Roman" w:cs="Times New Roman" w:eastAsiaTheme="minorEastAsia"/>
          <w:color w:val="000000" w:themeColor="text1"/>
          <w:w w:val="99"/>
          <w:kern w:val="2"/>
          <w:sz w:val="24"/>
          <w:szCs w:val="24"/>
          <w:lang w:val="en-US"/>
          <w14:textFill>
            <w14:solidFill>
              <w14:schemeClr w14:val="tx1"/>
            </w14:solidFill>
          </w14:textFill>
        </w:rPr>
        <w:t>项目</w:t>
      </w:r>
      <w:r>
        <w:rPr>
          <w:rFonts w:ascii="Times New Roman" w:hAnsi="Times New Roman" w:cs="Times New Roman" w:eastAsiaTheme="minorEastAsia"/>
          <w:color w:val="000000" w:themeColor="text1"/>
          <w:w w:val="99"/>
          <w:kern w:val="2"/>
          <w:sz w:val="24"/>
          <w:szCs w:val="24"/>
          <w:lang w:val="en-US"/>
          <w14:textFill>
            <w14:solidFill>
              <w14:schemeClr w14:val="tx1"/>
            </w14:solidFill>
          </w14:textFill>
        </w:rPr>
        <w:t>占地涉及</w:t>
      </w:r>
      <w:r>
        <w:rPr>
          <w:rFonts w:hint="eastAsia" w:ascii="Times New Roman" w:hAnsi="Times New Roman" w:cs="Times New Roman" w:eastAsiaTheme="minorEastAsia"/>
          <w:color w:val="000000" w:themeColor="text1"/>
          <w:w w:val="99"/>
          <w:kern w:val="2"/>
          <w:sz w:val="24"/>
          <w:szCs w:val="24"/>
          <w:lang w:val="en-US"/>
          <w14:textFill>
            <w14:solidFill>
              <w14:schemeClr w14:val="tx1"/>
            </w14:solidFill>
          </w14:textFill>
        </w:rPr>
        <w:t>优先</w:t>
      </w:r>
      <w:r>
        <w:rPr>
          <w:rFonts w:ascii="Times New Roman" w:hAnsi="Times New Roman" w:cs="Times New Roman" w:eastAsiaTheme="minorEastAsia"/>
          <w:color w:val="000000" w:themeColor="text1"/>
          <w:w w:val="99"/>
          <w:kern w:val="2"/>
          <w:sz w:val="24"/>
          <w:szCs w:val="24"/>
          <w:lang w:val="en-US"/>
          <w14:textFill>
            <w14:solidFill>
              <w14:schemeClr w14:val="tx1"/>
            </w14:solidFill>
          </w14:textFill>
        </w:rPr>
        <w:t>管控单元</w:t>
      </w:r>
      <w:r>
        <w:rPr>
          <w:rFonts w:hint="eastAsia" w:ascii="Times New Roman" w:hAnsi="Times New Roman" w:cs="Times New Roman" w:eastAsiaTheme="minorEastAsia"/>
          <w:color w:val="000000" w:themeColor="text1"/>
          <w:w w:val="99"/>
          <w:kern w:val="2"/>
          <w:sz w:val="24"/>
          <w:szCs w:val="24"/>
          <w:lang w:val="en-US"/>
          <w14:textFill>
            <w14:solidFill>
              <w14:schemeClr w14:val="tx1"/>
            </w14:solidFill>
          </w14:textFill>
        </w:rPr>
        <w:t>和一般管控单元</w:t>
      </w:r>
      <w:r>
        <w:rPr>
          <w:rFonts w:ascii="Times New Roman" w:hAnsi="Times New Roman" w:cs="Times New Roman" w:eastAsiaTheme="minorEastAsia"/>
          <w:color w:val="000000" w:themeColor="text1"/>
          <w:w w:val="99"/>
          <w:kern w:val="2"/>
          <w:sz w:val="24"/>
          <w:szCs w:val="24"/>
          <w14:textFill>
            <w14:solidFill>
              <w14:schemeClr w14:val="tx1"/>
            </w14:solidFill>
          </w14:textFill>
        </w:rPr>
        <w:t>，根据大庆市生态环境准入清单，本项目位于</w:t>
      </w:r>
      <w:r>
        <w:rPr>
          <w:rFonts w:hint="eastAsia" w:ascii="Times New Roman" w:hAnsi="Times New Roman" w:cs="Times New Roman" w:eastAsiaTheme="minorEastAsia"/>
          <w:color w:val="000000" w:themeColor="text1"/>
          <w:w w:val="99"/>
          <w:kern w:val="2"/>
          <w:sz w:val="24"/>
          <w:szCs w:val="24"/>
          <w:lang w:eastAsia="zh-CN"/>
          <w14:textFill>
            <w14:solidFill>
              <w14:schemeClr w14:val="tx1"/>
            </w14:solidFill>
          </w14:textFill>
        </w:rPr>
        <w:t>红岗区杏树岗镇</w:t>
      </w:r>
      <w:r>
        <w:rPr>
          <w:rFonts w:ascii="Times New Roman" w:hAnsi="Times New Roman" w:cs="Times New Roman" w:eastAsiaTheme="minorEastAsia"/>
          <w:color w:val="000000" w:themeColor="text1"/>
          <w:w w:val="99"/>
          <w:kern w:val="2"/>
          <w:sz w:val="24"/>
          <w:szCs w:val="24"/>
          <w14:textFill>
            <w14:solidFill>
              <w14:schemeClr w14:val="tx1"/>
            </w14:solidFill>
          </w14:textFill>
        </w:rPr>
        <w:t>一般生态空间区-优先保护单元及</w:t>
      </w:r>
      <w:r>
        <w:rPr>
          <w:rFonts w:hint="eastAsia" w:ascii="Times New Roman" w:hAnsi="Times New Roman" w:cs="Times New Roman" w:eastAsiaTheme="minorEastAsia"/>
          <w:color w:val="000000" w:themeColor="text1"/>
          <w:w w:val="99"/>
          <w:kern w:val="2"/>
          <w:sz w:val="24"/>
          <w:szCs w:val="24"/>
          <w:lang w:eastAsia="zh-CN"/>
          <w14:textFill>
            <w14:solidFill>
              <w14:schemeClr w14:val="tx1"/>
            </w14:solidFill>
          </w14:textFill>
        </w:rPr>
        <w:t>红岗区杏树岗镇</w:t>
      </w:r>
      <w:r>
        <w:rPr>
          <w:rFonts w:ascii="Times New Roman" w:hAnsi="Times New Roman" w:cs="Times New Roman" w:eastAsiaTheme="minorEastAsia"/>
          <w:color w:val="000000" w:themeColor="text1"/>
          <w:w w:val="99"/>
          <w:kern w:val="2"/>
          <w:sz w:val="24"/>
          <w:szCs w:val="24"/>
          <w14:textFill>
            <w14:solidFill>
              <w14:schemeClr w14:val="tx1"/>
            </w14:solidFill>
          </w14:textFill>
        </w:rPr>
        <w:t>其他区域-一般管控单元。本项目与生态环境准入清单管控体系符合性分析见表1.4-15。</w:t>
      </w:r>
    </w:p>
    <w:p w14:paraId="617AED8B">
      <w:pPr>
        <w:spacing w:line="440" w:lineRule="exact"/>
        <w:ind w:firstLine="476" w:firstLineChars="200"/>
        <w:jc w:val="both"/>
        <w:rPr>
          <w:rFonts w:ascii="Times New Roman" w:hAnsi="Times New Roman" w:cs="Times New Roman" w:eastAsiaTheme="minorEastAsia"/>
          <w:b/>
          <w:bCs/>
          <w:color w:val="000000" w:themeColor="text1"/>
          <w:w w:val="99"/>
          <w:sz w:val="24"/>
          <w:szCs w:val="24"/>
          <w14:textFill>
            <w14:solidFill>
              <w14:schemeClr w14:val="tx1"/>
            </w14:solidFill>
          </w14:textFill>
        </w:rPr>
      </w:pPr>
      <w:r>
        <w:rPr>
          <w:rFonts w:ascii="Times New Roman" w:hAnsi="Times New Roman" w:cs="Times New Roman" w:eastAsiaTheme="minorEastAsia"/>
          <w:b/>
          <w:bCs/>
          <w:color w:val="000000" w:themeColor="text1"/>
          <w:w w:val="99"/>
          <w:sz w:val="24"/>
          <w:szCs w:val="24"/>
          <w14:textFill>
            <w14:solidFill>
              <w14:schemeClr w14:val="tx1"/>
            </w14:solidFill>
          </w14:textFill>
        </w:rPr>
        <w:t>表1.4-15    本项目与生态环境准入清单管控体系符合性分析</w:t>
      </w:r>
    </w:p>
    <w:tbl>
      <w:tblPr>
        <w:tblStyle w:val="80"/>
        <w:tblW w:w="904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90"/>
        <w:gridCol w:w="850"/>
        <w:gridCol w:w="4253"/>
        <w:gridCol w:w="2252"/>
        <w:gridCol w:w="698"/>
      </w:tblGrid>
      <w:tr w14:paraId="019274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84" w:hRule="atLeast"/>
          <w:jc w:val="center"/>
        </w:trPr>
        <w:tc>
          <w:tcPr>
            <w:tcW w:w="990" w:type="dxa"/>
            <w:shd w:val="clear" w:color="auto" w:fill="auto"/>
            <w:tcMar>
              <w:top w:w="0" w:type="dxa"/>
              <w:left w:w="57" w:type="dxa"/>
              <w:bottom w:w="0" w:type="dxa"/>
              <w:right w:w="57" w:type="dxa"/>
            </w:tcMar>
            <w:vAlign w:val="center"/>
          </w:tcPr>
          <w:p w14:paraId="2F110D1D">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环境管控单元名称</w:t>
            </w:r>
          </w:p>
        </w:tc>
        <w:tc>
          <w:tcPr>
            <w:tcW w:w="850" w:type="dxa"/>
            <w:shd w:val="clear" w:color="auto" w:fill="auto"/>
            <w:tcMar>
              <w:top w:w="0" w:type="dxa"/>
              <w:left w:w="57" w:type="dxa"/>
              <w:bottom w:w="0" w:type="dxa"/>
              <w:right w:w="57" w:type="dxa"/>
            </w:tcMar>
            <w:vAlign w:val="center"/>
          </w:tcPr>
          <w:p w14:paraId="3C30D412">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管控单元类别</w:t>
            </w:r>
          </w:p>
        </w:tc>
        <w:tc>
          <w:tcPr>
            <w:tcW w:w="4253" w:type="dxa"/>
            <w:shd w:val="clear" w:color="auto" w:fill="auto"/>
            <w:tcMar>
              <w:top w:w="0" w:type="dxa"/>
              <w:left w:w="57" w:type="dxa"/>
              <w:bottom w:w="0" w:type="dxa"/>
              <w:right w:w="57" w:type="dxa"/>
            </w:tcMar>
            <w:vAlign w:val="center"/>
          </w:tcPr>
          <w:p w14:paraId="38449BC5">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管控要求</w:t>
            </w:r>
          </w:p>
        </w:tc>
        <w:tc>
          <w:tcPr>
            <w:tcW w:w="2252" w:type="dxa"/>
            <w:shd w:val="clear" w:color="auto" w:fill="auto"/>
            <w:tcMar>
              <w:top w:w="0" w:type="dxa"/>
              <w:left w:w="57" w:type="dxa"/>
              <w:bottom w:w="0" w:type="dxa"/>
              <w:right w:w="57" w:type="dxa"/>
            </w:tcMar>
            <w:vAlign w:val="center"/>
          </w:tcPr>
          <w:p w14:paraId="3B189741">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本工程符合性分析</w:t>
            </w:r>
          </w:p>
        </w:tc>
        <w:tc>
          <w:tcPr>
            <w:tcW w:w="698" w:type="dxa"/>
            <w:shd w:val="clear" w:color="auto" w:fill="auto"/>
            <w:tcMar>
              <w:top w:w="0" w:type="dxa"/>
              <w:left w:w="57" w:type="dxa"/>
              <w:bottom w:w="0" w:type="dxa"/>
              <w:right w:w="57" w:type="dxa"/>
            </w:tcMar>
            <w:vAlign w:val="center"/>
          </w:tcPr>
          <w:p w14:paraId="396F656A">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符合性结论</w:t>
            </w:r>
          </w:p>
        </w:tc>
      </w:tr>
      <w:tr w14:paraId="530426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84" w:hRule="atLeast"/>
          <w:jc w:val="center"/>
        </w:trPr>
        <w:tc>
          <w:tcPr>
            <w:tcW w:w="990" w:type="dxa"/>
            <w:vMerge w:val="restart"/>
            <w:shd w:val="clear" w:color="auto" w:fill="auto"/>
            <w:tcMar>
              <w:top w:w="0" w:type="dxa"/>
              <w:left w:w="57" w:type="dxa"/>
              <w:bottom w:w="0" w:type="dxa"/>
              <w:right w:w="57" w:type="dxa"/>
            </w:tcMar>
            <w:vAlign w:val="center"/>
          </w:tcPr>
          <w:p w14:paraId="6A8514F9">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大庆市总体管控要求</w:t>
            </w:r>
          </w:p>
        </w:tc>
        <w:tc>
          <w:tcPr>
            <w:tcW w:w="850" w:type="dxa"/>
            <w:shd w:val="clear" w:color="auto" w:fill="auto"/>
            <w:tcMar>
              <w:top w:w="0" w:type="dxa"/>
              <w:left w:w="57" w:type="dxa"/>
              <w:bottom w:w="0" w:type="dxa"/>
              <w:right w:w="57" w:type="dxa"/>
            </w:tcMar>
            <w:vAlign w:val="center"/>
          </w:tcPr>
          <w:p w14:paraId="0E829497">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空间布局约束</w:t>
            </w:r>
          </w:p>
        </w:tc>
        <w:tc>
          <w:tcPr>
            <w:tcW w:w="4253" w:type="dxa"/>
            <w:shd w:val="clear" w:color="auto" w:fill="auto"/>
            <w:tcMar>
              <w:top w:w="0" w:type="dxa"/>
              <w:left w:w="57" w:type="dxa"/>
              <w:bottom w:w="0" w:type="dxa"/>
              <w:right w:w="57" w:type="dxa"/>
            </w:tcMar>
            <w:vAlign w:val="center"/>
          </w:tcPr>
          <w:p w14:paraId="428B14A9">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1.严格控制在优先保护类耕地集中区域新建有色金属冶炼、石油加工、化工、焦化、电镀、制革等行业企业，现有相关行业企业要采用新技术、新工艺，加快提标升级改造步伐，对超标、超总量排放情形严重的，依法责令其停业、关闭。</w:t>
            </w:r>
          </w:p>
          <w:p w14:paraId="6CA46CE3">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2.从严控制高能耗、高物耗、高水耗、低水平重复建设项目，以及涉危、涉重和其他重大环境风险项目。</w:t>
            </w:r>
          </w:p>
        </w:tc>
        <w:tc>
          <w:tcPr>
            <w:tcW w:w="2252" w:type="dxa"/>
            <w:shd w:val="clear" w:color="auto" w:fill="auto"/>
            <w:tcMar>
              <w:top w:w="0" w:type="dxa"/>
              <w:left w:w="57" w:type="dxa"/>
              <w:bottom w:w="0" w:type="dxa"/>
              <w:right w:w="57" w:type="dxa"/>
            </w:tcMar>
            <w:vAlign w:val="center"/>
          </w:tcPr>
          <w:p w14:paraId="7AF223F7">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本项目为石油天然气开采业，不属于高能耗、高物耗、高水耗、低水平重复建设项目。本项目环境风险评价等级为简单分析，不属于重大环境风险项目。本项目不占用优先保护类耕地集中区域。</w:t>
            </w:r>
          </w:p>
        </w:tc>
        <w:tc>
          <w:tcPr>
            <w:tcW w:w="698" w:type="dxa"/>
            <w:shd w:val="clear" w:color="auto" w:fill="auto"/>
            <w:tcMar>
              <w:top w:w="0" w:type="dxa"/>
              <w:left w:w="57" w:type="dxa"/>
              <w:bottom w:w="0" w:type="dxa"/>
              <w:right w:w="57" w:type="dxa"/>
            </w:tcMar>
            <w:vAlign w:val="center"/>
          </w:tcPr>
          <w:p w14:paraId="365AC353">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符合</w:t>
            </w:r>
          </w:p>
        </w:tc>
      </w:tr>
      <w:tr w14:paraId="5274DE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84" w:hRule="atLeast"/>
          <w:jc w:val="center"/>
        </w:trPr>
        <w:tc>
          <w:tcPr>
            <w:tcW w:w="990" w:type="dxa"/>
            <w:vMerge w:val="continue"/>
            <w:shd w:val="clear" w:color="auto" w:fill="auto"/>
            <w:tcMar>
              <w:top w:w="0" w:type="dxa"/>
              <w:left w:w="57" w:type="dxa"/>
              <w:bottom w:w="0" w:type="dxa"/>
              <w:right w:w="57" w:type="dxa"/>
            </w:tcMar>
            <w:vAlign w:val="center"/>
          </w:tcPr>
          <w:p w14:paraId="6135F926">
            <w:pPr>
              <w:jc w:val="both"/>
              <w:rPr>
                <w:rFonts w:ascii="Times New Roman" w:hAnsi="Times New Roman" w:cs="Times New Roman" w:eastAsiaTheme="minorEastAsia"/>
                <w:color w:val="000000" w:themeColor="text1"/>
                <w:w w:val="99"/>
                <w:sz w:val="21"/>
                <w:szCs w:val="21"/>
                <w14:textFill>
                  <w14:solidFill>
                    <w14:schemeClr w14:val="tx1"/>
                  </w14:solidFill>
                </w14:textFill>
              </w:rPr>
            </w:pPr>
          </w:p>
        </w:tc>
        <w:tc>
          <w:tcPr>
            <w:tcW w:w="850" w:type="dxa"/>
            <w:shd w:val="clear" w:color="auto" w:fill="auto"/>
            <w:tcMar>
              <w:top w:w="0" w:type="dxa"/>
              <w:left w:w="57" w:type="dxa"/>
              <w:bottom w:w="0" w:type="dxa"/>
              <w:right w:w="57" w:type="dxa"/>
            </w:tcMar>
            <w:vAlign w:val="center"/>
          </w:tcPr>
          <w:p w14:paraId="6EA41ADE">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污染物</w:t>
            </w:r>
          </w:p>
          <w:p w14:paraId="28A79E5A">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排放管控</w:t>
            </w:r>
          </w:p>
        </w:tc>
        <w:tc>
          <w:tcPr>
            <w:tcW w:w="4253" w:type="dxa"/>
            <w:shd w:val="clear" w:color="auto" w:fill="auto"/>
            <w:tcMar>
              <w:top w:w="0" w:type="dxa"/>
              <w:left w:w="57" w:type="dxa"/>
              <w:bottom w:w="0" w:type="dxa"/>
              <w:right w:w="57" w:type="dxa"/>
            </w:tcMar>
            <w:vAlign w:val="center"/>
          </w:tcPr>
          <w:p w14:paraId="4172A528">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1.相比于2017年，2025年和2035年全市大气污染物二氧化硫、氮氧化物、一次细颗粒物和VOCs削减比例不低于省政府确定的削减比例。</w:t>
            </w:r>
          </w:p>
          <w:p w14:paraId="6636CDCA">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2.相比于2017年，2025年和2035年全市水污染物化学需氧量和氨氮削减比例不低于省政府确定的削减比例。</w:t>
            </w:r>
          </w:p>
        </w:tc>
        <w:tc>
          <w:tcPr>
            <w:tcW w:w="2252" w:type="dxa"/>
            <w:shd w:val="clear" w:color="auto" w:fill="auto"/>
            <w:tcMar>
              <w:top w:w="0" w:type="dxa"/>
              <w:left w:w="57" w:type="dxa"/>
              <w:bottom w:w="0" w:type="dxa"/>
              <w:right w:w="57" w:type="dxa"/>
            </w:tcMar>
            <w:vAlign w:val="center"/>
          </w:tcPr>
          <w:p w14:paraId="5F81AB8D">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符合。本项目施工过程中产生的废气主要为施工扬尘、焊接烟尘。施工扬尘采取运输道路及施工场地定时洒水抑尘，</w:t>
            </w:r>
            <w:r>
              <w:rPr>
                <w:rFonts w:ascii="Times New Roman" w:hAnsi="Times New Roman" w:cs="Times New Roman" w:eastAsiaTheme="minorEastAsia"/>
                <w:bCs/>
                <w:color w:val="000000" w:themeColor="text1"/>
                <w:w w:val="99"/>
                <w:sz w:val="21"/>
                <w:szCs w:val="21"/>
                <w14:textFill>
                  <w14:solidFill>
                    <w14:schemeClr w14:val="tx1"/>
                  </w14:solidFill>
                </w14:textFill>
              </w:rPr>
              <w:t>运输</w:t>
            </w:r>
            <w:r>
              <w:rPr>
                <w:rFonts w:ascii="Times New Roman" w:hAnsi="Times New Roman" w:cs="Times New Roman" w:eastAsiaTheme="minorEastAsia"/>
                <w:color w:val="000000" w:themeColor="text1"/>
                <w:w w:val="99"/>
                <w:sz w:val="21"/>
                <w:szCs w:val="21"/>
                <w14:textFill>
                  <w14:solidFill>
                    <w14:schemeClr w14:val="tx1"/>
                  </w14:solidFill>
                </w14:textFill>
              </w:rPr>
              <w:t>车辆采取苫布遮盖措施，土方开挖采取遮盖、围挡、洒水等防尘措施；加强对机械设备的维护、保养，减少不必要的运转时间，以控制尾气的排放；项目管道焊接主要方式为电焊，由于项目焊接点较少，产生的焊接烟尘量较小，且项目位于室外，空气扩散条件较好，对大气环境影响较小。本项目施工期及运营期废水均不外排。</w:t>
            </w:r>
          </w:p>
        </w:tc>
        <w:tc>
          <w:tcPr>
            <w:tcW w:w="698" w:type="dxa"/>
            <w:shd w:val="clear" w:color="auto" w:fill="auto"/>
            <w:tcMar>
              <w:top w:w="0" w:type="dxa"/>
              <w:left w:w="57" w:type="dxa"/>
              <w:bottom w:w="0" w:type="dxa"/>
              <w:right w:w="57" w:type="dxa"/>
            </w:tcMar>
            <w:vAlign w:val="center"/>
          </w:tcPr>
          <w:p w14:paraId="0C9F3304">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符合</w:t>
            </w:r>
          </w:p>
        </w:tc>
      </w:tr>
      <w:tr w14:paraId="2EE088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84" w:hRule="atLeast"/>
          <w:jc w:val="center"/>
        </w:trPr>
        <w:tc>
          <w:tcPr>
            <w:tcW w:w="990" w:type="dxa"/>
            <w:vMerge w:val="continue"/>
            <w:shd w:val="clear" w:color="auto" w:fill="auto"/>
            <w:tcMar>
              <w:top w:w="0" w:type="dxa"/>
              <w:left w:w="57" w:type="dxa"/>
              <w:bottom w:w="0" w:type="dxa"/>
              <w:right w:w="57" w:type="dxa"/>
            </w:tcMar>
            <w:vAlign w:val="center"/>
          </w:tcPr>
          <w:p w14:paraId="68859106">
            <w:pPr>
              <w:jc w:val="both"/>
              <w:rPr>
                <w:rFonts w:ascii="Times New Roman" w:hAnsi="Times New Roman" w:cs="Times New Roman" w:eastAsiaTheme="minorEastAsia"/>
                <w:color w:val="000000" w:themeColor="text1"/>
                <w:w w:val="99"/>
                <w:sz w:val="21"/>
                <w:szCs w:val="21"/>
                <w14:textFill>
                  <w14:solidFill>
                    <w14:schemeClr w14:val="tx1"/>
                  </w14:solidFill>
                </w14:textFill>
              </w:rPr>
            </w:pPr>
          </w:p>
        </w:tc>
        <w:tc>
          <w:tcPr>
            <w:tcW w:w="850" w:type="dxa"/>
            <w:shd w:val="clear" w:color="auto" w:fill="auto"/>
            <w:tcMar>
              <w:top w:w="0" w:type="dxa"/>
              <w:left w:w="57" w:type="dxa"/>
              <w:bottom w:w="0" w:type="dxa"/>
              <w:right w:w="57" w:type="dxa"/>
            </w:tcMar>
            <w:vAlign w:val="center"/>
          </w:tcPr>
          <w:p w14:paraId="6719916F">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资源利用效率要求</w:t>
            </w:r>
          </w:p>
        </w:tc>
        <w:tc>
          <w:tcPr>
            <w:tcW w:w="4253" w:type="dxa"/>
            <w:shd w:val="clear" w:color="auto" w:fill="auto"/>
            <w:tcMar>
              <w:top w:w="0" w:type="dxa"/>
              <w:left w:w="57" w:type="dxa"/>
              <w:bottom w:w="0" w:type="dxa"/>
              <w:right w:w="57" w:type="dxa"/>
            </w:tcMar>
            <w:vAlign w:val="center"/>
          </w:tcPr>
          <w:p w14:paraId="5AED2BA2">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1.全市2030年用水总量控制指标不高于省政府确定的指标。</w:t>
            </w:r>
          </w:p>
          <w:p w14:paraId="57AFDDA9">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2.全市2025年及2035年建设用地开发上线不高于省政府确定的指标，耕地资源保护下线不低于省政府确定的指标。</w:t>
            </w:r>
          </w:p>
          <w:p w14:paraId="10D7873F">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3.全市2025年和2035年煤炭消费上线不高于省政府确定的指标。</w:t>
            </w:r>
          </w:p>
        </w:tc>
        <w:tc>
          <w:tcPr>
            <w:tcW w:w="2252" w:type="dxa"/>
            <w:shd w:val="clear" w:color="auto" w:fill="auto"/>
            <w:tcMar>
              <w:top w:w="0" w:type="dxa"/>
              <w:left w:w="57" w:type="dxa"/>
              <w:bottom w:w="0" w:type="dxa"/>
              <w:right w:w="57" w:type="dxa"/>
            </w:tcMar>
            <w:vAlign w:val="center"/>
          </w:tcPr>
          <w:p w14:paraId="376C301D">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项目建设不新增永久占地，临时占地均为施工结束后进行生态恢复，土地的占用较少；本项目施工期消耗的水主要用于生活及管线试压需要，用量较少，运营期不新增水资源消耗；本项目拆除拉油点内九合一装置，改为集输管线进行集油，用电量大幅度减少，项目资源消耗量相对区域资源利用总量较小</w:t>
            </w:r>
            <w:r>
              <w:rPr>
                <w:rFonts w:ascii="Times New Roman" w:hAnsi="Times New Roman" w:cs="Times New Roman" w:eastAsiaTheme="minorEastAsia"/>
                <w:color w:val="000000" w:themeColor="text1"/>
                <w:w w:val="99"/>
                <w:sz w:val="21"/>
                <w:szCs w:val="21"/>
                <w14:textFill>
                  <w14:solidFill>
                    <w14:schemeClr w14:val="tx1"/>
                  </w14:solidFill>
                </w14:textFill>
              </w:rPr>
              <w:t>。</w:t>
            </w:r>
          </w:p>
        </w:tc>
        <w:tc>
          <w:tcPr>
            <w:tcW w:w="698" w:type="dxa"/>
            <w:shd w:val="clear" w:color="auto" w:fill="auto"/>
            <w:tcMar>
              <w:top w:w="0" w:type="dxa"/>
              <w:left w:w="57" w:type="dxa"/>
              <w:bottom w:w="0" w:type="dxa"/>
              <w:right w:w="57" w:type="dxa"/>
            </w:tcMar>
            <w:vAlign w:val="center"/>
          </w:tcPr>
          <w:p w14:paraId="4C7E932A">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符合</w:t>
            </w:r>
          </w:p>
        </w:tc>
      </w:tr>
      <w:tr w14:paraId="2E52E8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84" w:hRule="atLeast"/>
          <w:jc w:val="center"/>
        </w:trPr>
        <w:tc>
          <w:tcPr>
            <w:tcW w:w="990" w:type="dxa"/>
            <w:vMerge w:val="restart"/>
            <w:shd w:val="clear" w:color="auto" w:fill="auto"/>
            <w:tcMar>
              <w:top w:w="0" w:type="dxa"/>
              <w:left w:w="57" w:type="dxa"/>
              <w:bottom w:w="0" w:type="dxa"/>
              <w:right w:w="57" w:type="dxa"/>
            </w:tcMar>
            <w:vAlign w:val="center"/>
          </w:tcPr>
          <w:p w14:paraId="76ECF271">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大庆市一般管控单元</w:t>
            </w:r>
          </w:p>
        </w:tc>
        <w:tc>
          <w:tcPr>
            <w:tcW w:w="850" w:type="dxa"/>
            <w:shd w:val="clear" w:color="auto" w:fill="auto"/>
            <w:tcMar>
              <w:top w:w="0" w:type="dxa"/>
              <w:left w:w="57" w:type="dxa"/>
              <w:bottom w:w="0" w:type="dxa"/>
              <w:right w:w="57" w:type="dxa"/>
            </w:tcMar>
            <w:vAlign w:val="center"/>
          </w:tcPr>
          <w:p w14:paraId="7B1DCE4F">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空间布局约束</w:t>
            </w:r>
          </w:p>
        </w:tc>
        <w:tc>
          <w:tcPr>
            <w:tcW w:w="4253" w:type="dxa"/>
            <w:shd w:val="clear" w:color="auto" w:fill="auto"/>
            <w:tcMar>
              <w:top w:w="0" w:type="dxa"/>
              <w:left w:w="57" w:type="dxa"/>
              <w:bottom w:w="0" w:type="dxa"/>
              <w:right w:w="57" w:type="dxa"/>
            </w:tcMar>
            <w:vAlign w:val="center"/>
          </w:tcPr>
          <w:p w14:paraId="4180B73E">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贯彻实施国家与黑龙江省大气、水污染相关各项标准，深化重点行业污染治理，推进国家和地方确定的各项产业结构调整措施。</w:t>
            </w:r>
          </w:p>
          <w:p w14:paraId="020299D2">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引导工业项目向开发区集中，促进产业集聚、资源集约、绿色发展。对电力、钢铁、建材、有色、化工、石油石化、煤炭、印染等行业中，环保、能耗等不达标或生产、使用淘汰类产品的企业和产能，依法依规改造升级或有序退出。</w:t>
            </w:r>
          </w:p>
        </w:tc>
        <w:tc>
          <w:tcPr>
            <w:tcW w:w="2252" w:type="dxa"/>
            <w:shd w:val="clear" w:color="auto" w:fill="auto"/>
            <w:tcMar>
              <w:top w:w="0" w:type="dxa"/>
              <w:left w:w="57" w:type="dxa"/>
              <w:bottom w:w="0" w:type="dxa"/>
              <w:right w:w="57" w:type="dxa"/>
            </w:tcMar>
            <w:vAlign w:val="center"/>
          </w:tcPr>
          <w:p w14:paraId="38D3CE07">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根据</w:t>
            </w:r>
            <w:r>
              <w:rPr>
                <w:rFonts w:hint="eastAsia" w:ascii="Times New Roman" w:hAnsi="Times New Roman" w:cs="Times New Roman" w:eastAsiaTheme="minorEastAsia"/>
                <w:color w:val="000000" w:themeColor="text1"/>
                <w:w w:val="99"/>
                <w:sz w:val="21"/>
                <w:szCs w:val="21"/>
                <w:lang w:eastAsia="zh-CN"/>
                <w14:textFill>
                  <w14:solidFill>
                    <w14:schemeClr w14:val="tx1"/>
                  </w14:solidFill>
                </w14:textFill>
              </w:rPr>
              <w:t>《产业结构调整指导目录（2024年本）</w:t>
            </w:r>
            <w:r>
              <w:rPr>
                <w:rFonts w:ascii="Times New Roman" w:hAnsi="Times New Roman" w:cs="Times New Roman" w:eastAsiaTheme="minorEastAsia"/>
                <w:color w:val="000000" w:themeColor="text1"/>
                <w:w w:val="99"/>
                <w:sz w:val="21"/>
                <w:szCs w:val="21"/>
                <w14:textFill>
                  <w14:solidFill>
                    <w14:schemeClr w14:val="tx1"/>
                  </w14:solidFill>
                </w14:textFill>
              </w:rPr>
              <w:t>》，本工程属于石油、天然气勘探及开采属于鼓励类项目，符合国家产业政策。</w:t>
            </w:r>
          </w:p>
        </w:tc>
        <w:tc>
          <w:tcPr>
            <w:tcW w:w="698" w:type="dxa"/>
            <w:shd w:val="clear" w:color="auto" w:fill="auto"/>
            <w:tcMar>
              <w:top w:w="0" w:type="dxa"/>
              <w:left w:w="57" w:type="dxa"/>
              <w:bottom w:w="0" w:type="dxa"/>
              <w:right w:w="57" w:type="dxa"/>
            </w:tcMar>
            <w:vAlign w:val="center"/>
          </w:tcPr>
          <w:p w14:paraId="3093B9FD">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符合</w:t>
            </w:r>
          </w:p>
        </w:tc>
      </w:tr>
      <w:tr w14:paraId="5ABC38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84" w:hRule="atLeast"/>
          <w:jc w:val="center"/>
        </w:trPr>
        <w:tc>
          <w:tcPr>
            <w:tcW w:w="990" w:type="dxa"/>
            <w:vMerge w:val="continue"/>
            <w:shd w:val="clear" w:color="auto" w:fill="auto"/>
            <w:tcMar>
              <w:top w:w="0" w:type="dxa"/>
              <w:left w:w="57" w:type="dxa"/>
              <w:bottom w:w="0" w:type="dxa"/>
              <w:right w:w="57" w:type="dxa"/>
            </w:tcMar>
            <w:vAlign w:val="center"/>
          </w:tcPr>
          <w:p w14:paraId="3DAB0B9E">
            <w:pPr>
              <w:jc w:val="both"/>
              <w:rPr>
                <w:rFonts w:ascii="Times New Roman" w:hAnsi="Times New Roman" w:cs="Times New Roman" w:eastAsiaTheme="minorEastAsia"/>
                <w:color w:val="000000" w:themeColor="text1"/>
                <w:w w:val="99"/>
                <w:sz w:val="21"/>
                <w:szCs w:val="21"/>
                <w14:textFill>
                  <w14:solidFill>
                    <w14:schemeClr w14:val="tx1"/>
                  </w14:solidFill>
                </w14:textFill>
              </w:rPr>
            </w:pPr>
          </w:p>
        </w:tc>
        <w:tc>
          <w:tcPr>
            <w:tcW w:w="850" w:type="dxa"/>
            <w:shd w:val="clear" w:color="auto" w:fill="auto"/>
            <w:tcMar>
              <w:top w:w="0" w:type="dxa"/>
              <w:left w:w="57" w:type="dxa"/>
              <w:bottom w:w="0" w:type="dxa"/>
              <w:right w:w="57" w:type="dxa"/>
            </w:tcMar>
            <w:vAlign w:val="center"/>
          </w:tcPr>
          <w:p w14:paraId="65E96F75">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资源利用效率要求</w:t>
            </w:r>
          </w:p>
        </w:tc>
        <w:tc>
          <w:tcPr>
            <w:tcW w:w="4253" w:type="dxa"/>
            <w:shd w:val="clear" w:color="auto" w:fill="auto"/>
            <w:tcMar>
              <w:top w:w="0" w:type="dxa"/>
              <w:left w:w="57" w:type="dxa"/>
              <w:bottom w:w="0" w:type="dxa"/>
              <w:right w:w="57" w:type="dxa"/>
            </w:tcMar>
            <w:vAlign w:val="center"/>
          </w:tcPr>
          <w:p w14:paraId="4765CB26">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1.永久基本农田一经划定，任何单位和个人不得擅自占用或改变用途。一般建设项目不得占用永久基本农田。</w:t>
            </w:r>
          </w:p>
          <w:p w14:paraId="272F3D02">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2.在永久基本农田集中区域，不得新建可能造成土壤污染的建设项目；已经建成的，应当限期关闭拆除。</w:t>
            </w:r>
          </w:p>
          <w:p w14:paraId="5A444526">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3.禁止任何单位和个人在基本农田保护区内建窑、建房、建坟、挖砂、采石、采矿、取土、堆放固体废弃物或者进行其他破坏基本农田的活动。</w:t>
            </w:r>
          </w:p>
          <w:p w14:paraId="081DB154">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4.禁止任何单位和个人占用基本农田发展林果业和挖塘养鱼。</w:t>
            </w:r>
          </w:p>
          <w:p w14:paraId="762893EB">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5.永久基本农田内不得种植破坏耕作层难以恢复的杨树、桉树、构树等林木，不得种植草坪、草皮等用于绿化装饰的植物，不得种植其他破坏耕作层的植物。</w:t>
            </w:r>
          </w:p>
          <w:p w14:paraId="0DBF8540">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6.禁止任何单位和个人破坏永久基本农田耕作层。</w:t>
            </w:r>
          </w:p>
          <w:p w14:paraId="0767AADD">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7.禁止以设施农用地为名违规占用永久基本农田建设休闲旅游、仓储厂房等设施。</w:t>
            </w:r>
          </w:p>
          <w:p w14:paraId="2F12A61F">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8.禁止向农用地排放重金属或者其他有毒有害物质含量超标的污水、污泥，以及可能造成土壤污染的清淤底泥、尾矿、矿渣等。</w:t>
            </w:r>
          </w:p>
        </w:tc>
        <w:tc>
          <w:tcPr>
            <w:tcW w:w="2252" w:type="dxa"/>
            <w:shd w:val="clear" w:color="auto" w:fill="auto"/>
            <w:tcMar>
              <w:top w:w="0" w:type="dxa"/>
              <w:left w:w="57" w:type="dxa"/>
              <w:bottom w:w="0" w:type="dxa"/>
              <w:right w:w="57" w:type="dxa"/>
            </w:tcMar>
            <w:vAlign w:val="center"/>
          </w:tcPr>
          <w:p w14:paraId="797BB1D3">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iCs/>
                <w:color w:val="000000" w:themeColor="text1"/>
                <w:w w:val="99"/>
                <w:sz w:val="21"/>
                <w:szCs w:val="21"/>
                <w14:textFill>
                  <w14:solidFill>
                    <w14:schemeClr w14:val="tx1"/>
                  </w14:solidFill>
                </w14:textFill>
              </w:rPr>
              <w:t>本项目不占用基本农田，临时占用一般耕地及一般草地，项目施工期</w:t>
            </w:r>
            <w:r>
              <w:rPr>
                <w:rFonts w:ascii="Times New Roman" w:hAnsi="Times New Roman" w:cs="Times New Roman" w:eastAsiaTheme="minorEastAsia"/>
                <w:bCs/>
                <w:iCs/>
                <w:color w:val="000000" w:themeColor="text1"/>
                <w:w w:val="99"/>
                <w:sz w:val="21"/>
                <w:szCs w:val="21"/>
                <w14:textFill>
                  <w14:solidFill>
                    <w14:schemeClr w14:val="tx1"/>
                  </w14:solidFill>
                </w14:textFill>
              </w:rPr>
              <w:t>试压废水由罐车拉运至龙一联含油污水处理站处理达标后回注，生活污水</w:t>
            </w:r>
            <w:r>
              <w:rPr>
                <w:rFonts w:ascii="Times New Roman" w:hAnsi="Times New Roman" w:cs="Times New Roman" w:eastAsiaTheme="minorEastAsia"/>
                <w:bCs/>
                <w:iCs/>
                <w:color w:val="000000" w:themeColor="text1"/>
                <w:w w:val="99"/>
                <w:sz w:val="21"/>
                <w:szCs w:val="21"/>
                <w:lang w:val="en-US"/>
                <w14:textFill>
                  <w14:solidFill>
                    <w14:schemeClr w14:val="tx1"/>
                  </w14:solidFill>
                </w14:textFill>
              </w:rPr>
              <w:t>排入拉油点已建防渗旱厕，定期清掏外运堆肥处理</w:t>
            </w:r>
            <w:r>
              <w:rPr>
                <w:rFonts w:ascii="Times New Roman" w:hAnsi="Times New Roman" w:cs="Times New Roman" w:eastAsiaTheme="minorEastAsia"/>
                <w:iCs/>
                <w:color w:val="000000" w:themeColor="text1"/>
                <w:w w:val="99"/>
                <w:sz w:val="21"/>
                <w:szCs w:val="21"/>
                <w14:textFill>
                  <w14:solidFill>
                    <w14:schemeClr w14:val="tx1"/>
                  </w14:solidFill>
                </w14:textFill>
              </w:rPr>
              <w:t>。清淤油泥</w:t>
            </w:r>
            <w:r>
              <w:rPr>
                <w:rFonts w:ascii="Times New Roman" w:hAnsi="Times New Roman" w:cs="Times New Roman" w:eastAsiaTheme="minorEastAsia"/>
                <w:bCs/>
                <w:iCs/>
                <w:color w:val="000000" w:themeColor="text1"/>
                <w:w w:val="99"/>
                <w:sz w:val="21"/>
                <w:szCs w:val="21"/>
                <w:lang w:val="en-US"/>
                <w14:textFill>
                  <w14:solidFill>
                    <w14:schemeClr w14:val="tx1"/>
                  </w14:solidFill>
                </w14:textFill>
              </w:rPr>
              <w:t>由罐车拉运至</w:t>
            </w:r>
            <w:r>
              <w:rPr>
                <w:rFonts w:hint="eastAsia" w:ascii="Times New Roman" w:hAnsi="Times New Roman" w:cs="Times New Roman" w:eastAsiaTheme="minorEastAsia"/>
                <w:bCs/>
                <w:iCs/>
                <w:color w:val="000000" w:themeColor="text1"/>
                <w:w w:val="99"/>
                <w:sz w:val="21"/>
                <w:szCs w:val="21"/>
                <w:lang w:val="en-US" w:eastAsia="zh-CN"/>
                <w14:textFill>
                  <w14:solidFill>
                    <w14:schemeClr w14:val="tx1"/>
                  </w14:solidFill>
                </w14:textFill>
              </w:rPr>
              <w:t>第五采油厂</w:t>
            </w:r>
            <w:r>
              <w:rPr>
                <w:rFonts w:ascii="Times New Roman" w:hAnsi="Times New Roman" w:cs="Times New Roman" w:eastAsiaTheme="minorEastAsia"/>
                <w:bCs/>
                <w:iCs/>
                <w:color w:val="000000" w:themeColor="text1"/>
                <w:w w:val="99"/>
                <w:sz w:val="21"/>
                <w:szCs w:val="21"/>
                <w:lang w:val="en-US"/>
                <w14:textFill>
                  <w14:solidFill>
                    <w14:schemeClr w14:val="tx1"/>
                  </w14:solidFill>
                </w14:textFill>
              </w:rPr>
              <w:t>含油污泥处理站处理，均不外排。</w:t>
            </w:r>
          </w:p>
        </w:tc>
        <w:tc>
          <w:tcPr>
            <w:tcW w:w="698" w:type="dxa"/>
            <w:shd w:val="clear" w:color="auto" w:fill="auto"/>
            <w:tcMar>
              <w:top w:w="0" w:type="dxa"/>
              <w:left w:w="57" w:type="dxa"/>
              <w:bottom w:w="0" w:type="dxa"/>
              <w:right w:w="57" w:type="dxa"/>
            </w:tcMar>
            <w:vAlign w:val="center"/>
          </w:tcPr>
          <w:p w14:paraId="1961DF32">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符合</w:t>
            </w:r>
          </w:p>
        </w:tc>
      </w:tr>
      <w:tr w14:paraId="4E8270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84" w:hRule="atLeast"/>
          <w:jc w:val="center"/>
        </w:trPr>
        <w:tc>
          <w:tcPr>
            <w:tcW w:w="990" w:type="dxa"/>
            <w:vMerge w:val="continue"/>
            <w:shd w:val="clear" w:color="auto" w:fill="auto"/>
            <w:tcMar>
              <w:top w:w="0" w:type="dxa"/>
              <w:left w:w="57" w:type="dxa"/>
              <w:bottom w:w="0" w:type="dxa"/>
              <w:right w:w="57" w:type="dxa"/>
            </w:tcMar>
            <w:vAlign w:val="center"/>
          </w:tcPr>
          <w:p w14:paraId="01C6430C">
            <w:pPr>
              <w:jc w:val="both"/>
              <w:rPr>
                <w:rFonts w:ascii="Times New Roman" w:hAnsi="Times New Roman" w:cs="Times New Roman" w:eastAsiaTheme="minorEastAsia"/>
                <w:color w:val="000000" w:themeColor="text1"/>
                <w:w w:val="99"/>
                <w:sz w:val="21"/>
                <w:szCs w:val="21"/>
                <w14:textFill>
                  <w14:solidFill>
                    <w14:schemeClr w14:val="tx1"/>
                  </w14:solidFill>
                </w14:textFill>
              </w:rPr>
            </w:pPr>
          </w:p>
        </w:tc>
        <w:tc>
          <w:tcPr>
            <w:tcW w:w="850" w:type="dxa"/>
            <w:shd w:val="clear" w:color="auto" w:fill="auto"/>
            <w:tcMar>
              <w:top w:w="0" w:type="dxa"/>
              <w:left w:w="57" w:type="dxa"/>
              <w:bottom w:w="0" w:type="dxa"/>
              <w:right w:w="57" w:type="dxa"/>
            </w:tcMar>
            <w:vAlign w:val="center"/>
          </w:tcPr>
          <w:p w14:paraId="2E06D065">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环境风险防控</w:t>
            </w:r>
          </w:p>
        </w:tc>
        <w:tc>
          <w:tcPr>
            <w:tcW w:w="4253" w:type="dxa"/>
            <w:shd w:val="clear" w:color="auto" w:fill="auto"/>
            <w:tcMar>
              <w:top w:w="0" w:type="dxa"/>
              <w:left w:w="57" w:type="dxa"/>
              <w:bottom w:w="0" w:type="dxa"/>
              <w:right w:w="57" w:type="dxa"/>
            </w:tcMar>
            <w:vAlign w:val="center"/>
          </w:tcPr>
          <w:p w14:paraId="56756C8A">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各级自然资源等部门在编制土地利用总体规划、城市总体规划、控制性详细规划等相关规划时，应充分考虑污染地块的环境风险，合理确定土地用途。</w:t>
            </w:r>
          </w:p>
        </w:tc>
        <w:tc>
          <w:tcPr>
            <w:tcW w:w="2252" w:type="dxa"/>
            <w:shd w:val="clear" w:color="auto" w:fill="auto"/>
            <w:tcMar>
              <w:top w:w="0" w:type="dxa"/>
              <w:left w:w="57" w:type="dxa"/>
              <w:bottom w:w="0" w:type="dxa"/>
              <w:right w:w="57" w:type="dxa"/>
            </w:tcMar>
            <w:vAlign w:val="center"/>
          </w:tcPr>
          <w:p w14:paraId="71D1BD4D">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本项目不占用污染地块，土壤环境质量现状监测达标</w:t>
            </w:r>
          </w:p>
        </w:tc>
        <w:tc>
          <w:tcPr>
            <w:tcW w:w="698" w:type="dxa"/>
            <w:shd w:val="clear" w:color="auto" w:fill="auto"/>
            <w:tcMar>
              <w:top w:w="0" w:type="dxa"/>
              <w:left w:w="57" w:type="dxa"/>
              <w:bottom w:w="0" w:type="dxa"/>
              <w:right w:w="57" w:type="dxa"/>
            </w:tcMar>
            <w:vAlign w:val="center"/>
          </w:tcPr>
          <w:p w14:paraId="165824A4">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符合</w:t>
            </w:r>
          </w:p>
        </w:tc>
      </w:tr>
      <w:tr w14:paraId="3335E4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990" w:type="dxa"/>
            <w:shd w:val="clear" w:color="auto" w:fill="auto"/>
            <w:tcMar>
              <w:top w:w="0" w:type="dxa"/>
              <w:left w:w="57" w:type="dxa"/>
              <w:bottom w:w="0" w:type="dxa"/>
              <w:right w:w="57" w:type="dxa"/>
            </w:tcMar>
            <w:vAlign w:val="center"/>
          </w:tcPr>
          <w:p w14:paraId="7D169549">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eastAsia="zh-CN"/>
                <w14:textFill>
                  <w14:solidFill>
                    <w14:schemeClr w14:val="tx1"/>
                  </w14:solidFill>
                </w14:textFill>
              </w:rPr>
              <w:t>红岗区杏树岗镇</w:t>
            </w:r>
            <w:r>
              <w:rPr>
                <w:rFonts w:ascii="Times New Roman" w:hAnsi="Times New Roman" w:cs="Times New Roman" w:eastAsiaTheme="minorEastAsia"/>
                <w:color w:val="000000" w:themeColor="text1"/>
                <w:w w:val="99"/>
                <w:sz w:val="21"/>
                <w:szCs w:val="21"/>
                <w14:textFill>
                  <w14:solidFill>
                    <w14:schemeClr w14:val="tx1"/>
                  </w14:solidFill>
                </w14:textFill>
              </w:rPr>
              <w:t>一般生态空间区-优先保护单元</w:t>
            </w:r>
          </w:p>
        </w:tc>
        <w:tc>
          <w:tcPr>
            <w:tcW w:w="850" w:type="dxa"/>
            <w:shd w:val="clear" w:color="auto" w:fill="auto"/>
            <w:tcMar>
              <w:top w:w="0" w:type="dxa"/>
              <w:left w:w="57" w:type="dxa"/>
              <w:bottom w:w="0" w:type="dxa"/>
              <w:right w:w="57" w:type="dxa"/>
            </w:tcMar>
            <w:vAlign w:val="center"/>
          </w:tcPr>
          <w:p w14:paraId="666A0608">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空间布局约束</w:t>
            </w:r>
          </w:p>
        </w:tc>
        <w:tc>
          <w:tcPr>
            <w:tcW w:w="4253" w:type="dxa"/>
            <w:shd w:val="clear" w:color="auto" w:fill="auto"/>
            <w:tcMar>
              <w:top w:w="0" w:type="dxa"/>
              <w:left w:w="57" w:type="dxa"/>
              <w:bottom w:w="0" w:type="dxa"/>
              <w:right w:w="57" w:type="dxa"/>
            </w:tcMar>
            <w:vAlign w:val="center"/>
          </w:tcPr>
          <w:p w14:paraId="0C764C22">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1.区域执行本清单</w:t>
            </w:r>
            <w:r>
              <w:rPr>
                <w:rFonts w:ascii="Times New Roman" w:hAnsi="Times New Roman" w:cs="Times New Roman" w:eastAsiaTheme="minorEastAsia"/>
                <w:b/>
                <w:bCs/>
                <w:color w:val="000000" w:themeColor="text1"/>
                <w:w w:val="99"/>
                <w:sz w:val="21"/>
                <w:szCs w:val="21"/>
                <w14:textFill>
                  <w14:solidFill>
                    <w14:schemeClr w14:val="tx1"/>
                  </w14:solidFill>
                </w14:textFill>
              </w:rPr>
              <w:t>全市准入要求</w:t>
            </w:r>
            <w:r>
              <w:rPr>
                <w:rFonts w:ascii="Times New Roman" w:hAnsi="Times New Roman" w:cs="Times New Roman" w:eastAsiaTheme="minorEastAsia"/>
                <w:color w:val="000000" w:themeColor="text1"/>
                <w:w w:val="99"/>
                <w:sz w:val="21"/>
                <w:szCs w:val="21"/>
                <w14:textFill>
                  <w14:solidFill>
                    <w14:schemeClr w14:val="tx1"/>
                  </w14:solidFill>
                </w14:textFill>
              </w:rPr>
              <w:t>中</w:t>
            </w:r>
            <w:r>
              <w:rPr>
                <w:rFonts w:ascii="Times New Roman" w:hAnsi="Times New Roman" w:cs="Times New Roman" w:eastAsiaTheme="minorEastAsia"/>
                <w:b/>
                <w:color w:val="000000" w:themeColor="text1"/>
                <w:w w:val="99"/>
                <w:sz w:val="21"/>
                <w:szCs w:val="21"/>
                <w14:textFill>
                  <w14:solidFill>
                    <w14:schemeClr w14:val="tx1"/>
                  </w14:solidFill>
                </w14:textFill>
              </w:rPr>
              <w:t>“3.1总体要求”</w:t>
            </w:r>
            <w:r>
              <w:rPr>
                <w:rFonts w:ascii="Times New Roman" w:hAnsi="Times New Roman" w:cs="Times New Roman" w:eastAsiaTheme="minorEastAsia"/>
                <w:bCs/>
                <w:color w:val="000000" w:themeColor="text1"/>
                <w:w w:val="99"/>
                <w:sz w:val="21"/>
                <w:szCs w:val="21"/>
                <w14:textFill>
                  <w14:solidFill>
                    <w14:schemeClr w14:val="tx1"/>
                  </w14:solidFill>
                </w14:textFill>
              </w:rPr>
              <w:t>。</w:t>
            </w:r>
          </w:p>
          <w:p w14:paraId="3153650E">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fldChar w:fldCharType="begin"/>
            </w:r>
            <w:r>
              <w:rPr>
                <w:rFonts w:ascii="Times New Roman" w:hAnsi="Times New Roman" w:cs="Times New Roman" w:eastAsiaTheme="minorEastAsia"/>
                <w:color w:val="000000" w:themeColor="text1"/>
                <w:w w:val="99"/>
                <w:sz w:val="21"/>
                <w:szCs w:val="21"/>
                <w14:textFill>
                  <w14:solidFill>
                    <w14:schemeClr w14:val="tx1"/>
                  </w14:solidFill>
                </w14:textFill>
              </w:rPr>
              <w:instrText xml:space="preserve"> eq \o\ac(○,</w:instrText>
            </w:r>
            <w:r>
              <w:rPr>
                <w:rFonts w:ascii="Times New Roman" w:hAnsi="Times New Roman" w:cs="Times New Roman" w:eastAsiaTheme="minorEastAsia"/>
                <w:color w:val="000000" w:themeColor="text1"/>
                <w:w w:val="99"/>
                <w:position w:val="2"/>
                <w:sz w:val="21"/>
                <w:szCs w:val="21"/>
                <w14:textFill>
                  <w14:solidFill>
                    <w14:schemeClr w14:val="tx1"/>
                  </w14:solidFill>
                </w14:textFill>
              </w:rPr>
              <w:instrText xml:space="preserve">1</w:instrText>
            </w:r>
            <w:r>
              <w:rPr>
                <w:rFonts w:ascii="Times New Roman" w:hAnsi="Times New Roman" w:cs="Times New Roman" w:eastAsiaTheme="minorEastAsia"/>
                <w:color w:val="000000" w:themeColor="text1"/>
                <w:w w:val="99"/>
                <w:sz w:val="21"/>
                <w:szCs w:val="21"/>
                <w14:textFill>
                  <w14:solidFill>
                    <w14:schemeClr w14:val="tx1"/>
                  </w14:solidFill>
                </w14:textFill>
              </w:rPr>
              <w:instrText xml:space="preserve">)</w:instrText>
            </w:r>
            <w:r>
              <w:rPr>
                <w:rFonts w:ascii="Times New Roman" w:hAnsi="Times New Roman" w:cs="Times New Roman" w:eastAsiaTheme="minorEastAsia"/>
                <w:color w:val="000000" w:themeColor="text1"/>
                <w:w w:val="99"/>
                <w:sz w:val="21"/>
                <w:szCs w:val="21"/>
                <w14:textFill>
                  <w14:solidFill>
                    <w14:schemeClr w14:val="tx1"/>
                  </w14:solidFill>
                </w14:textFill>
              </w:rPr>
              <w:fldChar w:fldCharType="end"/>
            </w:r>
            <w:r>
              <w:rPr>
                <w:rFonts w:ascii="Times New Roman" w:hAnsi="Times New Roman" w:cs="Times New Roman" w:eastAsiaTheme="minorEastAsia"/>
                <w:color w:val="000000" w:themeColor="text1"/>
                <w:w w:val="99"/>
                <w:sz w:val="21"/>
                <w:szCs w:val="21"/>
                <w14:textFill>
                  <w14:solidFill>
                    <w14:schemeClr w14:val="tx1"/>
                  </w14:solidFill>
                </w14:textFill>
              </w:rPr>
              <w:t>原则上按限制开发区域的要求进行管理。符合区域准入条件的新增建设项目，涉及占用生态空间中的林地、草原等，按有关法律法规规定办理；涉及占用生态空间中其他未作明确规定的用地，应当加强论证和管理。符合条件的农业开发项目，须依法由县级及以上地方人民政府统筹安排。除符合国家生态退耕条件的耕地，并纳入国家生态退耕总体安排，或因国家重大生态工程建设需要外，不得随意转用。</w:t>
            </w:r>
          </w:p>
          <w:p w14:paraId="6758A678">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fldChar w:fldCharType="begin"/>
            </w:r>
            <w:r>
              <w:rPr>
                <w:rFonts w:ascii="Times New Roman" w:hAnsi="Times New Roman" w:cs="Times New Roman" w:eastAsiaTheme="minorEastAsia"/>
                <w:color w:val="000000" w:themeColor="text1"/>
                <w:w w:val="99"/>
                <w:sz w:val="21"/>
                <w:szCs w:val="21"/>
                <w14:textFill>
                  <w14:solidFill>
                    <w14:schemeClr w14:val="tx1"/>
                  </w14:solidFill>
                </w14:textFill>
              </w:rPr>
              <w:instrText xml:space="preserve"> eq \o\ac(○,</w:instrText>
            </w:r>
            <w:r>
              <w:rPr>
                <w:rFonts w:ascii="Times New Roman" w:hAnsi="Times New Roman" w:cs="Times New Roman" w:eastAsiaTheme="minorEastAsia"/>
                <w:color w:val="000000" w:themeColor="text1"/>
                <w:w w:val="99"/>
                <w:position w:val="2"/>
                <w:sz w:val="21"/>
                <w:szCs w:val="21"/>
                <w14:textFill>
                  <w14:solidFill>
                    <w14:schemeClr w14:val="tx1"/>
                  </w14:solidFill>
                </w14:textFill>
              </w:rPr>
              <w:instrText xml:space="preserve">2</w:instrText>
            </w:r>
            <w:r>
              <w:rPr>
                <w:rFonts w:ascii="Times New Roman" w:hAnsi="Times New Roman" w:cs="Times New Roman" w:eastAsiaTheme="minorEastAsia"/>
                <w:color w:val="000000" w:themeColor="text1"/>
                <w:w w:val="99"/>
                <w:sz w:val="21"/>
                <w:szCs w:val="21"/>
                <w14:textFill>
                  <w14:solidFill>
                    <w14:schemeClr w14:val="tx1"/>
                  </w14:solidFill>
                </w14:textFill>
              </w:rPr>
              <w:instrText xml:space="preserve">)</w:instrText>
            </w:r>
            <w:r>
              <w:rPr>
                <w:rFonts w:ascii="Times New Roman" w:hAnsi="Times New Roman" w:cs="Times New Roman" w:eastAsiaTheme="minorEastAsia"/>
                <w:color w:val="000000" w:themeColor="text1"/>
                <w:w w:val="99"/>
                <w:sz w:val="21"/>
                <w:szCs w:val="21"/>
                <w14:textFill>
                  <w14:solidFill>
                    <w14:schemeClr w14:val="tx1"/>
                  </w14:solidFill>
                </w14:textFill>
              </w:rPr>
              <w:fldChar w:fldCharType="end"/>
            </w:r>
            <w:r>
              <w:rPr>
                <w:rFonts w:ascii="Times New Roman" w:hAnsi="Times New Roman" w:cs="Times New Roman" w:eastAsiaTheme="minorEastAsia"/>
                <w:color w:val="000000" w:themeColor="text1"/>
                <w:w w:val="99"/>
                <w:sz w:val="21"/>
                <w:szCs w:val="21"/>
                <w14:textFill>
                  <w14:solidFill>
                    <w14:schemeClr w14:val="tx1"/>
                  </w14:solidFill>
                </w14:textFill>
              </w:rPr>
              <w:t>在不改变利用方式的前提下，对依法保护的生态空间实行承载力控制，防止过度垦殖、放牧、采伐、取水、渔猎、旅游等对生态功能造成损害，确保自然生态系统的稳定。</w:t>
            </w:r>
          </w:p>
          <w:p w14:paraId="4EF7485F">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fldChar w:fldCharType="begin"/>
            </w:r>
            <w:r>
              <w:rPr>
                <w:rFonts w:ascii="Times New Roman" w:hAnsi="Times New Roman" w:cs="Times New Roman" w:eastAsiaTheme="minorEastAsia"/>
                <w:color w:val="000000" w:themeColor="text1"/>
                <w:w w:val="99"/>
                <w:sz w:val="21"/>
                <w:szCs w:val="21"/>
                <w14:textFill>
                  <w14:solidFill>
                    <w14:schemeClr w14:val="tx1"/>
                  </w14:solidFill>
                </w14:textFill>
              </w:rPr>
              <w:instrText xml:space="preserve"> eq \o\ac(○,</w:instrText>
            </w:r>
            <w:r>
              <w:rPr>
                <w:rFonts w:ascii="Times New Roman" w:hAnsi="Times New Roman" w:cs="Times New Roman" w:eastAsiaTheme="minorEastAsia"/>
                <w:color w:val="000000" w:themeColor="text1"/>
                <w:w w:val="99"/>
                <w:position w:val="2"/>
                <w:sz w:val="21"/>
                <w:szCs w:val="21"/>
                <w14:textFill>
                  <w14:solidFill>
                    <w14:schemeClr w14:val="tx1"/>
                  </w14:solidFill>
                </w14:textFill>
              </w:rPr>
              <w:instrText xml:space="preserve">3</w:instrText>
            </w:r>
            <w:r>
              <w:rPr>
                <w:rFonts w:ascii="Times New Roman" w:hAnsi="Times New Roman" w:cs="Times New Roman" w:eastAsiaTheme="minorEastAsia"/>
                <w:color w:val="000000" w:themeColor="text1"/>
                <w:w w:val="99"/>
                <w:sz w:val="21"/>
                <w:szCs w:val="21"/>
                <w14:textFill>
                  <w14:solidFill>
                    <w14:schemeClr w14:val="tx1"/>
                  </w14:solidFill>
                </w14:textFill>
              </w:rPr>
              <w:instrText xml:space="preserve">)</w:instrText>
            </w:r>
            <w:r>
              <w:rPr>
                <w:rFonts w:ascii="Times New Roman" w:hAnsi="Times New Roman" w:cs="Times New Roman" w:eastAsiaTheme="minorEastAsia"/>
                <w:color w:val="000000" w:themeColor="text1"/>
                <w:w w:val="99"/>
                <w:sz w:val="21"/>
                <w:szCs w:val="21"/>
                <w14:textFill>
                  <w14:solidFill>
                    <w14:schemeClr w14:val="tx1"/>
                  </w14:solidFill>
                </w14:textFill>
              </w:rPr>
              <w:fldChar w:fldCharType="end"/>
            </w:r>
            <w:r>
              <w:rPr>
                <w:rFonts w:ascii="Times New Roman" w:hAnsi="Times New Roman" w:cs="Times New Roman" w:eastAsiaTheme="minorEastAsia"/>
                <w:color w:val="000000" w:themeColor="text1"/>
                <w:w w:val="99"/>
                <w:sz w:val="21"/>
                <w:szCs w:val="21"/>
                <w14:textFill>
                  <w14:solidFill>
                    <w14:schemeClr w14:val="tx1"/>
                  </w14:solidFill>
                </w14:textFill>
              </w:rPr>
              <w:t>避免开发建设活动损害生态服务功能和生态产品质量。</w:t>
            </w:r>
          </w:p>
          <w:p w14:paraId="7FA04B3C">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fldChar w:fldCharType="begin"/>
            </w:r>
            <w:r>
              <w:rPr>
                <w:rFonts w:ascii="Times New Roman" w:hAnsi="Times New Roman" w:cs="Times New Roman" w:eastAsiaTheme="minorEastAsia"/>
                <w:color w:val="000000" w:themeColor="text1"/>
                <w:w w:val="99"/>
                <w:sz w:val="21"/>
                <w:szCs w:val="21"/>
                <w14:textFill>
                  <w14:solidFill>
                    <w14:schemeClr w14:val="tx1"/>
                  </w14:solidFill>
                </w14:textFill>
              </w:rPr>
              <w:instrText xml:space="preserve"> eq \o\ac(○,</w:instrText>
            </w:r>
            <w:r>
              <w:rPr>
                <w:rFonts w:ascii="Times New Roman" w:hAnsi="Times New Roman" w:cs="Times New Roman" w:eastAsiaTheme="minorEastAsia"/>
                <w:color w:val="000000" w:themeColor="text1"/>
                <w:w w:val="99"/>
                <w:position w:val="2"/>
                <w:sz w:val="21"/>
                <w:szCs w:val="21"/>
                <w14:textFill>
                  <w14:solidFill>
                    <w14:schemeClr w14:val="tx1"/>
                  </w14:solidFill>
                </w14:textFill>
              </w:rPr>
              <w:instrText xml:space="preserve">4</w:instrText>
            </w:r>
            <w:r>
              <w:rPr>
                <w:rFonts w:ascii="Times New Roman" w:hAnsi="Times New Roman" w:cs="Times New Roman" w:eastAsiaTheme="minorEastAsia"/>
                <w:color w:val="000000" w:themeColor="text1"/>
                <w:w w:val="99"/>
                <w:sz w:val="21"/>
                <w:szCs w:val="21"/>
                <w14:textFill>
                  <w14:solidFill>
                    <w14:schemeClr w14:val="tx1"/>
                  </w14:solidFill>
                </w14:textFill>
              </w:rPr>
              <w:instrText xml:space="preserve">)</w:instrText>
            </w:r>
            <w:r>
              <w:rPr>
                <w:rFonts w:ascii="Times New Roman" w:hAnsi="Times New Roman" w:cs="Times New Roman" w:eastAsiaTheme="minorEastAsia"/>
                <w:color w:val="000000" w:themeColor="text1"/>
                <w:w w:val="99"/>
                <w:sz w:val="21"/>
                <w:szCs w:val="21"/>
                <w14:textFill>
                  <w14:solidFill>
                    <w14:schemeClr w14:val="tx1"/>
                  </w14:solidFill>
                </w14:textFill>
              </w:rPr>
              <w:fldChar w:fldCharType="end"/>
            </w:r>
            <w:r>
              <w:rPr>
                <w:rFonts w:ascii="Times New Roman" w:hAnsi="Times New Roman" w:cs="Times New Roman" w:eastAsiaTheme="minorEastAsia"/>
                <w:color w:val="000000" w:themeColor="text1"/>
                <w:w w:val="99"/>
                <w:sz w:val="21"/>
                <w:szCs w:val="21"/>
                <w14:textFill>
                  <w14:solidFill>
                    <w14:schemeClr w14:val="tx1"/>
                  </w14:solidFill>
                </w14:textFill>
              </w:rPr>
              <w:t>已经侵占生态空间的，应建立退出机制、制定治理方案及时间表。</w:t>
            </w:r>
          </w:p>
          <w:p w14:paraId="43733E20">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2.水源涵养功能重要区、生物多样性维护功能重要区同时执行本清单</w:t>
            </w:r>
            <w:r>
              <w:rPr>
                <w:rFonts w:ascii="Times New Roman" w:hAnsi="Times New Roman" w:cs="Times New Roman" w:eastAsiaTheme="minorEastAsia"/>
                <w:b/>
                <w:color w:val="000000" w:themeColor="text1"/>
                <w:w w:val="99"/>
                <w:sz w:val="21"/>
                <w:szCs w:val="21"/>
                <w14:textFill>
                  <w14:solidFill>
                    <w14:schemeClr w14:val="tx1"/>
                  </w14:solidFill>
                </w14:textFill>
              </w:rPr>
              <w:t>全市准入要求</w:t>
            </w:r>
            <w:r>
              <w:rPr>
                <w:rFonts w:ascii="Times New Roman" w:hAnsi="Times New Roman" w:cs="Times New Roman" w:eastAsiaTheme="minorEastAsia"/>
                <w:color w:val="000000" w:themeColor="text1"/>
                <w:w w:val="99"/>
                <w:sz w:val="21"/>
                <w:szCs w:val="21"/>
                <w14:textFill>
                  <w14:solidFill>
                    <w14:schemeClr w14:val="tx1"/>
                  </w14:solidFill>
                </w14:textFill>
              </w:rPr>
              <w:t>中“</w:t>
            </w:r>
            <w:r>
              <w:rPr>
                <w:rFonts w:ascii="Times New Roman" w:hAnsi="Times New Roman" w:cs="Times New Roman" w:eastAsiaTheme="minorEastAsia"/>
                <w:b/>
                <w:bCs/>
                <w:color w:val="000000" w:themeColor="text1"/>
                <w:w w:val="99"/>
                <w:sz w:val="21"/>
                <w:szCs w:val="21"/>
                <w14:textFill>
                  <w14:solidFill>
                    <w14:schemeClr w14:val="tx1"/>
                  </w14:solidFill>
                </w14:textFill>
              </w:rPr>
              <w:t>3.2生态功能重要区</w:t>
            </w:r>
            <w:r>
              <w:rPr>
                <w:rFonts w:ascii="Times New Roman" w:hAnsi="Times New Roman" w:cs="Times New Roman" w:eastAsiaTheme="minorEastAsia"/>
                <w:b/>
                <w:color w:val="000000" w:themeColor="text1"/>
                <w:w w:val="99"/>
                <w:sz w:val="21"/>
                <w:szCs w:val="21"/>
                <w14:textFill>
                  <w14:solidFill>
                    <w14:schemeClr w14:val="tx1"/>
                  </w14:solidFill>
                </w14:textFill>
              </w:rPr>
              <w:t>”</w:t>
            </w:r>
            <w:r>
              <w:rPr>
                <w:rFonts w:ascii="Times New Roman" w:hAnsi="Times New Roman" w:cs="Times New Roman" w:eastAsiaTheme="minorEastAsia"/>
                <w:color w:val="000000" w:themeColor="text1"/>
                <w:w w:val="99"/>
                <w:sz w:val="21"/>
                <w:szCs w:val="21"/>
                <w14:textFill>
                  <w14:solidFill>
                    <w14:schemeClr w14:val="tx1"/>
                  </w14:solidFill>
                </w14:textFill>
              </w:rPr>
              <w:t>准入要求。</w:t>
            </w:r>
          </w:p>
          <w:p w14:paraId="372318E2">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fldChar w:fldCharType="begin"/>
            </w:r>
            <w:r>
              <w:rPr>
                <w:rFonts w:ascii="Times New Roman" w:hAnsi="Times New Roman" w:cs="Times New Roman" w:eastAsiaTheme="minorEastAsia"/>
                <w:color w:val="000000" w:themeColor="text1"/>
                <w:w w:val="99"/>
                <w:sz w:val="21"/>
                <w:szCs w:val="21"/>
                <w14:textFill>
                  <w14:solidFill>
                    <w14:schemeClr w14:val="tx1"/>
                  </w14:solidFill>
                </w14:textFill>
              </w:rPr>
              <w:instrText xml:space="preserve"> eq \o\ac(○,</w:instrText>
            </w:r>
            <w:r>
              <w:rPr>
                <w:rFonts w:ascii="Times New Roman" w:hAnsi="Times New Roman" w:cs="Times New Roman" w:eastAsiaTheme="minorEastAsia"/>
                <w:color w:val="000000" w:themeColor="text1"/>
                <w:w w:val="99"/>
                <w:position w:val="2"/>
                <w:sz w:val="21"/>
                <w:szCs w:val="21"/>
                <w14:textFill>
                  <w14:solidFill>
                    <w14:schemeClr w14:val="tx1"/>
                  </w14:solidFill>
                </w14:textFill>
              </w:rPr>
              <w:instrText xml:space="preserve">1</w:instrText>
            </w:r>
            <w:r>
              <w:rPr>
                <w:rFonts w:ascii="Times New Roman" w:hAnsi="Times New Roman" w:cs="Times New Roman" w:eastAsiaTheme="minorEastAsia"/>
                <w:color w:val="000000" w:themeColor="text1"/>
                <w:w w:val="99"/>
                <w:sz w:val="21"/>
                <w:szCs w:val="21"/>
                <w14:textFill>
                  <w14:solidFill>
                    <w14:schemeClr w14:val="tx1"/>
                  </w14:solidFill>
                </w14:textFill>
              </w:rPr>
              <w:instrText xml:space="preserve">)</w:instrText>
            </w:r>
            <w:r>
              <w:rPr>
                <w:rFonts w:ascii="Times New Roman" w:hAnsi="Times New Roman" w:cs="Times New Roman" w:eastAsiaTheme="minorEastAsia"/>
                <w:color w:val="000000" w:themeColor="text1"/>
                <w:w w:val="99"/>
                <w:sz w:val="21"/>
                <w:szCs w:val="21"/>
                <w14:textFill>
                  <w14:solidFill>
                    <w14:schemeClr w14:val="tx1"/>
                  </w14:solidFill>
                </w14:textFill>
              </w:rPr>
              <w:fldChar w:fldCharType="end"/>
            </w:r>
            <w:r>
              <w:rPr>
                <w:rFonts w:ascii="Times New Roman" w:hAnsi="Times New Roman" w:cs="Times New Roman" w:eastAsiaTheme="minorEastAsia"/>
                <w:color w:val="000000" w:themeColor="text1"/>
                <w:w w:val="99"/>
                <w:sz w:val="21"/>
                <w:szCs w:val="21"/>
                <w14:textFill>
                  <w14:solidFill>
                    <w14:schemeClr w14:val="tx1"/>
                  </w14:solidFill>
                </w14:textFill>
              </w:rPr>
              <w:t>继续加强生态保护与恢复，恢复与重建水源涵养区森林、草地、湿地等生态系统，提高生态系统的水源涵养能力。坚持自然恢复为主，严格限制在水源涵养区大规模人工造林。</w:t>
            </w:r>
          </w:p>
          <w:p w14:paraId="587E65F9">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fldChar w:fldCharType="begin"/>
            </w:r>
            <w:r>
              <w:rPr>
                <w:rFonts w:ascii="Times New Roman" w:hAnsi="Times New Roman" w:cs="Times New Roman" w:eastAsiaTheme="minorEastAsia"/>
                <w:color w:val="000000" w:themeColor="text1"/>
                <w:w w:val="99"/>
                <w:sz w:val="21"/>
                <w:szCs w:val="21"/>
                <w14:textFill>
                  <w14:solidFill>
                    <w14:schemeClr w14:val="tx1"/>
                  </w14:solidFill>
                </w14:textFill>
              </w:rPr>
              <w:instrText xml:space="preserve"> eq \o\ac(○,</w:instrText>
            </w:r>
            <w:r>
              <w:rPr>
                <w:rFonts w:ascii="Times New Roman" w:hAnsi="Times New Roman" w:cs="Times New Roman" w:eastAsiaTheme="minorEastAsia"/>
                <w:color w:val="000000" w:themeColor="text1"/>
                <w:w w:val="99"/>
                <w:position w:val="2"/>
                <w:sz w:val="21"/>
                <w:szCs w:val="21"/>
                <w14:textFill>
                  <w14:solidFill>
                    <w14:schemeClr w14:val="tx1"/>
                  </w14:solidFill>
                </w14:textFill>
              </w:rPr>
              <w:instrText xml:space="preserve">2</w:instrText>
            </w:r>
            <w:r>
              <w:rPr>
                <w:rFonts w:ascii="Times New Roman" w:hAnsi="Times New Roman" w:cs="Times New Roman" w:eastAsiaTheme="minorEastAsia"/>
                <w:color w:val="000000" w:themeColor="text1"/>
                <w:w w:val="99"/>
                <w:sz w:val="21"/>
                <w:szCs w:val="21"/>
                <w14:textFill>
                  <w14:solidFill>
                    <w14:schemeClr w14:val="tx1"/>
                  </w14:solidFill>
                </w14:textFill>
              </w:rPr>
              <w:instrText xml:space="preserve">)</w:instrText>
            </w:r>
            <w:r>
              <w:rPr>
                <w:rFonts w:ascii="Times New Roman" w:hAnsi="Times New Roman" w:cs="Times New Roman" w:eastAsiaTheme="minorEastAsia"/>
                <w:color w:val="000000" w:themeColor="text1"/>
                <w:w w:val="99"/>
                <w:sz w:val="21"/>
                <w:szCs w:val="21"/>
                <w14:textFill>
                  <w14:solidFill>
                    <w14:schemeClr w14:val="tx1"/>
                  </w14:solidFill>
                </w14:textFill>
              </w:rPr>
              <w:fldChar w:fldCharType="end"/>
            </w:r>
            <w:r>
              <w:rPr>
                <w:rFonts w:ascii="Times New Roman" w:hAnsi="Times New Roman" w:cs="Times New Roman" w:eastAsiaTheme="minorEastAsia"/>
                <w:color w:val="000000" w:themeColor="text1"/>
                <w:w w:val="99"/>
                <w:sz w:val="21"/>
                <w:szCs w:val="21"/>
                <w14:textFill>
                  <w14:solidFill>
                    <w14:schemeClr w14:val="tx1"/>
                  </w14:solidFill>
                </w14:textFill>
              </w:rPr>
              <w:t>对水源涵养林、水土保持林、防风固沙林等防护林只能进行抚育和更新性质的采伐；对采伐区和集材道应当采取防止水土流失的措施，并在采伐后及时更新造林。</w:t>
            </w:r>
          </w:p>
          <w:p w14:paraId="041AF36D">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fldChar w:fldCharType="begin"/>
            </w:r>
            <w:r>
              <w:rPr>
                <w:rFonts w:ascii="Times New Roman" w:hAnsi="Times New Roman" w:cs="Times New Roman" w:eastAsiaTheme="minorEastAsia"/>
                <w:color w:val="000000" w:themeColor="text1"/>
                <w:w w:val="99"/>
                <w:sz w:val="21"/>
                <w:szCs w:val="21"/>
                <w14:textFill>
                  <w14:solidFill>
                    <w14:schemeClr w14:val="tx1"/>
                  </w14:solidFill>
                </w14:textFill>
              </w:rPr>
              <w:instrText xml:space="preserve"> eq \o\ac(○,</w:instrText>
            </w:r>
            <w:r>
              <w:rPr>
                <w:rFonts w:ascii="Times New Roman" w:hAnsi="Times New Roman" w:cs="Times New Roman" w:eastAsiaTheme="minorEastAsia"/>
                <w:color w:val="000000" w:themeColor="text1"/>
                <w:w w:val="99"/>
                <w:position w:val="2"/>
                <w:sz w:val="21"/>
                <w:szCs w:val="21"/>
                <w14:textFill>
                  <w14:solidFill>
                    <w14:schemeClr w14:val="tx1"/>
                  </w14:solidFill>
                </w14:textFill>
              </w:rPr>
              <w:instrText xml:space="preserve">3</w:instrText>
            </w:r>
            <w:r>
              <w:rPr>
                <w:rFonts w:ascii="Times New Roman" w:hAnsi="Times New Roman" w:cs="Times New Roman" w:eastAsiaTheme="minorEastAsia"/>
                <w:color w:val="000000" w:themeColor="text1"/>
                <w:w w:val="99"/>
                <w:sz w:val="21"/>
                <w:szCs w:val="21"/>
                <w14:textFill>
                  <w14:solidFill>
                    <w14:schemeClr w14:val="tx1"/>
                  </w14:solidFill>
                </w14:textFill>
              </w:rPr>
              <w:instrText xml:space="preserve">)</w:instrText>
            </w:r>
            <w:r>
              <w:rPr>
                <w:rFonts w:ascii="Times New Roman" w:hAnsi="Times New Roman" w:cs="Times New Roman" w:eastAsiaTheme="minorEastAsia"/>
                <w:color w:val="000000" w:themeColor="text1"/>
                <w:w w:val="99"/>
                <w:sz w:val="21"/>
                <w:szCs w:val="21"/>
                <w14:textFill>
                  <w14:solidFill>
                    <w14:schemeClr w14:val="tx1"/>
                  </w14:solidFill>
                </w14:textFill>
              </w:rPr>
              <w:fldChar w:fldCharType="end"/>
            </w:r>
            <w:r>
              <w:rPr>
                <w:rFonts w:ascii="Times New Roman" w:hAnsi="Times New Roman" w:cs="Times New Roman" w:eastAsiaTheme="minorEastAsia"/>
                <w:color w:val="000000" w:themeColor="text1"/>
                <w:w w:val="99"/>
                <w:sz w:val="21"/>
                <w:szCs w:val="21"/>
                <w14:textFill>
                  <w14:solidFill>
                    <w14:schemeClr w14:val="tx1"/>
                  </w14:solidFill>
                </w14:textFill>
              </w:rPr>
              <w:t>生物多样性保护优先区域内要优化城镇开发建设活动的规模、结构和布局，严格控制高耗能、高排放行业发展，新引入的行业、企业不得对优先区域生物多样性造成影响。</w:t>
            </w:r>
          </w:p>
          <w:p w14:paraId="18F95AA4">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3.土地沙化敏感区同时执行本清单</w:t>
            </w:r>
            <w:r>
              <w:rPr>
                <w:rFonts w:ascii="Times New Roman" w:hAnsi="Times New Roman" w:cs="Times New Roman" w:eastAsiaTheme="minorEastAsia"/>
                <w:b/>
                <w:color w:val="000000" w:themeColor="text1"/>
                <w:w w:val="99"/>
                <w:sz w:val="21"/>
                <w:szCs w:val="21"/>
                <w14:textFill>
                  <w14:solidFill>
                    <w14:schemeClr w14:val="tx1"/>
                  </w14:solidFill>
                </w14:textFill>
              </w:rPr>
              <w:t>全市准入要求</w:t>
            </w:r>
            <w:r>
              <w:rPr>
                <w:rFonts w:ascii="Times New Roman" w:hAnsi="Times New Roman" w:cs="Times New Roman" w:eastAsiaTheme="minorEastAsia"/>
                <w:color w:val="000000" w:themeColor="text1"/>
                <w:w w:val="99"/>
                <w:sz w:val="21"/>
                <w:szCs w:val="21"/>
                <w14:textFill>
                  <w14:solidFill>
                    <w14:schemeClr w14:val="tx1"/>
                  </w14:solidFill>
                </w14:textFill>
              </w:rPr>
              <w:t>中“</w:t>
            </w:r>
            <w:r>
              <w:rPr>
                <w:rFonts w:ascii="Times New Roman" w:hAnsi="Times New Roman" w:cs="Times New Roman" w:eastAsiaTheme="minorEastAsia"/>
                <w:b/>
                <w:bCs/>
                <w:color w:val="000000" w:themeColor="text1"/>
                <w:w w:val="99"/>
                <w:sz w:val="21"/>
                <w:szCs w:val="21"/>
                <w14:textFill>
                  <w14:solidFill>
                    <w14:schemeClr w14:val="tx1"/>
                  </w14:solidFill>
                </w14:textFill>
              </w:rPr>
              <w:t>3.3生态环境敏感区</w:t>
            </w:r>
            <w:r>
              <w:rPr>
                <w:rFonts w:ascii="Times New Roman" w:hAnsi="Times New Roman" w:cs="Times New Roman" w:eastAsiaTheme="minorEastAsia"/>
                <w:b/>
                <w:color w:val="000000" w:themeColor="text1"/>
                <w:w w:val="99"/>
                <w:sz w:val="21"/>
                <w:szCs w:val="21"/>
                <w14:textFill>
                  <w14:solidFill>
                    <w14:schemeClr w14:val="tx1"/>
                  </w14:solidFill>
                </w14:textFill>
              </w:rPr>
              <w:t>”</w:t>
            </w:r>
            <w:r>
              <w:rPr>
                <w:rFonts w:ascii="Times New Roman" w:hAnsi="Times New Roman" w:cs="Times New Roman" w:eastAsiaTheme="minorEastAsia"/>
                <w:color w:val="000000" w:themeColor="text1"/>
                <w:w w:val="99"/>
                <w:sz w:val="21"/>
                <w:szCs w:val="21"/>
                <w14:textFill>
                  <w14:solidFill>
                    <w14:schemeClr w14:val="tx1"/>
                  </w14:solidFill>
                </w14:textFill>
              </w:rPr>
              <w:t>准入要求。</w:t>
            </w:r>
          </w:p>
          <w:p w14:paraId="31170857">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fldChar w:fldCharType="begin"/>
            </w:r>
            <w:r>
              <w:rPr>
                <w:rFonts w:ascii="Times New Roman" w:hAnsi="Times New Roman" w:cs="Times New Roman" w:eastAsiaTheme="minorEastAsia"/>
                <w:color w:val="000000" w:themeColor="text1"/>
                <w:w w:val="99"/>
                <w:sz w:val="21"/>
                <w:szCs w:val="21"/>
                <w14:textFill>
                  <w14:solidFill>
                    <w14:schemeClr w14:val="tx1"/>
                  </w14:solidFill>
                </w14:textFill>
              </w:rPr>
              <w:instrText xml:space="preserve"> eq \o\ac(○,</w:instrText>
            </w:r>
            <w:r>
              <w:rPr>
                <w:rFonts w:ascii="Times New Roman" w:hAnsi="Times New Roman" w:cs="Times New Roman" w:eastAsiaTheme="minorEastAsia"/>
                <w:color w:val="000000" w:themeColor="text1"/>
                <w:w w:val="99"/>
                <w:position w:val="2"/>
                <w:sz w:val="21"/>
                <w:szCs w:val="21"/>
                <w14:textFill>
                  <w14:solidFill>
                    <w14:schemeClr w14:val="tx1"/>
                  </w14:solidFill>
                </w14:textFill>
              </w:rPr>
              <w:instrText xml:space="preserve">1</w:instrText>
            </w:r>
            <w:r>
              <w:rPr>
                <w:rFonts w:ascii="Times New Roman" w:hAnsi="Times New Roman" w:cs="Times New Roman" w:eastAsiaTheme="minorEastAsia"/>
                <w:color w:val="000000" w:themeColor="text1"/>
                <w:w w:val="99"/>
                <w:sz w:val="21"/>
                <w:szCs w:val="21"/>
                <w14:textFill>
                  <w14:solidFill>
                    <w14:schemeClr w14:val="tx1"/>
                  </w14:solidFill>
                </w14:textFill>
              </w:rPr>
              <w:instrText xml:space="preserve">)</w:instrText>
            </w:r>
            <w:r>
              <w:rPr>
                <w:rFonts w:ascii="Times New Roman" w:hAnsi="Times New Roman" w:cs="Times New Roman" w:eastAsiaTheme="minorEastAsia"/>
                <w:color w:val="000000" w:themeColor="text1"/>
                <w:w w:val="99"/>
                <w:sz w:val="21"/>
                <w:szCs w:val="21"/>
                <w14:textFill>
                  <w14:solidFill>
                    <w14:schemeClr w14:val="tx1"/>
                  </w14:solidFill>
                </w14:textFill>
              </w:rPr>
              <w:fldChar w:fldCharType="end"/>
            </w:r>
            <w:r>
              <w:rPr>
                <w:rFonts w:ascii="Times New Roman" w:hAnsi="Times New Roman" w:cs="Times New Roman" w:eastAsiaTheme="minorEastAsia"/>
                <w:color w:val="000000" w:themeColor="text1"/>
                <w:w w:val="99"/>
                <w:sz w:val="21"/>
                <w:szCs w:val="21"/>
                <w14:textFill>
                  <w14:solidFill>
                    <w14:schemeClr w14:val="tx1"/>
                  </w14:solidFill>
                </w14:textFill>
              </w:rPr>
              <w:t>水土流失严重、生态脆弱的地区，应当限制或者禁止可能造成水土流失的生产建设活动，严格保护植物、沙壳、结皮、地衣等。在侵蚀沟的沟坡和沟岸、河流的两岸以及湖泊和水库的周边，土地所有权人、使用权人或者有关管理单位应当营造植物保护带。</w:t>
            </w:r>
          </w:p>
          <w:p w14:paraId="5BA7C560">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4.尽快加以治理与修复，达到相关规划用地土壤环境质量要求。</w:t>
            </w:r>
          </w:p>
        </w:tc>
        <w:tc>
          <w:tcPr>
            <w:tcW w:w="2252" w:type="dxa"/>
            <w:shd w:val="clear" w:color="auto" w:fill="auto"/>
            <w:tcMar>
              <w:top w:w="0" w:type="dxa"/>
              <w:left w:w="57" w:type="dxa"/>
              <w:bottom w:w="0" w:type="dxa"/>
              <w:right w:w="57" w:type="dxa"/>
            </w:tcMar>
            <w:vAlign w:val="center"/>
          </w:tcPr>
          <w:p w14:paraId="4E4BD090">
            <w:pPr>
              <w:ind w:firstLine="414" w:firstLineChars="200"/>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bCs/>
                <w:color w:val="000000" w:themeColor="text1"/>
                <w:w w:val="99"/>
                <w:sz w:val="21"/>
                <w:szCs w:val="21"/>
                <w14:textFill>
                  <w14:solidFill>
                    <w14:schemeClr w14:val="tx1"/>
                  </w14:solidFill>
                </w14:textFill>
              </w:rPr>
              <w:t>项目部分管线位于</w:t>
            </w:r>
            <w:r>
              <w:rPr>
                <w:rFonts w:hint="eastAsia" w:ascii="Times New Roman" w:hAnsi="Times New Roman" w:cs="Times New Roman" w:eastAsiaTheme="minorEastAsia"/>
                <w:bCs/>
                <w:color w:val="000000" w:themeColor="text1"/>
                <w:w w:val="99"/>
                <w:sz w:val="21"/>
                <w:szCs w:val="21"/>
                <w:lang w:eastAsia="zh-CN"/>
                <w14:textFill>
                  <w14:solidFill>
                    <w14:schemeClr w14:val="tx1"/>
                  </w14:solidFill>
                </w14:textFill>
              </w:rPr>
              <w:t>红岗区杏树岗镇</w:t>
            </w:r>
            <w:r>
              <w:rPr>
                <w:rFonts w:ascii="Times New Roman" w:hAnsi="Times New Roman" w:cs="Times New Roman" w:eastAsiaTheme="minorEastAsia"/>
                <w:bCs/>
                <w:color w:val="000000" w:themeColor="text1"/>
                <w:w w:val="99"/>
                <w:sz w:val="21"/>
                <w:szCs w:val="21"/>
                <w14:textFill>
                  <w14:solidFill>
                    <w14:schemeClr w14:val="tx1"/>
                  </w14:solidFill>
                </w14:textFill>
              </w:rPr>
              <w:t>优先保护单元，但不涉及管控要求所列的限制开发区、依法保护的生态空间、一般生态空间内的法定禁止开发区、水源涵养功能极重要区、土地沙化敏感区等生态保护红线区。</w:t>
            </w:r>
          </w:p>
        </w:tc>
        <w:tc>
          <w:tcPr>
            <w:tcW w:w="698" w:type="dxa"/>
            <w:shd w:val="clear" w:color="auto" w:fill="auto"/>
            <w:tcMar>
              <w:top w:w="0" w:type="dxa"/>
              <w:left w:w="57" w:type="dxa"/>
              <w:bottom w:w="0" w:type="dxa"/>
              <w:right w:w="57" w:type="dxa"/>
            </w:tcMar>
            <w:vAlign w:val="center"/>
          </w:tcPr>
          <w:p w14:paraId="4D8CF23D">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符合</w:t>
            </w:r>
          </w:p>
        </w:tc>
      </w:tr>
      <w:tr w14:paraId="35C252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35" w:hRule="atLeast"/>
          <w:jc w:val="center"/>
        </w:trPr>
        <w:tc>
          <w:tcPr>
            <w:tcW w:w="990" w:type="dxa"/>
            <w:shd w:val="clear" w:color="auto" w:fill="auto"/>
            <w:tcMar>
              <w:top w:w="0" w:type="dxa"/>
              <w:left w:w="57" w:type="dxa"/>
              <w:bottom w:w="0" w:type="dxa"/>
              <w:right w:w="57" w:type="dxa"/>
            </w:tcMar>
            <w:vAlign w:val="center"/>
          </w:tcPr>
          <w:p w14:paraId="18CE923F">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eastAsia="zh-CN"/>
                <w14:textFill>
                  <w14:solidFill>
                    <w14:schemeClr w14:val="tx1"/>
                  </w14:solidFill>
                </w14:textFill>
              </w:rPr>
              <w:t>红岗区杏树岗镇</w:t>
            </w:r>
            <w:r>
              <w:rPr>
                <w:rFonts w:ascii="Times New Roman" w:hAnsi="Times New Roman" w:cs="Times New Roman" w:eastAsiaTheme="minorEastAsia"/>
                <w:color w:val="000000" w:themeColor="text1"/>
                <w:w w:val="99"/>
                <w:sz w:val="21"/>
                <w:szCs w:val="21"/>
                <w14:textFill>
                  <w14:solidFill>
                    <w14:schemeClr w14:val="tx1"/>
                  </w14:solidFill>
                </w14:textFill>
              </w:rPr>
              <w:t>其他区域-一般管控单元</w:t>
            </w:r>
          </w:p>
        </w:tc>
        <w:tc>
          <w:tcPr>
            <w:tcW w:w="850" w:type="dxa"/>
            <w:shd w:val="clear" w:color="auto" w:fill="auto"/>
            <w:tcMar>
              <w:top w:w="0" w:type="dxa"/>
              <w:left w:w="57" w:type="dxa"/>
              <w:bottom w:w="0" w:type="dxa"/>
              <w:right w:w="57" w:type="dxa"/>
            </w:tcMar>
            <w:vAlign w:val="center"/>
          </w:tcPr>
          <w:p w14:paraId="47CD473D">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资源利用效率要求</w:t>
            </w:r>
          </w:p>
        </w:tc>
        <w:tc>
          <w:tcPr>
            <w:tcW w:w="4253" w:type="dxa"/>
            <w:shd w:val="clear" w:color="auto" w:fill="auto"/>
            <w:tcMar>
              <w:top w:w="0" w:type="dxa"/>
              <w:left w:w="57" w:type="dxa"/>
              <w:bottom w:w="0" w:type="dxa"/>
              <w:right w:w="57" w:type="dxa"/>
            </w:tcMar>
            <w:vAlign w:val="center"/>
          </w:tcPr>
          <w:p w14:paraId="2932CC86">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执行本清单</w:t>
            </w:r>
            <w:r>
              <w:rPr>
                <w:rFonts w:ascii="Times New Roman" w:hAnsi="Times New Roman" w:cs="Times New Roman" w:eastAsiaTheme="minorEastAsia"/>
                <w:iCs/>
                <w:color w:val="000000" w:themeColor="text1"/>
                <w:w w:val="99"/>
                <w:sz w:val="21"/>
                <w:szCs w:val="21"/>
                <w14:textFill>
                  <w14:solidFill>
                    <w14:schemeClr w14:val="tx1"/>
                  </w14:solidFill>
                </w14:textFill>
              </w:rPr>
              <w:t>全市准入要求</w:t>
            </w:r>
            <w:r>
              <w:rPr>
                <w:rFonts w:ascii="Times New Roman" w:hAnsi="Times New Roman" w:cs="Times New Roman" w:eastAsiaTheme="minorEastAsia"/>
                <w:color w:val="000000" w:themeColor="text1"/>
                <w:w w:val="99"/>
                <w:sz w:val="21"/>
                <w:szCs w:val="21"/>
                <w14:textFill>
                  <w14:solidFill>
                    <w14:schemeClr w14:val="tx1"/>
                  </w14:solidFill>
                </w14:textFill>
              </w:rPr>
              <w:t>中“</w:t>
            </w:r>
            <w:r>
              <w:rPr>
                <w:rFonts w:ascii="Times New Roman" w:hAnsi="Times New Roman" w:cs="Times New Roman" w:eastAsiaTheme="minorEastAsia"/>
                <w:b/>
                <w:color w:val="000000" w:themeColor="text1"/>
                <w:w w:val="99"/>
                <w:sz w:val="21"/>
                <w:szCs w:val="21"/>
                <w14:textFill>
                  <w14:solidFill>
                    <w14:schemeClr w14:val="tx1"/>
                  </w14:solidFill>
                </w14:textFill>
              </w:rPr>
              <w:t>6.1总体要求”</w:t>
            </w:r>
            <w:r>
              <w:rPr>
                <w:rFonts w:ascii="Times New Roman" w:hAnsi="Times New Roman" w:cs="Times New Roman" w:eastAsiaTheme="minorEastAsia"/>
                <w:color w:val="000000" w:themeColor="text1"/>
                <w:w w:val="99"/>
                <w:sz w:val="21"/>
                <w:szCs w:val="21"/>
                <w14:textFill>
                  <w14:solidFill>
                    <w14:schemeClr w14:val="tx1"/>
                  </w14:solidFill>
                </w14:textFill>
              </w:rPr>
              <w:t>准入要求。</w:t>
            </w:r>
          </w:p>
          <w:p w14:paraId="1CDCF099">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贯彻实施国家与黑龙江省大气、水污染相关各项标准，深化重点行业污染治理，推进国家和地方确定的各项产业结构调整措施。</w:t>
            </w:r>
          </w:p>
          <w:p w14:paraId="6306CEBC">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引导工业项目向开发区集中，促进产业集聚、资源集约、绿色发展。对电力、钢铁、建材、有色、化工、石油石化、煤炭、印染等行业中，环保、能耗等不达标或生产、使用淘汰类产品的企业和产能，依法依规改造升级或有序退出。</w:t>
            </w:r>
          </w:p>
        </w:tc>
        <w:tc>
          <w:tcPr>
            <w:tcW w:w="2252" w:type="dxa"/>
            <w:shd w:val="clear" w:color="auto" w:fill="auto"/>
            <w:tcMar>
              <w:top w:w="0" w:type="dxa"/>
              <w:left w:w="57" w:type="dxa"/>
              <w:bottom w:w="0" w:type="dxa"/>
              <w:right w:w="57" w:type="dxa"/>
            </w:tcMar>
            <w:vAlign w:val="center"/>
          </w:tcPr>
          <w:p w14:paraId="1735E222">
            <w:pPr>
              <w:ind w:firstLine="414" w:firstLineChars="200"/>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本项目</w:t>
            </w:r>
            <w:r>
              <w:rPr>
                <w:rFonts w:ascii="Times New Roman" w:hAnsi="Times New Roman" w:cs="Times New Roman" w:eastAsiaTheme="minorEastAsia"/>
                <w:bCs/>
                <w:color w:val="000000" w:themeColor="text1"/>
                <w:w w:val="99"/>
                <w:sz w:val="21"/>
                <w:szCs w:val="21"/>
                <w14:textFill>
                  <w14:solidFill>
                    <w14:schemeClr w14:val="tx1"/>
                  </w14:solidFill>
                </w14:textFill>
              </w:rPr>
              <w:t>部分管线</w:t>
            </w:r>
            <w:r>
              <w:rPr>
                <w:rFonts w:ascii="Times New Roman" w:hAnsi="Times New Roman" w:cs="Times New Roman" w:eastAsiaTheme="minorEastAsia"/>
                <w:color w:val="000000" w:themeColor="text1"/>
                <w:w w:val="99"/>
                <w:sz w:val="21"/>
                <w:szCs w:val="21"/>
                <w14:textFill>
                  <w14:solidFill>
                    <w14:schemeClr w14:val="tx1"/>
                  </w14:solidFill>
                </w14:textFill>
              </w:rPr>
              <w:t>位于</w:t>
            </w:r>
            <w:r>
              <w:rPr>
                <w:rFonts w:hint="eastAsia" w:ascii="Times New Roman" w:hAnsi="Times New Roman" w:cs="Times New Roman" w:eastAsiaTheme="minorEastAsia"/>
                <w:color w:val="000000" w:themeColor="text1"/>
                <w:w w:val="99"/>
                <w:sz w:val="21"/>
                <w:szCs w:val="21"/>
                <w:lang w:eastAsia="zh-CN"/>
                <w14:textFill>
                  <w14:solidFill>
                    <w14:schemeClr w14:val="tx1"/>
                  </w14:solidFill>
                </w14:textFill>
              </w:rPr>
              <w:t>红岗区杏树岗镇</w:t>
            </w:r>
            <w:r>
              <w:rPr>
                <w:rFonts w:ascii="Times New Roman" w:hAnsi="Times New Roman" w:cs="Times New Roman" w:eastAsiaTheme="minorEastAsia"/>
                <w:color w:val="000000" w:themeColor="text1"/>
                <w:w w:val="99"/>
                <w:sz w:val="21"/>
                <w:szCs w:val="21"/>
                <w14:textFill>
                  <w14:solidFill>
                    <w14:schemeClr w14:val="tx1"/>
                  </w14:solidFill>
                </w14:textFill>
              </w:rPr>
              <w:t>一般管控单元，且本次油田开发区块建设项目不属于钢铁、水泥、电解铝等产能严重过剩行业扩能；不存在环保、能耗等不达标或生产、使用淘汰类产品的企业和产能项目。</w:t>
            </w:r>
          </w:p>
        </w:tc>
        <w:tc>
          <w:tcPr>
            <w:tcW w:w="698" w:type="dxa"/>
            <w:shd w:val="clear" w:color="auto" w:fill="auto"/>
            <w:tcMar>
              <w:top w:w="0" w:type="dxa"/>
              <w:left w:w="57" w:type="dxa"/>
              <w:bottom w:w="0" w:type="dxa"/>
              <w:right w:w="57" w:type="dxa"/>
            </w:tcMar>
            <w:vAlign w:val="center"/>
          </w:tcPr>
          <w:p w14:paraId="0930F20B">
            <w:pPr>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符合</w:t>
            </w:r>
          </w:p>
        </w:tc>
      </w:tr>
    </w:tbl>
    <w:p w14:paraId="70265340">
      <w:pPr>
        <w:spacing w:line="440" w:lineRule="exact"/>
        <w:ind w:firstLine="474" w:firstLineChars="200"/>
        <w:jc w:val="both"/>
        <w:rPr>
          <w:rFonts w:ascii="Times New Roman" w:hAnsi="Times New Roman" w:cs="Times New Roman" w:eastAsiaTheme="minorEastAsia"/>
          <w:color w:val="000000" w:themeColor="text1"/>
          <w:w w:val="99"/>
          <w:kern w:val="2"/>
          <w:sz w:val="24"/>
          <w:szCs w:val="24"/>
          <w14:textFill>
            <w14:solidFill>
              <w14:schemeClr w14:val="tx1"/>
            </w14:solidFill>
          </w14:textFill>
        </w:rPr>
      </w:pPr>
      <w:r>
        <w:rPr>
          <w:rFonts w:ascii="Times New Roman" w:hAnsi="Times New Roman" w:cs="Times New Roman" w:eastAsiaTheme="minorEastAsia"/>
          <w:color w:val="000000" w:themeColor="text1"/>
          <w:w w:val="99"/>
          <w:kern w:val="2"/>
          <w:sz w:val="24"/>
          <w:szCs w:val="24"/>
          <w14:textFill>
            <w14:solidFill>
              <w14:schemeClr w14:val="tx1"/>
            </w14:solidFill>
          </w14:textFill>
        </w:rPr>
        <w:t>根据上表分析，本项目符合《大庆市人民政府关于实施“三线一单”生态环境分区管控的意见》（庆政规〔2021〕3号）中生态环境准入清单要求，本项目为环境准入允许类别。</w:t>
      </w:r>
    </w:p>
    <w:p w14:paraId="0954B34B">
      <w:pPr>
        <w:pStyle w:val="107"/>
        <w:tabs>
          <w:tab w:val="left" w:pos="930"/>
        </w:tabs>
        <w:spacing w:before="60" w:after="60" w:line="440" w:lineRule="exact"/>
        <w:ind w:left="0" w:firstLine="0"/>
        <w:jc w:val="both"/>
        <w:outlineLvl w:val="2"/>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bookmarkStart w:id="41" w:name="_Toc117794510"/>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1.4.4 选址选线合理性分析</w:t>
      </w:r>
      <w:bookmarkEnd w:id="41"/>
    </w:p>
    <w:p w14:paraId="3359324F">
      <w:pPr>
        <w:pStyle w:val="104"/>
        <w:widowControl/>
        <w:autoSpaceDE/>
        <w:autoSpaceDN/>
        <w:adjustRightInd w:val="0"/>
        <w:snapToGrid w:val="0"/>
        <w:spacing w:line="440" w:lineRule="exact"/>
        <w:ind w:firstLine="544"/>
        <w:jc w:val="both"/>
        <w:rPr>
          <w:rFonts w:ascii="Times New Roman" w:hAnsi="Times New Roman" w:cs="Times New Roman" w:eastAsiaTheme="minorEastAsia"/>
          <w:color w:val="000000" w:themeColor="text1"/>
          <w:w w:val="99"/>
          <w:sz w:val="24"/>
          <w:lang w:val="en-US"/>
          <w14:textFill>
            <w14:solidFill>
              <w14:schemeClr w14:val="tx1"/>
            </w14:solidFill>
          </w14:textFill>
        </w:rPr>
      </w:pPr>
      <w:r>
        <w:rPr>
          <w:rFonts w:ascii="Times New Roman" w:hAnsi="Times New Roman" w:cs="Times New Roman" w:eastAsiaTheme="minorEastAsia"/>
          <w:color w:val="000000" w:themeColor="text1"/>
          <w:w w:val="99"/>
          <w:sz w:val="24"/>
          <w:lang w:val="en-US"/>
          <w14:textFill>
            <w14:solidFill>
              <w14:schemeClr w14:val="tx1"/>
            </w14:solidFill>
          </w14:textFill>
        </w:rPr>
        <w:t>（</w:t>
      </w:r>
      <w:r>
        <w:rPr>
          <w:rFonts w:hint="eastAsia" w:ascii="Times New Roman" w:hAnsi="Times New Roman" w:cs="Times New Roman" w:eastAsiaTheme="minorEastAsia"/>
          <w:color w:val="000000" w:themeColor="text1"/>
          <w:w w:val="99"/>
          <w:sz w:val="24"/>
          <w:lang w:val="en-US"/>
          <w14:textFill>
            <w14:solidFill>
              <w14:schemeClr w14:val="tx1"/>
            </w14:solidFill>
          </w14:textFill>
        </w:rPr>
        <w:t>1</w:t>
      </w:r>
      <w:r>
        <w:rPr>
          <w:rFonts w:ascii="Times New Roman" w:hAnsi="Times New Roman" w:cs="Times New Roman" w:eastAsiaTheme="minorEastAsia"/>
          <w:color w:val="000000" w:themeColor="text1"/>
          <w:w w:val="99"/>
          <w:sz w:val="24"/>
          <w:lang w:val="en-US"/>
          <w14:textFill>
            <w14:solidFill>
              <w14:schemeClr w14:val="tx1"/>
            </w14:solidFill>
          </w14:textFill>
        </w:rPr>
        <w:t>）选址、选线环境敏感性分析</w:t>
      </w:r>
    </w:p>
    <w:p w14:paraId="116EED3C">
      <w:pPr>
        <w:pStyle w:val="104"/>
        <w:widowControl/>
        <w:autoSpaceDE/>
        <w:autoSpaceDN/>
        <w:adjustRightInd w:val="0"/>
        <w:snapToGrid w:val="0"/>
        <w:spacing w:line="440" w:lineRule="exact"/>
        <w:ind w:firstLine="544"/>
        <w:jc w:val="both"/>
        <w:rPr>
          <w:rFonts w:ascii="Times New Roman" w:hAnsi="Times New Roman" w:cs="Times New Roman" w:eastAsiaTheme="minorEastAsia"/>
          <w:color w:val="000000" w:themeColor="text1"/>
          <w:w w:val="99"/>
          <w:sz w:val="24"/>
          <w:lang w:val="en-US"/>
          <w14:textFill>
            <w14:solidFill>
              <w14:schemeClr w14:val="tx1"/>
            </w14:solidFill>
          </w14:textFill>
        </w:rPr>
      </w:pPr>
      <w:r>
        <w:rPr>
          <w:rFonts w:ascii="Times New Roman" w:hAnsi="Times New Roman" w:cs="Times New Roman" w:eastAsiaTheme="minorEastAsia"/>
          <w:color w:val="000000" w:themeColor="text1"/>
          <w:w w:val="99"/>
          <w:sz w:val="24"/>
          <w:lang w:val="en-US"/>
          <w14:textFill>
            <w14:solidFill>
              <w14:schemeClr w14:val="tx1"/>
            </w14:solidFill>
          </w14:textFill>
        </w:rPr>
        <w:t>本工程位于大庆市</w:t>
      </w:r>
      <w:r>
        <w:rPr>
          <w:rFonts w:hint="eastAsia" w:ascii="Times New Roman" w:hAnsi="Times New Roman" w:cs="Times New Roman" w:eastAsiaTheme="minorEastAsia"/>
          <w:color w:val="000000" w:themeColor="text1"/>
          <w:w w:val="99"/>
          <w:sz w:val="24"/>
          <w:lang w:val="en-US" w:eastAsia="zh-CN"/>
          <w14:textFill>
            <w14:solidFill>
              <w14:schemeClr w14:val="tx1"/>
            </w14:solidFill>
          </w14:textFill>
        </w:rPr>
        <w:t>红岗区杏树岗镇</w:t>
      </w:r>
      <w:r>
        <w:rPr>
          <w:rFonts w:ascii="Times New Roman" w:hAnsi="Times New Roman" w:cs="Times New Roman" w:eastAsiaTheme="minorEastAsia"/>
          <w:color w:val="000000" w:themeColor="text1"/>
          <w:w w:val="99"/>
          <w:sz w:val="24"/>
          <w:lang w:val="en-US"/>
          <w14:textFill>
            <w14:solidFill>
              <w14:schemeClr w14:val="tx1"/>
            </w14:solidFill>
          </w14:textFill>
        </w:rPr>
        <w:t>杏树岗村周边，根据现场调查，项目管线施工临时占地为一般草地及一般耕地，项目占地范围内无国家公园、自然保护区、风景名胜区、世界文化和自然遗产地、海洋特别保护区、饮用水源保护区、永久基本农田、基本草原、自然公园（森林公园、地质公园、海洋公园等）、重要湿地、天然林、生态红线管控范围、重点保护野生动物栖息地，重点保护野生植物生长繁殖地，重要水生生物的自然产卵场、索饵场、越冬场和洄游通道，天然渔场，水土流失重点预防区、沙化土地封禁保护区、封闭及半封闭海域等重要保护目标。</w:t>
      </w:r>
    </w:p>
    <w:p w14:paraId="2BB16F72">
      <w:pPr>
        <w:pStyle w:val="104"/>
        <w:widowControl/>
        <w:autoSpaceDE/>
        <w:autoSpaceDN/>
        <w:adjustRightInd w:val="0"/>
        <w:snapToGrid w:val="0"/>
        <w:spacing w:line="440" w:lineRule="exact"/>
        <w:ind w:firstLine="544"/>
        <w:jc w:val="both"/>
        <w:rPr>
          <w:rFonts w:ascii="Times New Roman" w:hAnsi="Times New Roman" w:cs="Times New Roman" w:eastAsiaTheme="minorEastAsia"/>
          <w:color w:val="000000" w:themeColor="text1"/>
          <w:w w:val="99"/>
          <w:sz w:val="24"/>
          <w:lang w:val="en-US"/>
          <w14:textFill>
            <w14:solidFill>
              <w14:schemeClr w14:val="tx1"/>
            </w14:solidFill>
          </w14:textFill>
        </w:rPr>
      </w:pPr>
      <w:r>
        <w:rPr>
          <w:rFonts w:ascii="Times New Roman" w:hAnsi="Times New Roman" w:cs="Times New Roman" w:eastAsiaTheme="minorEastAsia"/>
          <w:color w:val="000000" w:themeColor="text1"/>
          <w:w w:val="99"/>
          <w:sz w:val="24"/>
          <w:lang w:val="en-US"/>
          <w14:textFill>
            <w14:solidFill>
              <w14:schemeClr w14:val="tx1"/>
            </w14:solidFill>
          </w14:textFill>
        </w:rPr>
        <w:t>本项目拟拆除拉油点内现有的九合一装置，并新建电加热集油管道及其他附属设施，项目不新增永久占地，本项目管线</w:t>
      </w:r>
      <w:r>
        <w:rPr>
          <w:rFonts w:hint="eastAsia" w:ascii="Times New Roman" w:hAnsi="Times New Roman" w:cs="Times New Roman" w:eastAsiaTheme="minorEastAsia"/>
          <w:color w:val="000000" w:themeColor="text1"/>
          <w:w w:val="99"/>
          <w:sz w:val="24"/>
          <w:lang w:val="en-US"/>
          <w14:textFill>
            <w14:solidFill>
              <w14:schemeClr w14:val="tx1"/>
            </w14:solidFill>
          </w14:textFill>
        </w:rPr>
        <w:t>已</w:t>
      </w:r>
      <w:r>
        <w:rPr>
          <w:rFonts w:ascii="Times New Roman" w:hAnsi="Times New Roman" w:cs="Times New Roman" w:eastAsiaTheme="minorEastAsia"/>
          <w:color w:val="000000" w:themeColor="text1"/>
          <w:w w:val="99"/>
          <w:sz w:val="24"/>
          <w:lang w:val="en-US"/>
          <w14:textFill>
            <w14:solidFill>
              <w14:schemeClr w14:val="tx1"/>
            </w14:solidFill>
          </w14:textFill>
        </w:rPr>
        <w:t>严格遵守国家或行业标准《石油天然气工程设计防火规范》（GB50183-2004）、《油气输送管道穿越工程设计规范》（</w:t>
      </w:r>
      <w:r>
        <w:rPr>
          <w:rFonts w:hint="eastAsia" w:ascii="Times New Roman" w:hAnsi="Times New Roman" w:cs="Times New Roman" w:eastAsiaTheme="minorEastAsia"/>
          <w:color w:val="000000" w:themeColor="text1"/>
          <w:w w:val="99"/>
          <w:sz w:val="24"/>
          <w:lang w:val="en-US"/>
          <w14:textFill>
            <w14:solidFill>
              <w14:schemeClr w14:val="tx1"/>
            </w14:solidFill>
          </w14:textFill>
        </w:rPr>
        <w:t>G</w:t>
      </w:r>
      <w:r>
        <w:rPr>
          <w:rFonts w:ascii="Times New Roman" w:hAnsi="Times New Roman" w:cs="Times New Roman" w:eastAsiaTheme="minorEastAsia"/>
          <w:color w:val="000000" w:themeColor="text1"/>
          <w:w w:val="99"/>
          <w:sz w:val="24"/>
          <w:lang w:val="en-US"/>
          <w14:textFill>
            <w14:solidFill>
              <w14:schemeClr w14:val="tx1"/>
            </w14:solidFill>
          </w14:textFill>
        </w:rPr>
        <w:t>B50423-2013）进行施工设计</w:t>
      </w:r>
      <w:r>
        <w:rPr>
          <w:rFonts w:hint="eastAsia" w:ascii="Times New Roman" w:hAnsi="Times New Roman" w:cs="Times New Roman" w:eastAsiaTheme="minorEastAsia"/>
          <w:color w:val="000000" w:themeColor="text1"/>
          <w:w w:val="99"/>
          <w:sz w:val="24"/>
          <w:lang w:val="en-US"/>
          <w14:textFill>
            <w14:solidFill>
              <w14:schemeClr w14:val="tx1"/>
            </w14:solidFill>
          </w14:textFill>
        </w:rPr>
        <w:t>；</w:t>
      </w:r>
      <w:r>
        <w:rPr>
          <w:rFonts w:ascii="Times New Roman" w:hAnsi="Times New Roman" w:cs="Times New Roman" w:eastAsiaTheme="minorEastAsia"/>
          <w:color w:val="000000" w:themeColor="text1"/>
          <w:w w:val="99"/>
          <w:sz w:val="24"/>
          <w:lang w:val="en-US"/>
          <w14:textFill>
            <w14:solidFill>
              <w14:schemeClr w14:val="tx1"/>
            </w14:solidFill>
          </w14:textFill>
        </w:rPr>
        <w:t>选线已尽量沿现有道路铺设，尽可能沿着荒草地布置，避免过多占用耕地，在满足安全条件的同时，既便于项目施工、减少施工便道等临时占地对生态环境的影响，也减少了对占地的施工征用</w:t>
      </w:r>
      <w:r>
        <w:rPr>
          <w:rFonts w:hint="eastAsia" w:ascii="Times New Roman" w:hAnsi="Times New Roman" w:cs="Times New Roman" w:eastAsiaTheme="minorEastAsia"/>
          <w:color w:val="000000" w:themeColor="text1"/>
          <w:w w:val="99"/>
          <w:sz w:val="24"/>
          <w:lang w:val="en-US"/>
          <w14:textFill>
            <w14:solidFill>
              <w14:schemeClr w14:val="tx1"/>
            </w14:solidFill>
          </w14:textFill>
        </w:rPr>
        <w:t>；</w:t>
      </w:r>
      <w:r>
        <w:rPr>
          <w:rFonts w:ascii="Times New Roman" w:hAnsi="Times New Roman" w:cs="Times New Roman" w:eastAsiaTheme="minorEastAsia"/>
          <w:color w:val="000000" w:themeColor="text1"/>
          <w:w w:val="99"/>
          <w:sz w:val="24"/>
          <w:lang w:val="en-US"/>
          <w14:textFill>
            <w14:solidFill>
              <w14:schemeClr w14:val="tx1"/>
            </w14:solidFill>
          </w14:textFill>
        </w:rPr>
        <w:t>线路设计已尽量避开民房等已有建筑物，减少拆迁工程量，降低施工难度，同时缩短工期和减少工程投资</w:t>
      </w:r>
      <w:r>
        <w:rPr>
          <w:rFonts w:hint="eastAsia" w:ascii="Times New Roman" w:hAnsi="Times New Roman" w:cs="Times New Roman" w:eastAsiaTheme="minorEastAsia"/>
          <w:color w:val="000000" w:themeColor="text1"/>
          <w:w w:val="99"/>
          <w:sz w:val="24"/>
          <w:lang w:val="en-US"/>
          <w14:textFill>
            <w14:solidFill>
              <w14:schemeClr w14:val="tx1"/>
            </w14:solidFill>
          </w14:textFill>
        </w:rPr>
        <w:t>；</w:t>
      </w:r>
      <w:r>
        <w:rPr>
          <w:rFonts w:ascii="Times New Roman" w:hAnsi="Times New Roman" w:cs="Times New Roman" w:eastAsiaTheme="minorEastAsia"/>
          <w:color w:val="000000" w:themeColor="text1"/>
          <w:w w:val="99"/>
          <w:sz w:val="24"/>
          <w:lang w:val="en-US"/>
          <w14:textFill>
            <w14:solidFill>
              <w14:schemeClr w14:val="tx1"/>
            </w14:solidFill>
          </w14:textFill>
        </w:rPr>
        <w:t>管道在选线时也最大限度的远离沿线居民区等敏感目标，同时管线选线避开村屯内饮用水源井保护区等敏感区，尽量减小了管线可能对其造成的影响</w:t>
      </w:r>
      <w:r>
        <w:rPr>
          <w:rFonts w:hint="eastAsia" w:ascii="Times New Roman" w:hAnsi="Times New Roman" w:cs="Times New Roman" w:eastAsiaTheme="minorEastAsia"/>
          <w:color w:val="000000" w:themeColor="text1"/>
          <w:w w:val="99"/>
          <w:sz w:val="24"/>
          <w:lang w:val="en-US"/>
          <w14:textFill>
            <w14:solidFill>
              <w14:schemeClr w14:val="tx1"/>
            </w14:solidFill>
          </w14:textFill>
        </w:rPr>
        <w:t>；</w:t>
      </w:r>
      <w:r>
        <w:rPr>
          <w:rFonts w:ascii="Times New Roman" w:hAnsi="Times New Roman" w:cs="Times New Roman" w:eastAsiaTheme="minorEastAsia"/>
          <w:color w:val="000000" w:themeColor="text1"/>
          <w:w w:val="99"/>
          <w:sz w:val="24"/>
          <w:lang w:val="en-US"/>
          <w14:textFill>
            <w14:solidFill>
              <w14:schemeClr w14:val="tx1"/>
            </w14:solidFill>
          </w14:textFill>
        </w:rPr>
        <w:t>项目管线建设区域</w:t>
      </w:r>
      <w:r>
        <w:rPr>
          <w:rFonts w:hint="eastAsia" w:ascii="Times New Roman" w:hAnsi="Times New Roman" w:cs="Times New Roman" w:eastAsiaTheme="minorEastAsia"/>
          <w:color w:val="000000" w:themeColor="text1"/>
          <w:w w:val="99"/>
          <w:sz w:val="24"/>
          <w:lang w:val="en-US"/>
          <w14:textFill>
            <w14:solidFill>
              <w14:schemeClr w14:val="tx1"/>
            </w14:solidFill>
          </w14:textFill>
        </w:rPr>
        <w:t>不在</w:t>
      </w:r>
      <w:r>
        <w:rPr>
          <w:rFonts w:ascii="Times New Roman" w:hAnsi="Times New Roman" w:cs="Times New Roman" w:eastAsiaTheme="minorEastAsia"/>
          <w:color w:val="000000" w:themeColor="text1"/>
          <w:w w:val="99"/>
          <w:sz w:val="24"/>
          <w:lang w:val="en-US"/>
          <w14:textFill>
            <w14:solidFill>
              <w14:schemeClr w14:val="tx1"/>
            </w14:solidFill>
          </w14:textFill>
        </w:rPr>
        <w:t>不良工程地质区，可保障管道运行安全可靠；管线建设绕过区域地表水体古努泡子，避免事故状态下</w:t>
      </w:r>
      <w:r>
        <w:rPr>
          <w:rFonts w:hint="eastAsia" w:ascii="Times New Roman" w:hAnsi="Times New Roman" w:cs="Times New Roman" w:eastAsiaTheme="minorEastAsia"/>
          <w:color w:val="000000" w:themeColor="text1"/>
          <w:w w:val="99"/>
          <w:sz w:val="24"/>
          <w:lang w:val="en-US"/>
          <w14:textFill>
            <w14:solidFill>
              <w14:schemeClr w14:val="tx1"/>
            </w14:solidFill>
          </w14:textFill>
        </w:rPr>
        <w:t>对</w:t>
      </w:r>
      <w:r>
        <w:rPr>
          <w:rFonts w:ascii="Times New Roman" w:hAnsi="Times New Roman" w:cs="Times New Roman" w:eastAsiaTheme="minorEastAsia"/>
          <w:color w:val="000000" w:themeColor="text1"/>
          <w:w w:val="99"/>
          <w:sz w:val="24"/>
          <w:lang w:val="en-US"/>
          <w14:textFill>
            <w14:solidFill>
              <w14:schemeClr w14:val="tx1"/>
            </w14:solidFill>
          </w14:textFill>
        </w:rPr>
        <w:t>地表水体造成影响</w:t>
      </w:r>
      <w:r>
        <w:rPr>
          <w:rFonts w:hint="eastAsia" w:ascii="Times New Roman" w:hAnsi="Times New Roman" w:cs="Times New Roman" w:eastAsiaTheme="minorEastAsia"/>
          <w:color w:val="000000" w:themeColor="text1"/>
          <w:w w:val="99"/>
          <w:sz w:val="24"/>
          <w:lang w:val="en-US"/>
          <w14:textFill>
            <w14:solidFill>
              <w14:schemeClr w14:val="tx1"/>
            </w14:solidFill>
          </w14:textFill>
        </w:rPr>
        <w:t>。由以上分析，本项目在选线上较为合理。</w:t>
      </w:r>
    </w:p>
    <w:p w14:paraId="6CC0EF5F">
      <w:pPr>
        <w:pStyle w:val="104"/>
        <w:widowControl/>
        <w:autoSpaceDE/>
        <w:autoSpaceDN/>
        <w:adjustRightInd w:val="0"/>
        <w:snapToGrid w:val="0"/>
        <w:spacing w:line="440" w:lineRule="exact"/>
        <w:ind w:firstLine="544"/>
        <w:jc w:val="both"/>
        <w:rPr>
          <w:rFonts w:ascii="Times New Roman" w:hAnsi="Times New Roman" w:cs="Times New Roman" w:eastAsiaTheme="minorEastAsia"/>
          <w:color w:val="000000" w:themeColor="text1"/>
          <w:w w:val="99"/>
          <w:sz w:val="24"/>
          <w:lang w:val="en-US"/>
          <w14:textFill>
            <w14:solidFill>
              <w14:schemeClr w14:val="tx1"/>
            </w14:solidFill>
          </w14:textFill>
        </w:rPr>
      </w:pPr>
      <w:r>
        <w:rPr>
          <w:rFonts w:ascii="Times New Roman" w:hAnsi="Times New Roman" w:cs="Times New Roman" w:eastAsiaTheme="minorEastAsia"/>
          <w:color w:val="000000" w:themeColor="text1"/>
          <w:w w:val="99"/>
          <w:sz w:val="24"/>
          <w:lang w:val="en-US"/>
          <w14:textFill>
            <w14:solidFill>
              <w14:schemeClr w14:val="tx1"/>
            </w14:solidFill>
          </w14:textFill>
        </w:rPr>
        <w:t>（</w:t>
      </w:r>
      <w:r>
        <w:rPr>
          <w:rFonts w:hint="eastAsia" w:ascii="Times New Roman" w:hAnsi="Times New Roman" w:cs="Times New Roman" w:eastAsiaTheme="minorEastAsia"/>
          <w:color w:val="000000" w:themeColor="text1"/>
          <w:w w:val="99"/>
          <w:sz w:val="24"/>
          <w:lang w:val="en-US"/>
          <w14:textFill>
            <w14:solidFill>
              <w14:schemeClr w14:val="tx1"/>
            </w14:solidFill>
          </w14:textFill>
        </w:rPr>
        <w:t>2</w:t>
      </w:r>
      <w:r>
        <w:rPr>
          <w:rFonts w:ascii="Times New Roman" w:hAnsi="Times New Roman" w:cs="Times New Roman" w:eastAsiaTheme="minorEastAsia"/>
          <w:color w:val="000000" w:themeColor="text1"/>
          <w:w w:val="99"/>
          <w:sz w:val="24"/>
          <w:lang w:val="en-US"/>
          <w14:textFill>
            <w14:solidFill>
              <w14:schemeClr w14:val="tx1"/>
            </w14:solidFill>
          </w14:textFill>
        </w:rPr>
        <w:t>）选址、选线环境影响可接受性分析</w:t>
      </w:r>
    </w:p>
    <w:p w14:paraId="678FD7FB">
      <w:pPr>
        <w:pStyle w:val="104"/>
        <w:widowControl/>
        <w:autoSpaceDE/>
        <w:autoSpaceDN/>
        <w:adjustRightInd w:val="0"/>
        <w:snapToGrid w:val="0"/>
        <w:spacing w:line="440" w:lineRule="exact"/>
        <w:ind w:firstLine="544"/>
        <w:jc w:val="both"/>
        <w:rPr>
          <w:rFonts w:ascii="Times New Roman" w:hAnsi="Times New Roman" w:cs="Times New Roman" w:eastAsiaTheme="minorEastAsia"/>
          <w:color w:val="000000" w:themeColor="text1"/>
          <w:w w:val="99"/>
          <w:sz w:val="24"/>
          <w:lang w:val="en-US"/>
          <w14:textFill>
            <w14:solidFill>
              <w14:schemeClr w14:val="tx1"/>
            </w14:solidFill>
          </w14:textFill>
        </w:rPr>
      </w:pPr>
      <w:r>
        <w:rPr>
          <w:rFonts w:ascii="Times New Roman" w:hAnsi="Times New Roman" w:cs="Times New Roman" w:eastAsiaTheme="minorEastAsia"/>
          <w:color w:val="000000" w:themeColor="text1"/>
          <w:w w:val="99"/>
          <w:sz w:val="24"/>
          <w:lang w:val="en-US"/>
          <w14:textFill>
            <w14:solidFill>
              <w14:schemeClr w14:val="tx1"/>
            </w14:solidFill>
          </w14:textFill>
        </w:rPr>
        <w:t>根据《黑龙江省人民政府关于实施“三线一单”生态环境分区管控的意见》（黑政发〔2020〕14号）及《大庆市人民政府关于实施“三线一单”生态环境分区管控的意见》（庆政规〔2021〕3号），本项目拟建管线位于</w:t>
      </w:r>
      <w:r>
        <w:rPr>
          <w:rFonts w:hint="eastAsia" w:ascii="Times New Roman" w:hAnsi="Times New Roman" w:cs="Times New Roman" w:eastAsiaTheme="minorEastAsia"/>
          <w:color w:val="000000" w:themeColor="text1"/>
          <w:w w:val="99"/>
          <w:sz w:val="24"/>
          <w:lang w:val="en-US"/>
          <w14:textFill>
            <w14:solidFill>
              <w14:schemeClr w14:val="tx1"/>
            </w14:solidFill>
          </w14:textFill>
        </w:rPr>
        <w:t>优先</w:t>
      </w:r>
      <w:r>
        <w:rPr>
          <w:rFonts w:ascii="Times New Roman" w:hAnsi="Times New Roman" w:cs="Times New Roman" w:eastAsiaTheme="minorEastAsia"/>
          <w:color w:val="000000" w:themeColor="text1"/>
          <w:w w:val="99"/>
          <w:sz w:val="24"/>
          <w:lang w:val="en-US"/>
          <w14:textFill>
            <w14:solidFill>
              <w14:schemeClr w14:val="tx1"/>
            </w14:solidFill>
          </w14:textFill>
        </w:rPr>
        <w:t>管控单元和一般管控单元，根据分析，本项目符合生态环境准入清单要求。施工期产生的污染物均可得到有效治理，可控制污染物排放</w:t>
      </w:r>
      <w:r>
        <w:rPr>
          <w:rFonts w:hint="eastAsia" w:ascii="Times New Roman" w:hAnsi="Times New Roman" w:cs="Times New Roman" w:eastAsiaTheme="minorEastAsia"/>
          <w:color w:val="000000" w:themeColor="text1"/>
          <w:w w:val="99"/>
          <w:sz w:val="24"/>
          <w:lang w:val="en-US"/>
          <w14:textFill>
            <w14:solidFill>
              <w14:schemeClr w14:val="tx1"/>
            </w14:solidFill>
          </w14:textFill>
        </w:rPr>
        <w:t>，</w:t>
      </w:r>
      <w:r>
        <w:rPr>
          <w:rFonts w:ascii="Times New Roman" w:hAnsi="Times New Roman" w:cs="Times New Roman" w:eastAsiaTheme="minorEastAsia"/>
          <w:color w:val="000000" w:themeColor="text1"/>
          <w:w w:val="99"/>
          <w:sz w:val="24"/>
          <w:lang w:val="en-US"/>
          <w14:textFill>
            <w14:solidFill>
              <w14:schemeClr w14:val="tx1"/>
            </w14:solidFill>
          </w14:textFill>
        </w:rPr>
        <w:t>废水、固体废物等均不外排，且施工结束后对临时占地进行恢复。在环境风险防控方面采取加强施工管理、制定岗位操作规程并定期培训学习、实行岗位责任制、制定可行的突发环境事件环境应急预案等措施，可最大限度的减少风险事故的发生，并在风险事故发生时最大限度的减少损失。</w:t>
      </w:r>
    </w:p>
    <w:p w14:paraId="145DB970">
      <w:pPr>
        <w:pStyle w:val="104"/>
        <w:widowControl/>
        <w:autoSpaceDE/>
        <w:autoSpaceDN/>
        <w:adjustRightInd w:val="0"/>
        <w:snapToGrid w:val="0"/>
        <w:spacing w:line="440" w:lineRule="exact"/>
        <w:ind w:firstLine="544"/>
        <w:jc w:val="both"/>
        <w:rPr>
          <w:rFonts w:ascii="Times New Roman" w:hAnsi="Times New Roman" w:cs="Times New Roman" w:eastAsiaTheme="minorEastAsia"/>
          <w:color w:val="000000" w:themeColor="text1"/>
          <w:w w:val="99"/>
          <w:sz w:val="24"/>
          <w:lang w:val="en-US"/>
          <w14:textFill>
            <w14:solidFill>
              <w14:schemeClr w14:val="tx1"/>
            </w14:solidFill>
          </w14:textFill>
        </w:rPr>
      </w:pPr>
      <w:r>
        <w:rPr>
          <w:rFonts w:hint="eastAsia" w:ascii="Times New Roman" w:hAnsi="Times New Roman" w:cs="Times New Roman" w:eastAsiaTheme="minorEastAsia"/>
          <w:color w:val="000000" w:themeColor="text1"/>
          <w:w w:val="99"/>
          <w:sz w:val="24"/>
          <w:lang w:val="en-US"/>
          <w14:textFill>
            <w14:solidFill>
              <w14:schemeClr w14:val="tx1"/>
            </w14:solidFill>
          </w14:textFill>
        </w:rPr>
        <w:t>本项目在施工阶段</w:t>
      </w:r>
      <w:r>
        <w:rPr>
          <w:rFonts w:ascii="Times New Roman" w:hAnsi="Times New Roman" w:cs="Times New Roman" w:eastAsiaTheme="minorEastAsia"/>
          <w:bCs/>
          <w:color w:val="000000" w:themeColor="text1"/>
          <w:w w:val="99"/>
          <w:sz w:val="24"/>
          <w:lang w:val="en-US"/>
          <w14:textFill>
            <w14:solidFill>
              <w14:schemeClr w14:val="tx1"/>
            </w14:solidFill>
          </w14:textFill>
        </w:rPr>
        <w:t>按照生态保护措施要求，对临时占地表土进行剥离，单独存放，剥离高度0.3m，对管沟分层开挖，反序回填，并覆盖遮挡，</w:t>
      </w:r>
      <w:r>
        <w:rPr>
          <w:rFonts w:ascii="Times New Roman" w:hAnsi="Times New Roman" w:cs="Times New Roman" w:eastAsiaTheme="minorEastAsia"/>
          <w:color w:val="000000" w:themeColor="text1"/>
          <w:w w:val="99"/>
          <w:sz w:val="24"/>
          <w:lang w:val="en-US"/>
          <w14:textFill>
            <w14:solidFill>
              <w14:schemeClr w14:val="tx1"/>
            </w14:solidFill>
          </w14:textFill>
        </w:rPr>
        <w:t>临时占地在施工结束后均可得到恢复</w:t>
      </w:r>
      <w:r>
        <w:rPr>
          <w:rFonts w:hint="eastAsia" w:ascii="Times New Roman" w:hAnsi="Times New Roman" w:cs="Times New Roman" w:eastAsiaTheme="minorEastAsia"/>
          <w:color w:val="000000" w:themeColor="text1"/>
          <w:w w:val="99"/>
          <w:sz w:val="24"/>
          <w:lang w:val="en-US"/>
          <w14:textFill>
            <w14:solidFill>
              <w14:schemeClr w14:val="tx1"/>
            </w14:solidFill>
          </w14:textFill>
        </w:rPr>
        <w:t>，</w:t>
      </w:r>
      <w:r>
        <w:rPr>
          <w:rFonts w:ascii="Times New Roman" w:hAnsi="Times New Roman" w:cs="Times New Roman" w:eastAsiaTheme="minorEastAsia"/>
          <w:color w:val="000000" w:themeColor="text1"/>
          <w:w w:val="99"/>
          <w:sz w:val="24"/>
          <w:lang w:val="en-US"/>
          <w14:textFill>
            <w14:solidFill>
              <w14:schemeClr w14:val="tx1"/>
            </w14:solidFill>
          </w14:textFill>
        </w:rPr>
        <w:t>在选址和布局上采用环境影响最小的布局方案，尽可能减少占用面积，管线选址已尽量沿</w:t>
      </w:r>
      <w:r>
        <w:rPr>
          <w:rFonts w:hint="eastAsia" w:ascii="Times New Roman" w:hAnsi="Times New Roman" w:cs="Times New Roman" w:eastAsiaTheme="minorEastAsia"/>
          <w:color w:val="000000" w:themeColor="text1"/>
          <w:w w:val="99"/>
          <w:sz w:val="24"/>
          <w:lang w:val="en-US"/>
          <w14:textFill>
            <w14:solidFill>
              <w14:schemeClr w14:val="tx1"/>
            </w14:solidFill>
          </w14:textFill>
        </w:rPr>
        <w:t>道路</w:t>
      </w:r>
      <w:r>
        <w:rPr>
          <w:rFonts w:ascii="Times New Roman" w:hAnsi="Times New Roman" w:cs="Times New Roman" w:eastAsiaTheme="minorEastAsia"/>
          <w:color w:val="000000" w:themeColor="text1"/>
          <w:w w:val="99"/>
          <w:sz w:val="24"/>
          <w:lang w:val="en-US"/>
          <w14:textFill>
            <w14:solidFill>
              <w14:schemeClr w14:val="tx1"/>
            </w14:solidFill>
          </w14:textFill>
        </w:rPr>
        <w:t>敷设，避免增加</w:t>
      </w:r>
      <w:r>
        <w:rPr>
          <w:rFonts w:hint="eastAsia" w:ascii="Times New Roman" w:hAnsi="Times New Roman" w:cs="Times New Roman" w:eastAsiaTheme="minorEastAsia"/>
          <w:color w:val="000000" w:themeColor="text1"/>
          <w:w w:val="99"/>
          <w:sz w:val="24"/>
          <w:lang w:val="en-US"/>
          <w14:textFill>
            <w14:solidFill>
              <w14:schemeClr w14:val="tx1"/>
            </w14:solidFill>
          </w14:textFill>
        </w:rPr>
        <w:t>临时</w:t>
      </w:r>
      <w:r>
        <w:rPr>
          <w:rFonts w:ascii="Times New Roman" w:hAnsi="Times New Roman" w:cs="Times New Roman" w:eastAsiaTheme="minorEastAsia"/>
          <w:color w:val="000000" w:themeColor="text1"/>
          <w:w w:val="99"/>
          <w:sz w:val="24"/>
          <w:lang w:val="en-US"/>
          <w14:textFill>
            <w14:solidFill>
              <w14:schemeClr w14:val="tx1"/>
            </w14:solidFill>
          </w14:textFill>
        </w:rPr>
        <w:t>占地范围，项目在施工过程中尽量保护土地资源，不打乱土层，以便植被恢复，施工结束后对临时占地及时恢复地表植被，进行经济补偿。本项目施工过程中产生的污染物均得到有效治理，管道及新建混输阀组间均采取分区防渗措施，不会对周边耕地及草地产生影响，工程施工结束后对临时占地进行植被恢复，降低人为因素导致当地土壤盐碱化的趋势。</w:t>
      </w:r>
    </w:p>
    <w:p w14:paraId="0D423414">
      <w:pPr>
        <w:widowControl/>
        <w:spacing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根据《大庆市水土保持规划（2015-2030年）》，本项目位于的</w:t>
      </w:r>
      <w:r>
        <w:rPr>
          <w:rFonts w:hint="eastAsia" w:ascii="Times New Roman" w:hAnsi="Times New Roman" w:cs="Times New Roman" w:eastAsiaTheme="minorEastAsia"/>
          <w:color w:val="000000" w:themeColor="text1"/>
          <w:w w:val="99"/>
          <w:sz w:val="24"/>
          <w:szCs w:val="24"/>
          <w:lang w:val="en-US" w:eastAsia="zh-CN"/>
          <w14:textFill>
            <w14:solidFill>
              <w14:schemeClr w14:val="tx1"/>
            </w14:solidFill>
          </w14:textFill>
        </w:rPr>
        <w:t>红岗区杏树岗镇</w:t>
      </w:r>
      <w:r>
        <w:rPr>
          <w:rFonts w:ascii="Times New Roman" w:hAnsi="Times New Roman" w:cs="Times New Roman" w:eastAsiaTheme="minorEastAsia"/>
          <w:color w:val="000000" w:themeColor="text1"/>
          <w:w w:val="99"/>
          <w:sz w:val="24"/>
          <w:szCs w:val="24"/>
          <w:lang w:val="en-US"/>
          <w14:textFill>
            <w14:solidFill>
              <w14:schemeClr w14:val="tx1"/>
            </w14:solidFill>
          </w14:textFill>
        </w:rPr>
        <w:t>属于水土流失重点治理区，</w:t>
      </w:r>
      <w:r>
        <w:rPr>
          <w:rFonts w:ascii="Times New Roman" w:hAnsi="Times New Roman" w:cs="Times New Roman" w:eastAsiaTheme="minorEastAsia"/>
          <w:color w:val="000000" w:themeColor="text1"/>
          <w:w w:val="99"/>
          <w:sz w:val="24"/>
          <w:szCs w:val="24"/>
          <w:lang w:val="en"/>
          <w14:textFill>
            <w14:solidFill>
              <w14:schemeClr w14:val="tx1"/>
            </w14:solidFill>
          </w14:textFill>
        </w:rPr>
        <w:t>施工结束后施工场地</w:t>
      </w:r>
      <w:r>
        <w:rPr>
          <w:rFonts w:ascii="Times New Roman" w:hAnsi="Times New Roman" w:cs="Times New Roman" w:eastAsiaTheme="minorEastAsia"/>
          <w:color w:val="000000" w:themeColor="text1"/>
          <w:w w:val="99"/>
          <w:sz w:val="24"/>
          <w:szCs w:val="24"/>
          <w:lang w:val="en-US"/>
          <w14:textFill>
            <w14:solidFill>
              <w14:schemeClr w14:val="tx1"/>
            </w14:solidFill>
          </w14:textFill>
        </w:rPr>
        <w:t>予以平整、压实，以免发生水土流失；利用现有公路和已有便道行车，减少新建道路，避免造成新的裸露地表，道路应在推平后加以机械碾压，做好原有植被恢复工作。采取以上措施后，本项目水土流失量较少，产生的影响较小。</w:t>
      </w:r>
    </w:p>
    <w:p w14:paraId="3FD4905F">
      <w:pPr>
        <w:pStyle w:val="104"/>
        <w:spacing w:line="440" w:lineRule="exact"/>
        <w:jc w:val="both"/>
        <w:rPr>
          <w:rFonts w:ascii="Times New Roman" w:hAnsi="Times New Roman" w:cs="Times New Roman" w:eastAsiaTheme="minorEastAsia"/>
          <w:color w:val="000000" w:themeColor="text1"/>
          <w:w w:val="99"/>
          <w:sz w:val="24"/>
          <w:lang w:val="en-US"/>
          <w14:textFill>
            <w14:solidFill>
              <w14:schemeClr w14:val="tx1"/>
            </w14:solidFill>
          </w14:textFill>
        </w:rPr>
      </w:pPr>
      <w:r>
        <w:rPr>
          <w:rFonts w:ascii="Times New Roman" w:hAnsi="Times New Roman" w:cs="Times New Roman" w:eastAsiaTheme="minorEastAsia"/>
          <w:color w:val="000000" w:themeColor="text1"/>
          <w:w w:val="99"/>
          <w:sz w:val="24"/>
          <w:lang w:val="en-US"/>
          <w14:textFill>
            <w14:solidFill>
              <w14:schemeClr w14:val="tx1"/>
            </w14:solidFill>
          </w14:textFill>
        </w:rPr>
        <w:t>同时，项目建设符合黑龙江省土地利用总体规划、大庆市土地利用总体规划、黑龙江省生态功能区规划等相关规划要求。工程选址在环境保护方面较合理。</w:t>
      </w:r>
    </w:p>
    <w:p w14:paraId="58B373B0">
      <w:pPr>
        <w:pStyle w:val="4"/>
        <w:tabs>
          <w:tab w:val="left" w:pos="751"/>
        </w:tabs>
        <w:spacing w:before="120" w:after="120" w:line="440" w:lineRule="exact"/>
        <w:ind w:left="0" w:firstLine="0"/>
        <w:jc w:val="both"/>
        <w:rPr>
          <w:rFonts w:ascii="Times New Roman" w:hAnsi="Times New Roman" w:cs="Times New Roman" w:eastAsiaTheme="minorEastAsia"/>
          <w:b/>
          <w:bCs/>
          <w:color w:val="000000" w:themeColor="text1"/>
          <w:w w:val="99"/>
          <w:sz w:val="28"/>
          <w:szCs w:val="28"/>
          <w:lang w:val="en-US"/>
          <w14:textFill>
            <w14:solidFill>
              <w14:schemeClr w14:val="tx1"/>
            </w14:solidFill>
          </w14:textFill>
        </w:rPr>
      </w:pPr>
      <w:bookmarkStart w:id="42" w:name="_Toc117794511"/>
      <w:r>
        <w:rPr>
          <w:rFonts w:ascii="Times New Roman" w:hAnsi="Times New Roman" w:cs="Times New Roman" w:eastAsiaTheme="minorEastAsia"/>
          <w:b/>
          <w:bCs/>
          <w:color w:val="000000" w:themeColor="text1"/>
          <w:w w:val="99"/>
          <w:sz w:val="28"/>
          <w:szCs w:val="28"/>
          <w:lang w:val="en-US"/>
          <w14:textFill>
            <w14:solidFill>
              <w14:schemeClr w14:val="tx1"/>
            </w14:solidFill>
          </w14:textFill>
        </w:rPr>
        <w:t>1.5 关注的主要环境问题及环境影响</w:t>
      </w:r>
      <w:bookmarkEnd w:id="42"/>
    </w:p>
    <w:p w14:paraId="776A0558">
      <w:pPr>
        <w:pStyle w:val="31"/>
        <w:spacing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本项目为管道新建项目，环境影响主要来源于管道施工过程，环境影响包括施工期和运营期事故状态下污染物排放造成的环境污染影响，以及占地和施工造成的生态影响。根据现状调查，本区块未在自然保护区、风景名胜区等环境敏感区域内，主要环境敏感保护目标为评价范围内的农田、草地、林地及项目周边分布的村屯。重点关注施工过程的各项污染物产生以及可能发生的风险对区域环境产生的影响、施工过程中产生的生态环境问题以及生态恢复措施。</w:t>
      </w:r>
    </w:p>
    <w:p w14:paraId="395BFC14">
      <w:pPr>
        <w:pStyle w:val="31"/>
        <w:spacing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（1）环境空气</w:t>
      </w:r>
    </w:p>
    <w:p w14:paraId="18E24F87">
      <w:pPr>
        <w:pStyle w:val="31"/>
        <w:spacing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本工程施工期对空气环境的影响主要是管道建设施工中管沟的开挖和回填、管材运输等过程产生的扬尘，以及无缝钢管在焊接过程中产生的焊接烟尘。通过采取污染控制措施后，能够确保施工场界颗粒物浓度满足《大气污染物综合排放标准》(GB16297-1996)中表2无组织排放监控浓度限值1.0mg/m</w:t>
      </w:r>
      <w:r>
        <w:rPr>
          <w:rFonts w:ascii="Times New Roman" w:hAnsi="Times New Roman" w:cs="Times New Roman" w:eastAsiaTheme="minorEastAsia"/>
          <w:color w:val="000000" w:themeColor="text1"/>
          <w:w w:val="99"/>
          <w:sz w:val="24"/>
          <w:szCs w:val="24"/>
          <w:vertAlign w:val="superscript"/>
          <w:lang w:val="en-US"/>
          <w14:textFill>
            <w14:solidFill>
              <w14:schemeClr w14:val="tx1"/>
            </w14:solidFill>
          </w14:textFill>
        </w:rPr>
        <w:t>3</w:t>
      </w:r>
      <w:r>
        <w:rPr>
          <w:rFonts w:ascii="Times New Roman" w:hAnsi="Times New Roman" w:cs="Times New Roman" w:eastAsiaTheme="minorEastAsia"/>
          <w:color w:val="000000" w:themeColor="text1"/>
          <w:w w:val="99"/>
          <w:sz w:val="24"/>
          <w:szCs w:val="24"/>
          <w:lang w:val="en-US"/>
          <w14:textFill>
            <w14:solidFill>
              <w14:schemeClr w14:val="tx1"/>
            </w14:solidFill>
          </w14:textFill>
        </w:rPr>
        <w:t>要求，不会对大气环境产生较大影响。</w:t>
      </w:r>
    </w:p>
    <w:p w14:paraId="4D9FDFC4">
      <w:pPr>
        <w:pStyle w:val="31"/>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本项目</w:t>
      </w:r>
      <w:r>
        <w:rPr>
          <w:rFonts w:ascii="Times New Roman" w:hAnsi="Times New Roman" w:cs="Times New Roman" w:eastAsiaTheme="minorEastAsia"/>
          <w:color w:val="000000" w:themeColor="text1"/>
          <w:w w:val="99"/>
          <w:sz w:val="24"/>
          <w:szCs w:val="24"/>
          <w14:textFill>
            <w14:solidFill>
              <w14:schemeClr w14:val="tx1"/>
            </w14:solidFill>
          </w14:textFill>
        </w:rPr>
        <w:t>运营期</w:t>
      </w:r>
      <w:r>
        <w:rPr>
          <w:rFonts w:ascii="Times New Roman" w:hAnsi="Times New Roman" w:cs="Times New Roman" w:eastAsiaTheme="minorEastAsia"/>
          <w:color w:val="000000" w:themeColor="text1"/>
          <w:w w:val="99"/>
          <w:sz w:val="24"/>
          <w:szCs w:val="24"/>
          <w:lang w:val="en-US"/>
          <w14:textFill>
            <w14:solidFill>
              <w14:schemeClr w14:val="tx1"/>
            </w14:solidFill>
          </w14:textFill>
        </w:rPr>
        <w:t>油气集输全部采用密闭</w:t>
      </w:r>
      <w:r>
        <w:rPr>
          <w:rFonts w:hint="eastAsia" w:ascii="Times New Roman" w:hAnsi="Times New Roman" w:cs="Times New Roman" w:eastAsiaTheme="minorEastAsia"/>
          <w:color w:val="000000" w:themeColor="text1"/>
          <w:w w:val="99"/>
          <w:sz w:val="24"/>
          <w:szCs w:val="24"/>
          <w:lang w:val="en-US"/>
          <w14:textFill>
            <w14:solidFill>
              <w14:schemeClr w14:val="tx1"/>
            </w14:solidFill>
          </w14:textFill>
        </w:rPr>
        <w:t>集输</w:t>
      </w:r>
      <w:r>
        <w:rPr>
          <w:rFonts w:ascii="Times New Roman" w:hAnsi="Times New Roman" w:cs="Times New Roman" w:eastAsiaTheme="minorEastAsia"/>
          <w:color w:val="000000" w:themeColor="text1"/>
          <w:w w:val="99"/>
          <w:sz w:val="24"/>
          <w:szCs w:val="24"/>
          <w:lang w:val="en-US"/>
          <w14:textFill>
            <w14:solidFill>
              <w14:schemeClr w14:val="tx1"/>
            </w14:solidFill>
          </w14:textFill>
        </w:rPr>
        <w:t>工艺流程</w:t>
      </w:r>
      <w:r>
        <w:rPr>
          <w:rFonts w:ascii="Times New Roman" w:hAnsi="Times New Roman" w:cs="Times New Roman" w:eastAsiaTheme="minorEastAsia"/>
          <w:color w:val="000000" w:themeColor="text1"/>
          <w:w w:val="99"/>
          <w:sz w:val="24"/>
          <w:szCs w:val="24"/>
          <w14:textFill>
            <w14:solidFill>
              <w14:schemeClr w14:val="tx1"/>
            </w14:solidFill>
          </w14:textFill>
        </w:rPr>
        <w:t>，阀门、泵等密封</w:t>
      </w:r>
      <w:r>
        <w:rPr>
          <w:rFonts w:hint="eastAsia" w:ascii="Times New Roman" w:hAnsi="Times New Roman" w:cs="Times New Roman" w:eastAsiaTheme="minorEastAsia"/>
          <w:color w:val="000000" w:themeColor="text1"/>
          <w:w w:val="99"/>
          <w:sz w:val="24"/>
          <w:szCs w:val="24"/>
          <w14:textFill>
            <w14:solidFill>
              <w14:schemeClr w14:val="tx1"/>
            </w14:solidFill>
          </w14:textFill>
        </w:rPr>
        <w:t>点</w:t>
      </w:r>
      <w:r>
        <w:rPr>
          <w:rFonts w:ascii="Times New Roman" w:hAnsi="Times New Roman" w:cs="Times New Roman" w:eastAsiaTheme="minorEastAsia"/>
          <w:color w:val="000000" w:themeColor="text1"/>
          <w:w w:val="99"/>
          <w:sz w:val="24"/>
          <w:szCs w:val="24"/>
          <w14:textFill>
            <w14:solidFill>
              <w14:schemeClr w14:val="tx1"/>
            </w14:solidFill>
          </w14:textFill>
        </w:rPr>
        <w:t>安装密封垫，</w:t>
      </w:r>
      <w:r>
        <w:rPr>
          <w:rFonts w:ascii="Times New Roman" w:hAnsi="Times New Roman" w:cs="Times New Roman" w:eastAsiaTheme="minorEastAsia"/>
          <w:color w:val="000000" w:themeColor="text1"/>
          <w:w w:val="99"/>
          <w:sz w:val="24"/>
          <w:szCs w:val="24"/>
          <w:lang w:val="en-US"/>
          <w14:textFill>
            <w14:solidFill>
              <w14:schemeClr w14:val="tx1"/>
            </w14:solidFill>
          </w14:textFill>
        </w:rPr>
        <w:t>定期对设备和管道进行维修保养，保证油气</w:t>
      </w:r>
      <w:r>
        <w:rPr>
          <w:rFonts w:hint="eastAsia" w:ascii="Times New Roman" w:hAnsi="Times New Roman" w:cs="Times New Roman" w:eastAsiaTheme="minorEastAsia"/>
          <w:color w:val="000000" w:themeColor="text1"/>
          <w:w w:val="99"/>
          <w:sz w:val="24"/>
          <w:szCs w:val="24"/>
          <w:lang w:val="en-US"/>
          <w14:textFill>
            <w14:solidFill>
              <w14:schemeClr w14:val="tx1"/>
            </w14:solidFill>
          </w14:textFill>
        </w:rPr>
        <w:t>集输</w:t>
      </w:r>
      <w:r>
        <w:rPr>
          <w:rFonts w:ascii="Times New Roman" w:hAnsi="Times New Roman" w:cs="Times New Roman" w:eastAsiaTheme="minorEastAsia"/>
          <w:color w:val="000000" w:themeColor="text1"/>
          <w:w w:val="99"/>
          <w:sz w:val="24"/>
          <w:szCs w:val="24"/>
          <w:lang w:val="en-US"/>
          <w14:textFill>
            <w14:solidFill>
              <w14:schemeClr w14:val="tx1"/>
            </w14:solidFill>
          </w14:textFill>
        </w:rPr>
        <w:t>设施的平稳运行，控制烃类气体的无组织挥发</w:t>
      </w:r>
      <w:r>
        <w:rPr>
          <w:rFonts w:ascii="Times New Roman" w:hAnsi="Times New Roman" w:cs="Times New Roman" w:eastAsiaTheme="minorEastAsia"/>
          <w:color w:val="000000" w:themeColor="text1"/>
          <w:w w:val="99"/>
          <w:sz w:val="24"/>
          <w:szCs w:val="24"/>
          <w14:textFill>
            <w14:solidFill>
              <w14:schemeClr w14:val="tx1"/>
            </w14:solidFill>
          </w14:textFill>
        </w:rPr>
        <w:t>，混输阀组间</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排放的非甲烷总烃边界可以</w:t>
      </w:r>
      <w:r>
        <w:rPr>
          <w:rFonts w:ascii="Times New Roman" w:hAnsi="Times New Roman" w:cs="Times New Roman" w:eastAsiaTheme="minorEastAsia"/>
          <w:color w:val="000000" w:themeColor="text1"/>
          <w:w w:val="99"/>
          <w:sz w:val="24"/>
          <w:szCs w:val="24"/>
          <w:lang w:val="en-US"/>
          <w14:textFill>
            <w14:solidFill>
              <w14:schemeClr w14:val="tx1"/>
            </w14:solidFill>
          </w14:textFill>
        </w:rPr>
        <w:t>满足</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《陆上石油天然气开采工业大气污染物排放标准》（GB39728-2020）5.9中规定要求，</w:t>
      </w:r>
      <w:r>
        <w:rPr>
          <w:rFonts w:ascii="Times New Roman" w:hAnsi="Times New Roman"/>
          <w:color w:val="000000" w:themeColor="text1"/>
          <w:w w:val="99"/>
          <w:sz w:val="24"/>
          <w:szCs w:val="24"/>
          <w14:textFill>
            <w14:solidFill>
              <w14:schemeClr w14:val="tx1"/>
            </w14:solidFill>
          </w14:textFill>
        </w:rPr>
        <w:t>厂区内可以满足《挥发性有机物无组织排放控制标准》（GB 37822-2019）附录A 中VOCs 无组织排放一般限值要求。</w:t>
      </w:r>
    </w:p>
    <w:p w14:paraId="3D11B3BA">
      <w:pPr>
        <w:pStyle w:val="31"/>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2</w:t>
      </w:r>
      <w:r>
        <w:rPr>
          <w:rFonts w:ascii="Times New Roman" w:hAnsi="Times New Roman" w:cs="Times New Roman" w:eastAsiaTheme="minorEastAsia"/>
          <w:color w:val="000000" w:themeColor="text1"/>
          <w:w w:val="99"/>
          <w:sz w:val="24"/>
          <w:szCs w:val="24"/>
          <w14:textFill>
            <w14:solidFill>
              <w14:schemeClr w14:val="tx1"/>
            </w14:solidFill>
          </w14:textFill>
        </w:rPr>
        <w:t>）地下水环境</w:t>
      </w:r>
    </w:p>
    <w:p w14:paraId="6B28BD8F">
      <w:pPr>
        <w:pStyle w:val="31"/>
        <w:spacing w:line="440" w:lineRule="atLeast"/>
        <w:ind w:firstLine="474" w:firstLineChars="200"/>
        <w:jc w:val="both"/>
        <w:rPr>
          <w:rFonts w:ascii="Times New Roman" w:hAnsi="Times New Roman" w:cs="Times New Roman" w:eastAsiaTheme="minorEastAsia"/>
          <w:color w:val="000000" w:themeColor="text1"/>
          <w:w w:val="99"/>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本工程施工期可能对地下水产生影响的主要为管道试压废水以及施工人员的生活用水。施工人员的生活污水排入拉油点已建防渗旱厕，定期清掏外运堆肥处理，不外排；新建管道时产生的试压废水统一由水罐车收集运送至龙一联含油污水处理站处理达标后回注油层。</w:t>
      </w:r>
    </w:p>
    <w:p w14:paraId="14FD12BC">
      <w:pPr>
        <w:pStyle w:val="31"/>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运营期的环境影响主要为事故状态下环境影响，管线发生泄漏等事故对周围地下水的影响。</w:t>
      </w:r>
    </w:p>
    <w:p w14:paraId="4BC46C78">
      <w:pPr>
        <w:pStyle w:val="129"/>
        <w:spacing w:line="440" w:lineRule="exact"/>
        <w:ind w:firstLine="473"/>
        <w:rPr>
          <w:rFonts w:ascii="Times New Roman" w:hAnsi="Times New Roman" w:eastAsiaTheme="minorEastAsia"/>
          <w:color w:val="000000" w:themeColor="text1"/>
          <w:w w:val="99"/>
          <w:sz w:val="24"/>
          <w:szCs w:val="24"/>
          <w14:textFill>
            <w14:solidFill>
              <w14:schemeClr w14:val="tx1"/>
            </w14:solidFill>
          </w14:textFill>
        </w:rPr>
      </w:pPr>
      <w:r>
        <w:rPr>
          <w:rFonts w:ascii="Times New Roman" w:hAnsi="Times New Roman" w:eastAsiaTheme="minorEastAsia"/>
          <w:color w:val="000000" w:themeColor="text1"/>
          <w:w w:val="99"/>
          <w:sz w:val="24"/>
          <w:szCs w:val="24"/>
          <w14:textFill>
            <w14:solidFill>
              <w14:schemeClr w14:val="tx1"/>
            </w14:solidFill>
          </w14:textFill>
        </w:rPr>
        <w:t>（3）声环境</w:t>
      </w:r>
    </w:p>
    <w:p w14:paraId="49821DF2">
      <w:pPr>
        <w:pStyle w:val="129"/>
        <w:spacing w:line="440" w:lineRule="exact"/>
        <w:ind w:firstLine="473"/>
        <w:rPr>
          <w:rFonts w:ascii="Times New Roman" w:hAnsi="Times New Roman" w:eastAsiaTheme="minorEastAsia"/>
          <w:color w:val="000000" w:themeColor="text1"/>
          <w:w w:val="99"/>
          <w:sz w:val="24"/>
          <w:szCs w:val="24"/>
          <w14:textFill>
            <w14:solidFill>
              <w14:schemeClr w14:val="tx1"/>
            </w14:solidFill>
          </w14:textFill>
        </w:rPr>
      </w:pPr>
      <w:r>
        <w:rPr>
          <w:rFonts w:ascii="Times New Roman" w:hAnsi="Times New Roman" w:eastAsiaTheme="minorEastAsia"/>
          <w:color w:val="000000" w:themeColor="text1"/>
          <w:w w:val="99"/>
          <w:sz w:val="24"/>
          <w:szCs w:val="24"/>
          <w14:textFill>
            <w14:solidFill>
              <w14:schemeClr w14:val="tx1"/>
            </w14:solidFill>
          </w14:textFill>
        </w:rPr>
        <w:t>施工过程中产生的噪声主要为</w:t>
      </w:r>
      <w:r>
        <w:rPr>
          <w:rFonts w:ascii="Times New Roman" w:hAnsi="Times New Roman" w:eastAsiaTheme="minorEastAsia"/>
          <w:color w:val="000000" w:themeColor="text1"/>
          <w:w w:val="99"/>
          <w:kern w:val="2"/>
          <w:sz w:val="24"/>
          <w:szCs w:val="24"/>
          <w14:textFill>
            <w14:solidFill>
              <w14:schemeClr w14:val="tx1"/>
            </w14:solidFill>
          </w14:textFill>
        </w:rPr>
        <w:t>重型车辆沿途产生的噪声。</w:t>
      </w:r>
      <w:r>
        <w:rPr>
          <w:rFonts w:ascii="Times New Roman" w:hAnsi="Times New Roman" w:eastAsiaTheme="minorEastAsia"/>
          <w:color w:val="000000" w:themeColor="text1"/>
          <w:w w:val="99"/>
          <w:sz w:val="24"/>
          <w:szCs w:val="24"/>
          <w14:textFill>
            <w14:solidFill>
              <w14:schemeClr w14:val="tx1"/>
            </w14:solidFill>
          </w14:textFill>
        </w:rPr>
        <w:t>物料运输车辆应选择合理时间和路线，避开居民休息时段；严格限定施工范围，选用噪音低的设备；注意对设备的维护和保养，合理操作，保证施工机械保持在最佳状态，降低噪声源强度。对周边声环境敏感点影响较小。</w:t>
      </w:r>
    </w:p>
    <w:p w14:paraId="1FC3AB67">
      <w:pPr>
        <w:pStyle w:val="129"/>
        <w:spacing w:line="440" w:lineRule="exact"/>
        <w:ind w:firstLine="473"/>
        <w:rPr>
          <w:rFonts w:ascii="Times New Roman" w:hAnsi="Times New Roman" w:eastAsiaTheme="minorEastAsia"/>
          <w:color w:val="000000" w:themeColor="text1"/>
          <w:w w:val="99"/>
          <w:kern w:val="2"/>
          <w:sz w:val="24"/>
          <w:szCs w:val="24"/>
          <w14:textFill>
            <w14:solidFill>
              <w14:schemeClr w14:val="tx1"/>
            </w14:solidFill>
          </w14:textFill>
        </w:rPr>
      </w:pPr>
      <w:r>
        <w:rPr>
          <w:rFonts w:ascii="Times New Roman" w:hAnsi="Times New Roman" w:eastAsiaTheme="minorEastAsia"/>
          <w:color w:val="000000" w:themeColor="text1"/>
          <w:w w:val="99"/>
          <w:kern w:val="2"/>
          <w:sz w:val="24"/>
          <w:szCs w:val="24"/>
          <w14:textFill>
            <w14:solidFill>
              <w14:schemeClr w14:val="tx1"/>
            </w14:solidFill>
          </w14:textFill>
        </w:rPr>
        <w:t>本项目运营期噪声源主要来自混输阀组间内新建混输泵噪声，</w:t>
      </w:r>
      <w:r>
        <w:rPr>
          <w:rFonts w:ascii="Times New Roman" w:hAnsi="Times New Roman" w:eastAsiaTheme="minorEastAsia"/>
          <w:color w:val="000000" w:themeColor="text1"/>
          <w:w w:val="99"/>
          <w:kern w:val="21"/>
          <w:sz w:val="24"/>
          <w:szCs w:val="24"/>
          <w14:textFill>
            <w14:solidFill>
              <w14:schemeClr w14:val="tx1"/>
            </w14:solidFill>
          </w14:textFill>
        </w:rPr>
        <w:t>对噪声值较高的机泵设备采用相应的减振、隔声等降噪措施，</w:t>
      </w:r>
      <w:r>
        <w:rPr>
          <w:rFonts w:ascii="Times New Roman" w:hAnsi="Times New Roman" w:eastAsiaTheme="minorEastAsia"/>
          <w:bCs/>
          <w:color w:val="000000" w:themeColor="text1"/>
          <w:w w:val="99"/>
          <w:sz w:val="24"/>
          <w:szCs w:val="24"/>
          <w14:textFill>
            <w14:solidFill>
              <w14:schemeClr w14:val="tx1"/>
            </w14:solidFill>
          </w14:textFill>
        </w:rPr>
        <w:t>注意对设备的维护保养，保证设备保持在最佳运行状态，降低噪声源强度，采取以上措施后</w:t>
      </w:r>
      <w:r>
        <w:rPr>
          <w:rFonts w:ascii="Times New Roman" w:hAnsi="Times New Roman" w:eastAsiaTheme="minorEastAsia"/>
          <w:color w:val="000000" w:themeColor="text1"/>
          <w:w w:val="99"/>
          <w:kern w:val="2"/>
          <w:sz w:val="24"/>
          <w:szCs w:val="24"/>
          <w14:textFill>
            <w14:solidFill>
              <w14:schemeClr w14:val="tx1"/>
            </w14:solidFill>
          </w14:textFill>
        </w:rPr>
        <w:t>混输阀组间</w:t>
      </w:r>
      <w:r>
        <w:rPr>
          <w:rFonts w:ascii="Times New Roman" w:hAnsi="Times New Roman" w:eastAsiaTheme="minorEastAsia"/>
          <w:bCs/>
          <w:color w:val="000000" w:themeColor="text1"/>
          <w:w w:val="99"/>
          <w:sz w:val="24"/>
          <w:szCs w:val="24"/>
          <w14:textFill>
            <w14:solidFill>
              <w14:schemeClr w14:val="tx1"/>
            </w14:solidFill>
          </w14:textFill>
        </w:rPr>
        <w:t>厂界噪声能够达到《工业企业厂界环境噪声排放标准》（GB12348-2008）2类标准的要求</w:t>
      </w:r>
      <w:r>
        <w:rPr>
          <w:rFonts w:ascii="Times New Roman" w:hAnsi="Times New Roman" w:eastAsiaTheme="minorEastAsia"/>
          <w:color w:val="000000" w:themeColor="text1"/>
          <w:w w:val="99"/>
          <w:sz w:val="24"/>
          <w:szCs w:val="24"/>
          <w14:textFill>
            <w14:solidFill>
              <w14:schemeClr w14:val="tx1"/>
            </w14:solidFill>
          </w14:textFill>
        </w:rPr>
        <w:t>。对周边声环境敏感点影响较小。</w:t>
      </w:r>
    </w:p>
    <w:p w14:paraId="309343C5">
      <w:pPr>
        <w:pStyle w:val="31"/>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4</w:t>
      </w:r>
      <w:r>
        <w:rPr>
          <w:rFonts w:ascii="Times New Roman" w:hAnsi="Times New Roman" w:cs="Times New Roman" w:eastAsiaTheme="minorEastAsia"/>
          <w:color w:val="000000" w:themeColor="text1"/>
          <w:w w:val="99"/>
          <w:sz w:val="24"/>
          <w:szCs w:val="24"/>
          <w14:textFill>
            <w14:solidFill>
              <w14:schemeClr w14:val="tx1"/>
            </w14:solidFill>
          </w14:textFill>
        </w:rPr>
        <w:t>）生态环境</w:t>
      </w:r>
    </w:p>
    <w:p w14:paraId="1C9B9CA2">
      <w:pPr>
        <w:pStyle w:val="31"/>
        <w:spacing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本工程管道开挖及铺设发生的临时占地，以及因机械设备、车辆的碾压、人员的践踏等活动将会对地表植被造成一定程度的破坏。临时占地暂时改变了土地利用形式，使区域的生产能力受到暂时性影响。施工结束后，及时恢复被破坏的地表形态，对临时占用耕地进行表土留存，分层回填，整平翻松，确保恢复等质等量面积的耕地。</w:t>
      </w:r>
    </w:p>
    <w:p w14:paraId="18D4B1F2">
      <w:pPr>
        <w:pStyle w:val="31"/>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5</w:t>
      </w:r>
      <w:r>
        <w:rPr>
          <w:rFonts w:ascii="Times New Roman" w:hAnsi="Times New Roman" w:cs="Times New Roman" w:eastAsiaTheme="minorEastAsia"/>
          <w:color w:val="000000" w:themeColor="text1"/>
          <w:w w:val="99"/>
          <w:sz w:val="24"/>
          <w:szCs w:val="24"/>
          <w14:textFill>
            <w14:solidFill>
              <w14:schemeClr w14:val="tx1"/>
            </w14:solidFill>
          </w14:textFill>
        </w:rPr>
        <w:t>）固体废物</w:t>
      </w:r>
    </w:p>
    <w:p w14:paraId="31F8114B">
      <w:pPr>
        <w:pStyle w:val="31"/>
        <w:spacing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本</w:t>
      </w:r>
      <w:r>
        <w:rPr>
          <w:rFonts w:hint="eastAsia" w:ascii="Times New Roman" w:hAnsi="Times New Roman" w:cs="Times New Roman" w:eastAsiaTheme="minorEastAsia"/>
          <w:color w:val="000000" w:themeColor="text1"/>
          <w:w w:val="99"/>
          <w:sz w:val="24"/>
          <w:szCs w:val="24"/>
          <w:lang w:val="en-US"/>
          <w14:textFill>
            <w14:solidFill>
              <w14:schemeClr w14:val="tx1"/>
            </w14:solidFill>
          </w14:textFill>
        </w:rPr>
        <w:t>项目</w:t>
      </w:r>
      <w:r>
        <w:rPr>
          <w:rFonts w:ascii="Times New Roman" w:hAnsi="Times New Roman" w:cs="Times New Roman" w:eastAsiaTheme="minorEastAsia"/>
          <w:color w:val="000000" w:themeColor="text1"/>
          <w:w w:val="99"/>
          <w:sz w:val="24"/>
          <w:szCs w:val="24"/>
          <w:lang w:val="en-US"/>
          <w14:textFill>
            <w14:solidFill>
              <w14:schemeClr w14:val="tx1"/>
            </w14:solidFill>
          </w14:textFill>
        </w:rPr>
        <w:t>施工期产生的清淤油泥</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由罐车拉运至</w:t>
      </w:r>
      <w:r>
        <w:rPr>
          <w:rFonts w:hint="eastAsia" w:ascii="Times New Roman" w:hAnsi="Times New Roman" w:cs="Times New Roman" w:eastAsiaTheme="minorEastAsia"/>
          <w:bCs/>
          <w:color w:val="000000" w:themeColor="text1"/>
          <w:w w:val="99"/>
          <w:sz w:val="24"/>
          <w:szCs w:val="24"/>
          <w:lang w:val="en-US" w:eastAsia="zh-CN"/>
          <w14:textFill>
            <w14:solidFill>
              <w14:schemeClr w14:val="tx1"/>
            </w14:solidFill>
          </w14:textFill>
        </w:rPr>
        <w:t>第五采油厂</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含油污泥处理站处理满足《油田含油污泥处置与利用污染控制要求》（DB23/T 3104-2022）表1中油田含油污泥经处置后泥渣利用污染物控制限值后用作油田垫井场和通井路。施工废料最大限度回收利用后，剩余废料拉运至第八采油厂工业固废填埋场处理。建筑垃圾由施工单位拉运至大庆市</w:t>
      </w:r>
      <w:r>
        <w:rPr>
          <w:rFonts w:hint="eastAsia" w:ascii="Times New Roman" w:hAnsi="Times New Roman" w:cs="Times New Roman" w:eastAsiaTheme="minorEastAsia"/>
          <w:bCs/>
          <w:color w:val="000000" w:themeColor="text1"/>
          <w:w w:val="99"/>
          <w:sz w:val="24"/>
          <w:szCs w:val="24"/>
          <w:lang w:val="en-US" w:eastAsia="zh-CN"/>
          <w14:textFill>
            <w14:solidFill>
              <w14:schemeClr w14:val="tx1"/>
            </w14:solidFill>
          </w14:textFill>
        </w:rPr>
        <w:t>红岗区杏树岗镇</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建筑垃圾消纳场处理。拆除的废旧设备全部回收至</w:t>
      </w:r>
      <w:r>
        <w:rPr>
          <w:rFonts w:hint="eastAsia" w:ascii="Times New Roman" w:hAnsi="Times New Roman" w:cs="Times New Roman" w:eastAsiaTheme="minorEastAsia"/>
          <w:bCs/>
          <w:color w:val="000000" w:themeColor="text1"/>
          <w:w w:val="99"/>
          <w:sz w:val="24"/>
          <w:szCs w:val="24"/>
          <w:lang w:val="en-US" w:eastAsia="zh-CN"/>
          <w14:textFill>
            <w14:solidFill>
              <w14:schemeClr w14:val="tx1"/>
            </w14:solidFill>
          </w14:textFill>
        </w:rPr>
        <w:t>第五采油厂</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物资库再利用。生活垃圾统一收集后拉运至大庆龙清生物科技有限公司处理。</w:t>
      </w:r>
    </w:p>
    <w:p w14:paraId="54E545E1">
      <w:pPr>
        <w:pStyle w:val="31"/>
        <w:spacing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（6）土壤环境</w:t>
      </w:r>
    </w:p>
    <w:p w14:paraId="7AB6AAAB">
      <w:pPr>
        <w:pStyle w:val="31"/>
        <w:spacing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施工期废水、固废监控管理，杜绝随意倾倒，污染土壤环境。</w:t>
      </w:r>
    </w:p>
    <w:p w14:paraId="4CBE4B78">
      <w:pPr>
        <w:pStyle w:val="31"/>
        <w:spacing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运营期的环境影响主要为事故状态下管线发生泄漏等事故对周围土壤的影响</w:t>
      </w:r>
      <w:r>
        <w:rPr>
          <w:rFonts w:ascii="Times New Roman" w:hAnsi="Times New Roman" w:cs="Times New Roman" w:eastAsiaTheme="minorEastAsia"/>
          <w:color w:val="000000" w:themeColor="text1"/>
          <w:w w:val="99"/>
          <w:sz w:val="24"/>
          <w:szCs w:val="24"/>
          <w:lang w:val="en-US"/>
          <w14:textFill>
            <w14:solidFill>
              <w14:schemeClr w14:val="tx1"/>
            </w14:solidFill>
          </w14:textFill>
        </w:rPr>
        <w:t>，对土壤的影响主要集中在管道附近。</w:t>
      </w:r>
    </w:p>
    <w:p w14:paraId="3B62236B">
      <w:pPr>
        <w:pStyle w:val="31"/>
        <w:spacing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（7）环境风险</w:t>
      </w:r>
    </w:p>
    <w:p w14:paraId="3EF59E22">
      <w:pPr>
        <w:pStyle w:val="31"/>
        <w:spacing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bookmarkStart w:id="43" w:name="_bookmark6"/>
      <w:bookmarkEnd w:id="43"/>
      <w:r>
        <w:rPr>
          <w:rFonts w:ascii="Times New Roman" w:hAnsi="Times New Roman" w:cs="Times New Roman" w:eastAsiaTheme="minorEastAsia"/>
          <w:color w:val="000000" w:themeColor="text1"/>
          <w:w w:val="99"/>
          <w:sz w:val="24"/>
          <w:szCs w:val="24"/>
          <w:lang w:val="en-US"/>
          <w14:textFill>
            <w14:solidFill>
              <w14:schemeClr w14:val="tx1"/>
            </w14:solidFill>
          </w14:textFill>
        </w:rPr>
        <w:t>本工程运营期的主要风险类型是管线泄漏、火灾爆炸和中毒，对区域内的地下水环境和空气环境有潜在危害性。本工程通过对事故状态下对大气环境影响分析，以及地下水环境影响的分析，在工程采取一系列风险防范措施和应急措施后，可以控制和降低工程发生事故情况下对周围环境的影响。</w:t>
      </w:r>
    </w:p>
    <w:p w14:paraId="6FC04528">
      <w:pPr>
        <w:pStyle w:val="4"/>
        <w:tabs>
          <w:tab w:val="left" w:pos="751"/>
        </w:tabs>
        <w:spacing w:before="120" w:after="120" w:line="440" w:lineRule="exact"/>
        <w:ind w:left="0" w:firstLine="0"/>
        <w:jc w:val="both"/>
        <w:rPr>
          <w:rFonts w:ascii="Times New Roman" w:hAnsi="Times New Roman" w:cs="Times New Roman" w:eastAsiaTheme="minorEastAsia"/>
          <w:b/>
          <w:bCs/>
          <w:color w:val="000000" w:themeColor="text1"/>
          <w:w w:val="99"/>
          <w:sz w:val="28"/>
          <w:szCs w:val="28"/>
          <w14:textFill>
            <w14:solidFill>
              <w14:schemeClr w14:val="tx1"/>
            </w14:solidFill>
          </w14:textFill>
        </w:rPr>
      </w:pPr>
      <w:bookmarkStart w:id="44" w:name="_Toc117794512"/>
      <w:r>
        <w:rPr>
          <w:rFonts w:ascii="Times New Roman" w:hAnsi="Times New Roman" w:cs="Times New Roman" w:eastAsiaTheme="minorEastAsia"/>
          <w:b/>
          <w:bCs/>
          <w:color w:val="000000" w:themeColor="text1"/>
          <w:w w:val="99"/>
          <w:sz w:val="28"/>
          <w:szCs w:val="28"/>
          <w:lang w:val="en-US"/>
          <w14:textFill>
            <w14:solidFill>
              <w14:schemeClr w14:val="tx1"/>
            </w14:solidFill>
          </w14:textFill>
        </w:rPr>
        <w:t>1.6</w:t>
      </w:r>
      <w:r>
        <w:rPr>
          <w:rFonts w:ascii="Times New Roman" w:hAnsi="Times New Roman" w:cs="Times New Roman" w:eastAsiaTheme="minorEastAsia"/>
          <w:b/>
          <w:bCs/>
          <w:color w:val="000000" w:themeColor="text1"/>
          <w:w w:val="99"/>
          <w:sz w:val="28"/>
          <w:szCs w:val="28"/>
          <w14:textFill>
            <w14:solidFill>
              <w14:schemeClr w14:val="tx1"/>
            </w14:solidFill>
          </w14:textFill>
        </w:rPr>
        <w:t>环境影响评价的主要结论</w:t>
      </w:r>
      <w:bookmarkEnd w:id="44"/>
    </w:p>
    <w:p w14:paraId="3E2A0252">
      <w:pPr>
        <w:pStyle w:val="31"/>
        <w:spacing w:line="440" w:lineRule="exact"/>
        <w:ind w:firstLine="462" w:firstLineChars="200"/>
        <w:jc w:val="both"/>
        <w:rPr>
          <w:rFonts w:ascii="Times New Roman" w:hAnsi="Times New Roman" w:cs="Times New Roman" w:eastAsiaTheme="minorEastAsia"/>
          <w:color w:val="000000" w:themeColor="text1"/>
          <w:spacing w:val="-3"/>
          <w:w w:val="99"/>
          <w:sz w:val="24"/>
          <w:szCs w:val="24"/>
          <w14:textFill>
            <w14:solidFill>
              <w14:schemeClr w14:val="tx1"/>
            </w14:solidFill>
          </w14:textFill>
        </w:rPr>
      </w:pPr>
      <w:r>
        <w:rPr>
          <w:rFonts w:ascii="Times New Roman" w:hAnsi="Times New Roman" w:cs="Times New Roman" w:eastAsiaTheme="minorEastAsia"/>
          <w:color w:val="000000" w:themeColor="text1"/>
          <w:spacing w:val="-3"/>
          <w:w w:val="99"/>
          <w:sz w:val="24"/>
          <w:szCs w:val="24"/>
          <w14:textFill>
            <w14:solidFill>
              <w14:schemeClr w14:val="tx1"/>
            </w14:solidFill>
          </w14:textFill>
        </w:rPr>
        <w:t>根据</w:t>
      </w:r>
      <w:r>
        <w:rPr>
          <w:rFonts w:hint="eastAsia" w:ascii="Times New Roman" w:hAnsi="Times New Roman" w:cs="Times New Roman" w:eastAsiaTheme="minorEastAsia"/>
          <w:color w:val="000000" w:themeColor="text1"/>
          <w:spacing w:val="-3"/>
          <w:w w:val="99"/>
          <w:sz w:val="24"/>
          <w:szCs w:val="24"/>
          <w:lang w:eastAsia="zh-CN"/>
          <w14:textFill>
            <w14:solidFill>
              <w14:schemeClr w14:val="tx1"/>
            </w14:solidFill>
          </w14:textFill>
        </w:rPr>
        <w:t>《产业结构调整指导目录（2024年本）》</w:t>
      </w:r>
      <w:r>
        <w:rPr>
          <w:rFonts w:ascii="Times New Roman" w:hAnsi="Times New Roman" w:cs="Times New Roman" w:eastAsiaTheme="minorEastAsia"/>
          <w:color w:val="000000" w:themeColor="text1"/>
          <w:spacing w:val="-3"/>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“七、石油、天然气”中“3、原油、天然气、液化天然气、成品油的储运和管道输送设施、网络和液化天然气加注设施建设”</w:t>
      </w:r>
      <w:r>
        <w:rPr>
          <w:rFonts w:ascii="Times New Roman" w:hAnsi="Times New Roman" w:cs="Times New Roman" w:eastAsiaTheme="minorEastAsia"/>
          <w:color w:val="000000" w:themeColor="text1"/>
          <w:spacing w:val="-3"/>
          <w:w w:val="99"/>
          <w:sz w:val="24"/>
          <w:szCs w:val="24"/>
          <w14:textFill>
            <w14:solidFill>
              <w14:schemeClr w14:val="tx1"/>
            </w14:solidFill>
          </w14:textFill>
        </w:rPr>
        <w:t>属于鼓励类项目，本工程符合国家产业政策。</w:t>
      </w:r>
    </w:p>
    <w:p w14:paraId="6CA7E81E">
      <w:pPr>
        <w:pStyle w:val="31"/>
        <w:spacing w:line="440" w:lineRule="exact"/>
        <w:ind w:firstLine="462" w:firstLineChars="200"/>
        <w:jc w:val="both"/>
        <w:rPr>
          <w:rFonts w:ascii="Times New Roman" w:hAnsi="Times New Roman" w:cs="Times New Roman" w:eastAsiaTheme="minorEastAsia"/>
          <w:color w:val="000000" w:themeColor="text1"/>
          <w:spacing w:val="-3"/>
          <w:w w:val="99"/>
          <w:sz w:val="24"/>
          <w:szCs w:val="24"/>
          <w14:textFill>
            <w14:solidFill>
              <w14:schemeClr w14:val="tx1"/>
            </w14:solidFill>
          </w14:textFill>
        </w:rPr>
      </w:pPr>
      <w:r>
        <w:rPr>
          <w:rFonts w:ascii="Times New Roman" w:hAnsi="Times New Roman" w:cs="Times New Roman" w:eastAsiaTheme="minorEastAsia"/>
          <w:color w:val="000000" w:themeColor="text1"/>
          <w:spacing w:val="-3"/>
          <w:w w:val="99"/>
          <w:sz w:val="24"/>
          <w:szCs w:val="24"/>
          <w:lang w:val="en-US"/>
          <w14:textFill>
            <w14:solidFill>
              <w14:schemeClr w14:val="tx1"/>
            </w14:solidFill>
          </w14:textFill>
        </w:rPr>
        <w:t>本项目</w:t>
      </w:r>
      <w:r>
        <w:rPr>
          <w:rFonts w:hint="eastAsia" w:ascii="Times New Roman" w:hAnsi="Times New Roman" w:cs="Times New Roman" w:eastAsiaTheme="minorEastAsia"/>
          <w:color w:val="000000" w:themeColor="text1"/>
          <w:spacing w:val="-3"/>
          <w:w w:val="99"/>
          <w:sz w:val="24"/>
          <w:szCs w:val="24"/>
          <w:lang w:val="en-US"/>
          <w14:textFill>
            <w14:solidFill>
              <w14:schemeClr w14:val="tx1"/>
            </w14:solidFill>
          </w14:textFill>
        </w:rPr>
        <w:t>新建</w:t>
      </w:r>
      <w:r>
        <w:rPr>
          <w:rFonts w:ascii="Times New Roman" w:hAnsi="Times New Roman" w:cs="Times New Roman" w:eastAsiaTheme="minorEastAsia"/>
          <w:color w:val="000000" w:themeColor="text1"/>
          <w:spacing w:val="-3"/>
          <w:w w:val="99"/>
          <w:sz w:val="24"/>
          <w:szCs w:val="24"/>
          <w:lang w:val="en-US"/>
          <w14:textFill>
            <w14:solidFill>
              <w14:schemeClr w14:val="tx1"/>
            </w14:solidFill>
          </w14:textFill>
        </w:rPr>
        <w:t>管线位于优先保护单元</w:t>
      </w:r>
      <w:r>
        <w:rPr>
          <w:rFonts w:hint="eastAsia" w:ascii="Times New Roman" w:hAnsi="Times New Roman" w:cs="Times New Roman" w:eastAsiaTheme="minorEastAsia"/>
          <w:color w:val="000000" w:themeColor="text1"/>
          <w:spacing w:val="-3"/>
          <w:w w:val="99"/>
          <w:sz w:val="24"/>
          <w:szCs w:val="24"/>
          <w:lang w:val="en-US"/>
          <w14:textFill>
            <w14:solidFill>
              <w14:schemeClr w14:val="tx1"/>
            </w14:solidFill>
          </w14:textFill>
        </w:rPr>
        <w:t>及</w:t>
      </w:r>
      <w:r>
        <w:rPr>
          <w:rFonts w:ascii="Times New Roman" w:hAnsi="Times New Roman" w:cs="Times New Roman" w:eastAsiaTheme="minorEastAsia"/>
          <w:color w:val="000000" w:themeColor="text1"/>
          <w:spacing w:val="-3"/>
          <w:w w:val="99"/>
          <w:sz w:val="24"/>
          <w:szCs w:val="24"/>
          <w:lang w:val="en-US"/>
          <w14:textFill>
            <w14:solidFill>
              <w14:schemeClr w14:val="tx1"/>
            </w14:solidFill>
          </w14:textFill>
        </w:rPr>
        <w:t>一般管控单元，根据分析满足生态环境准入清单要求。</w:t>
      </w:r>
    </w:p>
    <w:p w14:paraId="0080A90F">
      <w:pPr>
        <w:spacing w:line="440" w:lineRule="exact"/>
        <w:ind w:firstLine="462" w:firstLineChars="200"/>
        <w:jc w:val="both"/>
        <w:rPr>
          <w:rFonts w:ascii="Times New Roman" w:hAnsi="Times New Roman" w:cs="Times New Roman" w:eastAsiaTheme="minorEastAsia"/>
          <w:color w:val="000000" w:themeColor="text1"/>
          <w:spacing w:val="-3"/>
          <w:w w:val="99"/>
          <w:sz w:val="24"/>
          <w:szCs w:val="24"/>
          <w14:textFill>
            <w14:solidFill>
              <w14:schemeClr w14:val="tx1"/>
            </w14:solidFill>
          </w14:textFill>
        </w:rPr>
      </w:pPr>
      <w:r>
        <w:rPr>
          <w:rFonts w:ascii="Times New Roman" w:hAnsi="Times New Roman" w:cs="Times New Roman" w:eastAsiaTheme="minorEastAsia"/>
          <w:color w:val="000000" w:themeColor="text1"/>
          <w:spacing w:val="-3"/>
          <w:w w:val="99"/>
          <w:sz w:val="24"/>
          <w:szCs w:val="24"/>
          <w14:textFill>
            <w14:solidFill>
              <w14:schemeClr w14:val="tx1"/>
            </w14:solidFill>
          </w14:textFill>
        </w:rPr>
        <w:t>本项目位于环境空气质量达标区，项目区域特征污染物非甲烷总烃满足《大气污染物综合排放标准详解》标准要求。区域地下水质量</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均满足《地下水质量标准》（GB/T14848-2017）III类标准要求。本工程特征污染物石油类满足《地表水环境质量标准》（GB3838-2002）III类标准。</w:t>
      </w:r>
      <w:r>
        <w:rPr>
          <w:rFonts w:ascii="Times New Roman" w:hAnsi="Times New Roman" w:cs="Times New Roman" w:eastAsiaTheme="minorEastAsia"/>
          <w:color w:val="000000" w:themeColor="text1"/>
          <w:spacing w:val="-3"/>
          <w:w w:val="99"/>
          <w:sz w:val="24"/>
          <w:szCs w:val="24"/>
          <w14:textFill>
            <w14:solidFill>
              <w14:schemeClr w14:val="tx1"/>
            </w14:solidFill>
          </w14:textFill>
        </w:rPr>
        <w:t>区域声环境现状满足《声环境质量标准》（GB3096-2008）中的2类标准要求，声环境现状良好。评价区域内的建设用地中各项目指标能够满足《土壤环境质量建设用地土壤污染风险管控标准（试行）（GB36600-2018）标准限值，占地范围外的耕地和草地满足《土壤环境质量农用地土壤污染风险管控标准（试行）》（GB15618-2018）标准限值。</w:t>
      </w:r>
    </w:p>
    <w:p w14:paraId="62E25620">
      <w:pPr>
        <w:pStyle w:val="31"/>
        <w:spacing w:line="440" w:lineRule="exact"/>
        <w:ind w:firstLine="462" w:firstLineChars="200"/>
        <w:jc w:val="both"/>
        <w:rPr>
          <w:rFonts w:ascii="Times New Roman" w:hAnsi="Times New Roman" w:cs="Times New Roman" w:eastAsiaTheme="minorEastAsia"/>
          <w:color w:val="000000" w:themeColor="text1"/>
          <w:spacing w:val="-3"/>
          <w:w w:val="99"/>
          <w:sz w:val="24"/>
          <w:szCs w:val="24"/>
          <w14:textFill>
            <w14:solidFill>
              <w14:schemeClr w14:val="tx1"/>
            </w14:solidFill>
          </w14:textFill>
        </w:rPr>
      </w:pPr>
      <w:r>
        <w:rPr>
          <w:rFonts w:ascii="Times New Roman" w:hAnsi="Times New Roman" w:cs="Times New Roman" w:eastAsiaTheme="minorEastAsia"/>
          <w:color w:val="000000" w:themeColor="text1"/>
          <w:spacing w:val="-3"/>
          <w:w w:val="99"/>
          <w:sz w:val="24"/>
          <w:szCs w:val="24"/>
          <w14:textFill>
            <w14:solidFill>
              <w14:schemeClr w14:val="tx1"/>
            </w14:solidFill>
          </w14:textFill>
        </w:rPr>
        <w:t>经预测分析，本项目各项环保措施均落实的情况下，对环境的影响较小，通过采取必要的生态保护措施，可最大程度减小该项目建设对生态环境的不利影响，使生态环境在尽可能短的时间内得到恢复。</w:t>
      </w:r>
    </w:p>
    <w:p w14:paraId="200EF3E0">
      <w:pPr>
        <w:pStyle w:val="31"/>
        <w:spacing w:line="440" w:lineRule="exact"/>
        <w:ind w:firstLine="462"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spacing w:val="-3"/>
          <w:w w:val="99"/>
          <w:sz w:val="24"/>
          <w:szCs w:val="24"/>
          <w14:textFill>
            <w14:solidFill>
              <w14:schemeClr w14:val="tx1"/>
            </w14:solidFill>
          </w14:textFill>
        </w:rPr>
        <w:t>按照《环境影响评价公</w:t>
      </w:r>
      <w:r>
        <w:rPr>
          <w:rFonts w:ascii="Times New Roman" w:hAnsi="Times New Roman" w:cs="Times New Roman" w:eastAsiaTheme="minorEastAsia"/>
          <w:color w:val="000000" w:themeColor="text1"/>
          <w:spacing w:val="-5"/>
          <w:w w:val="99"/>
          <w:sz w:val="24"/>
          <w:szCs w:val="24"/>
          <w14:textFill>
            <w14:solidFill>
              <w14:schemeClr w14:val="tx1"/>
            </w14:solidFill>
          </w14:textFill>
        </w:rPr>
        <w:t>众参与办法》</w:t>
      </w: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spacing w:val="-12"/>
          <w:w w:val="99"/>
          <w:sz w:val="24"/>
          <w:szCs w:val="24"/>
          <w14:textFill>
            <w14:solidFill>
              <w14:schemeClr w14:val="tx1"/>
            </w14:solidFill>
          </w14:textFill>
        </w:rPr>
        <w:t>生态环境部令第</w:t>
      </w:r>
      <w:r>
        <w:rPr>
          <w:rFonts w:ascii="Times New Roman" w:hAnsi="Times New Roman" w:cs="Times New Roman" w:eastAsiaTheme="minorEastAsia"/>
          <w:color w:val="000000" w:themeColor="text1"/>
          <w:w w:val="99"/>
          <w:sz w:val="24"/>
          <w:szCs w:val="24"/>
          <w14:textFill>
            <w14:solidFill>
              <w14:schemeClr w14:val="tx1"/>
            </w14:solidFill>
          </w14:textFill>
        </w:rPr>
        <w:t>4</w:t>
      </w:r>
      <w:r>
        <w:rPr>
          <w:rFonts w:ascii="Times New Roman" w:hAnsi="Times New Roman" w:cs="Times New Roman" w:eastAsiaTheme="minorEastAsia"/>
          <w:color w:val="000000" w:themeColor="text1"/>
          <w:spacing w:val="-2"/>
          <w:w w:val="99"/>
          <w:sz w:val="24"/>
          <w:szCs w:val="24"/>
          <w14:textFill>
            <w14:solidFill>
              <w14:schemeClr w14:val="tx1"/>
            </w14:solidFill>
          </w14:textFill>
        </w:rPr>
        <w:t>号，</w:t>
      </w:r>
      <w:r>
        <w:rPr>
          <w:rFonts w:ascii="Times New Roman" w:hAnsi="Times New Roman" w:cs="Times New Roman" w:eastAsiaTheme="minorEastAsia"/>
          <w:color w:val="000000" w:themeColor="text1"/>
          <w:w w:val="99"/>
          <w:sz w:val="24"/>
          <w:szCs w:val="24"/>
          <w14:textFill>
            <w14:solidFill>
              <w14:schemeClr w14:val="tx1"/>
            </w14:solidFill>
          </w14:textFill>
        </w:rPr>
        <w:t>2019.1.1）</w:t>
      </w:r>
      <w:r>
        <w:rPr>
          <w:rFonts w:ascii="Times New Roman" w:hAnsi="Times New Roman" w:cs="Times New Roman" w:eastAsiaTheme="minorEastAsia"/>
          <w:color w:val="000000" w:themeColor="text1"/>
          <w:spacing w:val="-4"/>
          <w:w w:val="99"/>
          <w:sz w:val="24"/>
          <w:szCs w:val="24"/>
          <w14:textFill>
            <w14:solidFill>
              <w14:schemeClr w14:val="tx1"/>
            </w14:solidFill>
          </w14:textFill>
        </w:rPr>
        <w:t>的要求，本项目环评进行</w:t>
      </w:r>
      <w:r>
        <w:rPr>
          <w:rFonts w:ascii="Times New Roman" w:hAnsi="Times New Roman" w:cs="Times New Roman" w:eastAsiaTheme="minorEastAsia"/>
          <w:color w:val="000000" w:themeColor="text1"/>
          <w:spacing w:val="-6"/>
          <w:w w:val="99"/>
          <w:sz w:val="24"/>
          <w:szCs w:val="24"/>
          <w14:textFill>
            <w14:solidFill>
              <w14:schemeClr w14:val="tx1"/>
            </w14:solidFill>
          </w14:textFill>
        </w:rPr>
        <w:t>的过程中建设单位开展了公众参与调查，具体见《</w:t>
      </w:r>
      <w:r>
        <w:rPr>
          <w:rFonts w:hint="eastAsia" w:ascii="Times New Roman" w:hAnsi="Times New Roman" w:cs="Times New Roman" w:eastAsiaTheme="minorEastAsia"/>
          <w:color w:val="000000" w:themeColor="text1"/>
          <w:spacing w:val="-6"/>
          <w:w w:val="99"/>
          <w:sz w:val="24"/>
          <w:szCs w:val="24"/>
          <w:lang w:val="en-US" w:eastAsia="zh-CN"/>
          <w14:textFill>
            <w14:solidFill>
              <w14:schemeClr w14:val="tx1"/>
            </w14:solidFill>
          </w14:textFill>
        </w:rPr>
        <w:t>第五采油厂杏南二转油站及站外系统改造工程项目</w:t>
      </w:r>
      <w:r>
        <w:rPr>
          <w:rFonts w:ascii="Times New Roman" w:hAnsi="Times New Roman" w:cs="Times New Roman" w:eastAsiaTheme="minorEastAsia"/>
          <w:color w:val="000000" w:themeColor="text1"/>
          <w:spacing w:val="-3"/>
          <w:w w:val="99"/>
          <w:sz w:val="24"/>
          <w:szCs w:val="24"/>
          <w14:textFill>
            <w14:solidFill>
              <w14:schemeClr w14:val="tx1"/>
            </w14:solidFill>
          </w14:textFill>
        </w:rPr>
        <w:t>环境影响评价公众参与说明》。</w:t>
      </w:r>
    </w:p>
    <w:p w14:paraId="2CECCF91">
      <w:pPr>
        <w:pStyle w:val="31"/>
        <w:spacing w:line="440" w:lineRule="exact"/>
        <w:ind w:firstLine="450" w:firstLineChars="200"/>
        <w:jc w:val="both"/>
        <w:rPr>
          <w:rFonts w:ascii="Times New Roman" w:hAnsi="Times New Roman" w:cs="Times New Roman" w:eastAsiaTheme="minorEastAsia"/>
          <w:color w:val="000000" w:themeColor="text1"/>
          <w:w w:val="99"/>
          <w:lang w:val="en-US"/>
          <w14:textFill>
            <w14:solidFill>
              <w14:schemeClr w14:val="tx1"/>
            </w14:solidFill>
          </w14:textFill>
        </w:rPr>
        <w:sectPr>
          <w:footerReference r:id="rId4" w:type="default"/>
          <w:type w:val="nextColumn"/>
          <w:pgSz w:w="11910" w:h="16850"/>
          <w:pgMar w:top="1418" w:right="1418" w:bottom="1418" w:left="1418" w:header="0" w:footer="1078" w:gutter="0"/>
          <w:pgNumType w:start="1"/>
          <w:cols w:space="720" w:num="1"/>
          <w:docGrid w:linePitch="299" w:charSpace="0"/>
        </w:sectPr>
      </w:pPr>
      <w:r>
        <w:rPr>
          <w:rFonts w:ascii="Times New Roman" w:hAnsi="Times New Roman" w:cs="Times New Roman" w:eastAsiaTheme="minorEastAsia"/>
          <w:color w:val="000000" w:themeColor="text1"/>
          <w:spacing w:val="-6"/>
          <w:w w:val="99"/>
          <w:sz w:val="24"/>
          <w:szCs w:val="24"/>
          <w:lang w:val="en-US"/>
          <w14:textFill>
            <w14:solidFill>
              <w14:schemeClr w14:val="tx1"/>
            </w14:solidFill>
          </w14:textFill>
        </w:rPr>
        <w:t>本工程</w:t>
      </w:r>
      <w:r>
        <w:rPr>
          <w:rFonts w:ascii="Times New Roman" w:hAnsi="Times New Roman" w:cs="Times New Roman" w:eastAsiaTheme="minorEastAsia"/>
          <w:color w:val="000000" w:themeColor="text1"/>
          <w:spacing w:val="-3"/>
          <w:w w:val="99"/>
          <w:sz w:val="24"/>
          <w:szCs w:val="24"/>
          <w14:textFill>
            <w14:solidFill>
              <w14:schemeClr w14:val="tx1"/>
            </w14:solidFill>
          </w14:textFill>
        </w:rPr>
        <w:t>符合国家产业政策和当地经济发展规划，公众认同性较好。只要在建设和运营过程中认真落实各项污染防治措施、生态修复措施、风险防范措施及应急措施后，各项污染物能够做到达标排放，其生态破坏可降至最低，环境风险可以防控，满足总量控制要求，从环境保护角度看，本项目选址合理，建设是可行的。</w:t>
      </w:r>
      <w:r>
        <w:rPr>
          <w:rFonts w:ascii="Times New Roman" w:hAnsi="Times New Roman" w:cs="Times New Roman" w:eastAsiaTheme="minorEastAsia"/>
          <w:color w:val="000000" w:themeColor="text1"/>
          <w:spacing w:val="-3"/>
          <w:w w:val="99"/>
          <w:sz w:val="24"/>
          <w:szCs w:val="24"/>
          <w14:textFill>
            <w14:solidFill>
              <w14:schemeClr w14:val="tx1"/>
            </w14:solidFill>
          </w14:textFill>
        </w:rPr>
        <w:br w:type="page"/>
      </w:r>
    </w:p>
    <w:p w14:paraId="60316293">
      <w:pPr>
        <w:pStyle w:val="3"/>
        <w:autoSpaceDE/>
        <w:autoSpaceDN/>
        <w:spacing w:before="180" w:after="180" w:line="440" w:lineRule="exact"/>
        <w:ind w:left="0" w:firstLine="0"/>
        <w:rPr>
          <w:rFonts w:ascii="Times New Roman" w:hAnsi="Times New Roman" w:cs="Times New Roman" w:eastAsiaTheme="minorEastAsia"/>
          <w:b/>
          <w:snapToGrid w:val="0"/>
          <w:color w:val="000000" w:themeColor="text1"/>
          <w:w w:val="99"/>
          <w:kern w:val="2"/>
          <w:sz w:val="30"/>
          <w:szCs w:val="30"/>
          <w:lang w:val="en-US" w:bidi="ar-SA"/>
          <w14:textFill>
            <w14:solidFill>
              <w14:schemeClr w14:val="tx1"/>
            </w14:solidFill>
          </w14:textFill>
        </w:rPr>
      </w:pPr>
      <w:bookmarkStart w:id="45" w:name="_bookmark7"/>
      <w:bookmarkEnd w:id="45"/>
      <w:bookmarkStart w:id="46" w:name="_Toc117794513"/>
      <w:r>
        <w:rPr>
          <w:rFonts w:ascii="Times New Roman" w:hAnsi="Times New Roman" w:cs="Times New Roman" w:eastAsiaTheme="minorEastAsia"/>
          <w:b/>
          <w:snapToGrid w:val="0"/>
          <w:color w:val="000000" w:themeColor="text1"/>
          <w:w w:val="99"/>
          <w:kern w:val="2"/>
          <w:sz w:val="30"/>
          <w:szCs w:val="30"/>
          <w:lang w:val="en-US" w:bidi="ar-SA"/>
          <w14:textFill>
            <w14:solidFill>
              <w14:schemeClr w14:val="tx1"/>
            </w14:solidFill>
          </w14:textFill>
        </w:rPr>
        <w:t>2 总则</w:t>
      </w:r>
      <w:bookmarkEnd w:id="46"/>
    </w:p>
    <w:p w14:paraId="619F8AAD">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47" w:name="_bookmark8"/>
      <w:bookmarkEnd w:id="47"/>
      <w:bookmarkStart w:id="48" w:name="_Toc117794514"/>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2.1 编制依据</w:t>
      </w:r>
      <w:bookmarkEnd w:id="48"/>
    </w:p>
    <w:p w14:paraId="4097F08E">
      <w:pPr>
        <w:pStyle w:val="5"/>
        <w:keepNext/>
        <w:keepLines/>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49" w:name="_Toc117794515"/>
      <w:r>
        <w:rPr>
          <w:rFonts w:ascii="Times New Roman" w:hAnsi="Times New Roman" w:cs="Times New Roman" w:eastAsiaTheme="minorEastAsia"/>
          <w:color w:val="000000" w:themeColor="text1"/>
          <w:w w:val="99"/>
          <w:kern w:val="2"/>
          <w:lang w:val="en-US" w:bidi="ar-SA"/>
          <w14:textFill>
            <w14:solidFill>
              <w14:schemeClr w14:val="tx1"/>
            </w14:solidFill>
          </w14:textFill>
        </w:rPr>
        <w:t>2.1.1 环境保护相关法律</w:t>
      </w:r>
      <w:bookmarkEnd w:id="49"/>
    </w:p>
    <w:p w14:paraId="1FF44C08">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1</w:t>
      </w:r>
      <w:r>
        <w:rPr>
          <w:rFonts w:ascii="Times New Roman" w:hAnsi="Times New Roman" w:cs="Times New Roman" w:eastAsiaTheme="minorEastAsia"/>
          <w:color w:val="000000" w:themeColor="text1"/>
          <w:w w:val="99"/>
          <w:sz w:val="24"/>
          <w:szCs w:val="24"/>
          <w14:textFill>
            <w14:solidFill>
              <w14:schemeClr w14:val="tx1"/>
            </w14:solidFill>
          </w14:textFill>
        </w:rPr>
        <w:t>）《中华人民共和国环境保护法》（2015年1月1日修订施行）；</w:t>
      </w:r>
    </w:p>
    <w:p w14:paraId="7A159D94">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2</w:t>
      </w:r>
      <w:r>
        <w:rPr>
          <w:rFonts w:ascii="Times New Roman" w:hAnsi="Times New Roman" w:cs="Times New Roman" w:eastAsiaTheme="minorEastAsia"/>
          <w:color w:val="000000" w:themeColor="text1"/>
          <w:w w:val="99"/>
          <w:sz w:val="24"/>
          <w:szCs w:val="24"/>
          <w14:textFill>
            <w14:solidFill>
              <w14:schemeClr w14:val="tx1"/>
            </w14:solidFill>
          </w14:textFill>
        </w:rPr>
        <w:t>）《中华人民共和国环境影响评价法》（2018年12月29日修正施行）；</w:t>
      </w:r>
    </w:p>
    <w:p w14:paraId="2A4B2C54">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3</w:t>
      </w:r>
      <w:r>
        <w:rPr>
          <w:rFonts w:ascii="Times New Roman" w:hAnsi="Times New Roman" w:cs="Times New Roman" w:eastAsiaTheme="minorEastAsia"/>
          <w:color w:val="000000" w:themeColor="text1"/>
          <w:w w:val="99"/>
          <w:sz w:val="24"/>
          <w:szCs w:val="24"/>
          <w14:textFill>
            <w14:solidFill>
              <w14:schemeClr w14:val="tx1"/>
            </w14:solidFill>
          </w14:textFill>
        </w:rPr>
        <w:t>）《中华人民共和国大气污染防治法》（2018年10月26日修正施行）；</w:t>
      </w:r>
    </w:p>
    <w:p w14:paraId="20F06C35">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4</w:t>
      </w:r>
      <w:r>
        <w:rPr>
          <w:rFonts w:ascii="Times New Roman" w:hAnsi="Times New Roman" w:cs="Times New Roman" w:eastAsiaTheme="minorEastAsia"/>
          <w:color w:val="000000" w:themeColor="text1"/>
          <w:w w:val="99"/>
          <w:sz w:val="24"/>
          <w:szCs w:val="24"/>
          <w14:textFill>
            <w14:solidFill>
              <w14:schemeClr w14:val="tx1"/>
            </w14:solidFill>
          </w14:textFill>
        </w:rPr>
        <w:t>）《中华人民共和国水污染防治法》（2018年1月1日修正施行）；</w:t>
      </w:r>
    </w:p>
    <w:p w14:paraId="4273F0FD">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5</w:t>
      </w:r>
      <w:r>
        <w:rPr>
          <w:rFonts w:ascii="Times New Roman" w:hAnsi="Times New Roman" w:cs="Times New Roman" w:eastAsiaTheme="minorEastAsia"/>
          <w:color w:val="000000" w:themeColor="text1"/>
          <w:w w:val="99"/>
          <w:sz w:val="24"/>
          <w:szCs w:val="24"/>
          <w14:textFill>
            <w14:solidFill>
              <w14:schemeClr w14:val="tx1"/>
            </w14:solidFill>
          </w14:textFill>
        </w:rPr>
        <w:t>）《中华人民共和国土壤污染防治法》（2019年1月1日起施行）；</w:t>
      </w:r>
    </w:p>
    <w:p w14:paraId="74F0FB8A">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6</w:t>
      </w:r>
      <w:r>
        <w:rPr>
          <w:rFonts w:ascii="Times New Roman" w:hAnsi="Times New Roman" w:cs="Times New Roman" w:eastAsiaTheme="minorEastAsia"/>
          <w:color w:val="000000" w:themeColor="text1"/>
          <w:w w:val="99"/>
          <w:sz w:val="24"/>
          <w:szCs w:val="24"/>
          <w14:textFill>
            <w14:solidFill>
              <w14:schemeClr w14:val="tx1"/>
            </w14:solidFill>
          </w14:textFill>
        </w:rPr>
        <w:t>）《中华人民共和国环境噪声污染防治法》（</w:t>
      </w:r>
      <w:r>
        <w:rPr>
          <w:rFonts w:ascii="Times New Roman" w:hAnsi="Times New Roman" w:cs="Times New Roman" w:eastAsiaTheme="minorEastAsia"/>
          <w:color w:val="000000" w:themeColor="text1"/>
          <w:w w:val="99"/>
          <w:sz w:val="24"/>
          <w:szCs w:val="24"/>
          <w:lang w:val="en-US"/>
          <w14:textFill>
            <w14:solidFill>
              <w14:schemeClr w14:val="tx1"/>
            </w14:solidFill>
          </w14:textFill>
        </w:rPr>
        <w:t>2022</w:t>
      </w:r>
      <w:r>
        <w:rPr>
          <w:rFonts w:ascii="Times New Roman" w:hAnsi="Times New Roman" w:cs="Times New Roman" w:eastAsiaTheme="minorEastAsia"/>
          <w:color w:val="000000" w:themeColor="text1"/>
          <w:w w:val="99"/>
          <w:sz w:val="24"/>
          <w:szCs w:val="24"/>
          <w14:textFill>
            <w14:solidFill>
              <w14:schemeClr w14:val="tx1"/>
            </w14:solidFill>
          </w14:textFill>
        </w:rPr>
        <w:t>年</w:t>
      </w:r>
      <w:r>
        <w:rPr>
          <w:rFonts w:ascii="Times New Roman" w:hAnsi="Times New Roman" w:cs="Times New Roman" w:eastAsiaTheme="minorEastAsia"/>
          <w:color w:val="000000" w:themeColor="text1"/>
          <w:w w:val="99"/>
          <w:sz w:val="24"/>
          <w:szCs w:val="24"/>
          <w:lang w:val="en-US"/>
          <w14:textFill>
            <w14:solidFill>
              <w14:schemeClr w14:val="tx1"/>
            </w14:solidFill>
          </w14:textFill>
        </w:rPr>
        <w:t>6</w:t>
      </w:r>
      <w:r>
        <w:rPr>
          <w:rFonts w:ascii="Times New Roman" w:hAnsi="Times New Roman" w:cs="Times New Roman" w:eastAsiaTheme="minorEastAsia"/>
          <w:color w:val="000000" w:themeColor="text1"/>
          <w:w w:val="99"/>
          <w:sz w:val="24"/>
          <w:szCs w:val="24"/>
          <w14:textFill>
            <w14:solidFill>
              <w14:schemeClr w14:val="tx1"/>
            </w14:solidFill>
          </w14:textFill>
        </w:rPr>
        <w:t>月</w:t>
      </w:r>
      <w:r>
        <w:rPr>
          <w:rFonts w:ascii="Times New Roman" w:hAnsi="Times New Roman" w:cs="Times New Roman" w:eastAsiaTheme="minorEastAsia"/>
          <w:color w:val="000000" w:themeColor="text1"/>
          <w:w w:val="99"/>
          <w:sz w:val="24"/>
          <w:szCs w:val="24"/>
          <w:lang w:val="en-US"/>
          <w14:textFill>
            <w14:solidFill>
              <w14:schemeClr w14:val="tx1"/>
            </w14:solidFill>
          </w14:textFill>
        </w:rPr>
        <w:t>5</w:t>
      </w:r>
      <w:r>
        <w:rPr>
          <w:rFonts w:ascii="Times New Roman" w:hAnsi="Times New Roman" w:cs="Times New Roman" w:eastAsiaTheme="minorEastAsia"/>
          <w:color w:val="000000" w:themeColor="text1"/>
          <w:w w:val="99"/>
          <w:sz w:val="24"/>
          <w:szCs w:val="24"/>
          <w14:textFill>
            <w14:solidFill>
              <w14:schemeClr w14:val="tx1"/>
            </w14:solidFill>
          </w14:textFill>
        </w:rPr>
        <w:t>日起施行）；</w:t>
      </w:r>
    </w:p>
    <w:p w14:paraId="5BEED0F8">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7</w:t>
      </w:r>
      <w:r>
        <w:rPr>
          <w:rFonts w:ascii="Times New Roman" w:hAnsi="Times New Roman" w:cs="Times New Roman" w:eastAsiaTheme="minorEastAsia"/>
          <w:color w:val="000000" w:themeColor="text1"/>
          <w:w w:val="99"/>
          <w:sz w:val="24"/>
          <w:szCs w:val="24"/>
          <w14:textFill>
            <w14:solidFill>
              <w14:schemeClr w14:val="tx1"/>
            </w14:solidFill>
          </w14:textFill>
        </w:rPr>
        <w:t>）《中华人民共和国固体废物污染环境防治法》（2020年9月1日起施行）；</w:t>
      </w:r>
    </w:p>
    <w:p w14:paraId="73D3B366">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8</w:t>
      </w:r>
      <w:r>
        <w:rPr>
          <w:rFonts w:ascii="Times New Roman" w:hAnsi="Times New Roman" w:cs="Times New Roman" w:eastAsiaTheme="minorEastAsia"/>
          <w:color w:val="000000" w:themeColor="text1"/>
          <w:w w:val="99"/>
          <w:sz w:val="24"/>
          <w:szCs w:val="24"/>
          <w14:textFill>
            <w14:solidFill>
              <w14:schemeClr w14:val="tx1"/>
            </w14:solidFill>
          </w14:textFill>
        </w:rPr>
        <w:t>）《中华人民共和国水土保持法》（2011年3月1日修订施行）；</w:t>
      </w:r>
    </w:p>
    <w:p w14:paraId="1B96532F">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9</w:t>
      </w:r>
      <w:r>
        <w:rPr>
          <w:rFonts w:ascii="Times New Roman" w:hAnsi="Times New Roman" w:cs="Times New Roman" w:eastAsiaTheme="minorEastAsia"/>
          <w:color w:val="000000" w:themeColor="text1"/>
          <w:w w:val="99"/>
          <w:sz w:val="24"/>
          <w:szCs w:val="24"/>
          <w14:textFill>
            <w14:solidFill>
              <w14:schemeClr w14:val="tx1"/>
            </w14:solidFill>
          </w14:textFill>
        </w:rPr>
        <w:t>）《中华人民共和国黑土地保护法》（</w:t>
      </w:r>
      <w:r>
        <w:rPr>
          <w:rFonts w:ascii="Times New Roman" w:hAnsi="Times New Roman" w:cs="Times New Roman" w:eastAsiaTheme="minorEastAsia"/>
          <w:color w:val="000000" w:themeColor="text1"/>
          <w:w w:val="99"/>
          <w:sz w:val="24"/>
          <w:szCs w:val="24"/>
          <w:lang w:val="en-US"/>
          <w14:textFill>
            <w14:solidFill>
              <w14:schemeClr w14:val="tx1"/>
            </w14:solidFill>
          </w14:textFill>
        </w:rPr>
        <w:t>2022</w:t>
      </w:r>
      <w:r>
        <w:rPr>
          <w:rFonts w:ascii="Times New Roman" w:hAnsi="Times New Roman" w:cs="Times New Roman" w:eastAsiaTheme="minorEastAsia"/>
          <w:color w:val="000000" w:themeColor="text1"/>
          <w:w w:val="99"/>
          <w:sz w:val="24"/>
          <w:szCs w:val="24"/>
          <w14:textFill>
            <w14:solidFill>
              <w14:schemeClr w14:val="tx1"/>
            </w14:solidFill>
          </w14:textFill>
        </w:rPr>
        <w:t>年</w:t>
      </w:r>
      <w:r>
        <w:rPr>
          <w:rFonts w:ascii="Times New Roman" w:hAnsi="Times New Roman" w:cs="Times New Roman" w:eastAsiaTheme="minorEastAsia"/>
          <w:color w:val="000000" w:themeColor="text1"/>
          <w:w w:val="99"/>
          <w:sz w:val="24"/>
          <w:szCs w:val="24"/>
          <w:lang w:val="en-US"/>
          <w14:textFill>
            <w14:solidFill>
              <w14:schemeClr w14:val="tx1"/>
            </w14:solidFill>
          </w14:textFill>
        </w:rPr>
        <w:t>8</w:t>
      </w:r>
      <w:r>
        <w:rPr>
          <w:rFonts w:ascii="Times New Roman" w:hAnsi="Times New Roman" w:cs="Times New Roman" w:eastAsiaTheme="minorEastAsia"/>
          <w:color w:val="000000" w:themeColor="text1"/>
          <w:w w:val="99"/>
          <w:sz w:val="24"/>
          <w:szCs w:val="24"/>
          <w14:textFill>
            <w14:solidFill>
              <w14:schemeClr w14:val="tx1"/>
            </w14:solidFill>
          </w14:textFill>
        </w:rPr>
        <w:t>月</w:t>
      </w:r>
      <w:r>
        <w:rPr>
          <w:rFonts w:ascii="Times New Roman" w:hAnsi="Times New Roman" w:cs="Times New Roman" w:eastAsiaTheme="minorEastAsia"/>
          <w:color w:val="000000" w:themeColor="text1"/>
          <w:w w:val="99"/>
          <w:sz w:val="24"/>
          <w:szCs w:val="24"/>
          <w:lang w:val="en-US"/>
          <w14:textFill>
            <w14:solidFill>
              <w14:schemeClr w14:val="tx1"/>
            </w14:solidFill>
          </w14:textFill>
        </w:rPr>
        <w:t>1</w:t>
      </w:r>
      <w:r>
        <w:rPr>
          <w:rFonts w:ascii="Times New Roman" w:hAnsi="Times New Roman" w:cs="Times New Roman" w:eastAsiaTheme="minorEastAsia"/>
          <w:color w:val="000000" w:themeColor="text1"/>
          <w:w w:val="99"/>
          <w:sz w:val="24"/>
          <w:szCs w:val="24"/>
          <w14:textFill>
            <w14:solidFill>
              <w14:schemeClr w14:val="tx1"/>
            </w14:solidFill>
          </w14:textFill>
        </w:rPr>
        <w:t>日起施行）；</w:t>
      </w:r>
    </w:p>
    <w:p w14:paraId="7101E0C0">
      <w:pPr>
        <w:pStyle w:val="129"/>
        <w:spacing w:line="440" w:lineRule="exact"/>
        <w:ind w:firstLine="473"/>
        <w:jc w:val="both"/>
        <w:rPr>
          <w:rFonts w:ascii="Times New Roman" w:hAnsi="Times New Roman" w:eastAsiaTheme="minorEastAsia"/>
          <w:color w:val="000000" w:themeColor="text1"/>
          <w:w w:val="99"/>
          <w:sz w:val="24"/>
          <w:szCs w:val="24"/>
          <w14:textFill>
            <w14:solidFill>
              <w14:schemeClr w14:val="tx1"/>
            </w14:solidFill>
          </w14:textFill>
        </w:rPr>
      </w:pPr>
      <w:r>
        <w:rPr>
          <w:rFonts w:ascii="Times New Roman" w:hAnsi="Times New Roman" w:eastAsiaTheme="minorEastAsia"/>
          <w:color w:val="000000" w:themeColor="text1"/>
          <w:w w:val="99"/>
          <w:sz w:val="24"/>
          <w:szCs w:val="24"/>
          <w14:textFill>
            <w14:solidFill>
              <w14:schemeClr w14:val="tx1"/>
            </w14:solidFill>
          </w14:textFill>
        </w:rPr>
        <w:t>（</w:t>
      </w:r>
      <w:r>
        <w:rPr>
          <w:rFonts w:ascii="Times New Roman" w:hAnsi="Times New Roman" w:eastAsiaTheme="minorEastAsia"/>
          <w:color w:val="000000" w:themeColor="text1"/>
          <w:w w:val="99"/>
          <w:sz w:val="24"/>
          <w:szCs w:val="24"/>
          <w:lang w:val="en-US"/>
          <w14:textFill>
            <w14:solidFill>
              <w14:schemeClr w14:val="tx1"/>
            </w14:solidFill>
          </w14:textFill>
        </w:rPr>
        <w:t>10</w:t>
      </w:r>
      <w:r>
        <w:rPr>
          <w:rFonts w:ascii="Times New Roman" w:hAnsi="Times New Roman" w:eastAsiaTheme="minorEastAsia"/>
          <w:color w:val="000000" w:themeColor="text1"/>
          <w:w w:val="99"/>
          <w:sz w:val="24"/>
          <w:szCs w:val="24"/>
          <w14:textFill>
            <w14:solidFill>
              <w14:schemeClr w14:val="tx1"/>
            </w14:solidFill>
          </w14:textFill>
        </w:rPr>
        <w:t>）《中华人民共和国防沙治沙法》（主席令2018年第16号（3），2018年10月26日修正施行）；</w:t>
      </w:r>
    </w:p>
    <w:p w14:paraId="70182C2B">
      <w:pPr>
        <w:pStyle w:val="129"/>
        <w:spacing w:line="440" w:lineRule="exact"/>
        <w:ind w:firstLine="473"/>
        <w:rPr>
          <w:rFonts w:ascii="Times New Roman" w:hAnsi="Times New Roman" w:eastAsiaTheme="minorEastAsia"/>
          <w:color w:val="000000" w:themeColor="text1"/>
          <w:w w:val="99"/>
          <w:sz w:val="24"/>
          <w:szCs w:val="24"/>
          <w14:textFill>
            <w14:solidFill>
              <w14:schemeClr w14:val="tx1"/>
            </w14:solidFill>
          </w14:textFill>
        </w:rPr>
      </w:pPr>
      <w:r>
        <w:rPr>
          <w:rFonts w:ascii="Times New Roman" w:hAnsi="Times New Roman" w:eastAsiaTheme="minorEastAsia"/>
          <w:snapToGrid w:val="0"/>
          <w:color w:val="000000" w:themeColor="text1"/>
          <w:w w:val="99"/>
          <w:sz w:val="24"/>
          <w:szCs w:val="24"/>
          <w14:textFill>
            <w14:solidFill>
              <w14:schemeClr w14:val="tx1"/>
            </w14:solidFill>
          </w14:textFill>
        </w:rPr>
        <w:t>（11）《中华人民共和国野生动物保护法》（中华人民共和国主席令第47号，2018年10月26日修正施行）；</w:t>
      </w:r>
    </w:p>
    <w:p w14:paraId="6A6368BA">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（12）《中华人民共和国草原法》（中华人民共和国主席令〔2021〕81号，2021年4月29日修正施行）</w:t>
      </w:r>
    </w:p>
    <w:p w14:paraId="02B59233">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（13）《中华人民共和国清洁生产促进法》（中华人民共和国主席令第54号，2012年7月1日起施行）</w:t>
      </w:r>
    </w:p>
    <w:p w14:paraId="0367F766">
      <w:pPr>
        <w:pStyle w:val="129"/>
        <w:spacing w:line="440" w:lineRule="exact"/>
        <w:ind w:firstLine="473"/>
        <w:rPr>
          <w:rFonts w:ascii="Times New Roman" w:hAnsi="Times New Roman" w:eastAsiaTheme="minorEastAsia"/>
          <w:snapToGrid w:val="0"/>
          <w:color w:val="000000" w:themeColor="text1"/>
          <w:w w:val="99"/>
          <w:sz w:val="24"/>
          <w:szCs w:val="24"/>
          <w14:textFill>
            <w14:solidFill>
              <w14:schemeClr w14:val="tx1"/>
            </w14:solidFill>
          </w14:textFill>
        </w:rPr>
      </w:pPr>
      <w:r>
        <w:rPr>
          <w:rFonts w:ascii="Times New Roman" w:hAnsi="Times New Roman" w:eastAsiaTheme="minorEastAsia"/>
          <w:snapToGrid w:val="0"/>
          <w:color w:val="000000" w:themeColor="text1"/>
          <w:w w:val="99"/>
          <w:sz w:val="24"/>
          <w:szCs w:val="24"/>
          <w14:textFill>
            <w14:solidFill>
              <w14:schemeClr w14:val="tx1"/>
            </w14:solidFill>
          </w14:textFill>
        </w:rPr>
        <w:t>（14）《中华人民共和国土地管理法》（2019修订），2019年8月26日修订，2020年1月1日起施行；</w:t>
      </w:r>
    </w:p>
    <w:p w14:paraId="0AB64DDA">
      <w:pPr>
        <w:tabs>
          <w:tab w:val="left" w:pos="4154"/>
          <w:tab w:val="center" w:pos="8305"/>
        </w:tabs>
        <w:spacing w:line="440" w:lineRule="exact"/>
        <w:ind w:firstLine="474" w:firstLineChars="200"/>
        <w:jc w:val="both"/>
        <w:rPr>
          <w:rFonts w:ascii="Times New Roman" w:hAnsi="Times New Roman" w:cs="Times New Roman" w:eastAsiaTheme="minorEastAsia"/>
          <w:snapToGrid w:val="0"/>
          <w:color w:val="000000" w:themeColor="text1"/>
          <w:w w:val="99"/>
          <w:sz w:val="24"/>
          <w:szCs w:val="24"/>
          <w14:textFill>
            <w14:solidFill>
              <w14:schemeClr w14:val="tx1"/>
            </w14:solidFill>
          </w14:textFill>
        </w:rPr>
      </w:pPr>
      <w:r>
        <w:rPr>
          <w:rFonts w:ascii="Times New Roman" w:hAnsi="Times New Roman" w:cs="Times New Roman" w:eastAsiaTheme="minorEastAsia"/>
          <w:iCs/>
          <w:color w:val="000000" w:themeColor="text1"/>
          <w:w w:val="99"/>
          <w:sz w:val="24"/>
          <w:szCs w:val="24"/>
          <w:lang w:val="en-US"/>
          <w14:textFill>
            <w14:solidFill>
              <w14:schemeClr w14:val="tx1"/>
            </w14:solidFill>
          </w14:textFill>
        </w:rPr>
        <w:t>（15）《中华人民共和国石油天然气管道保护法》（2010年10月1日起施行）</w:t>
      </w:r>
      <w:r>
        <w:rPr>
          <w:rFonts w:ascii="Times New Roman" w:hAnsi="Times New Roman" w:cs="Times New Roman" w:eastAsiaTheme="minorEastAsia"/>
          <w:snapToGrid w:val="0"/>
          <w:color w:val="000000" w:themeColor="text1"/>
          <w:w w:val="99"/>
          <w:sz w:val="24"/>
          <w:szCs w:val="24"/>
          <w14:textFill>
            <w14:solidFill>
              <w14:schemeClr w14:val="tx1"/>
            </w14:solidFill>
          </w14:textFill>
        </w:rPr>
        <w:t>。</w:t>
      </w:r>
    </w:p>
    <w:p w14:paraId="0ED554D4">
      <w:pPr>
        <w:pStyle w:val="5"/>
        <w:keepNext/>
        <w:keepLines/>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0" w:name="_Toc117794516"/>
      <w:r>
        <w:rPr>
          <w:rFonts w:ascii="Times New Roman" w:hAnsi="Times New Roman" w:cs="Times New Roman" w:eastAsiaTheme="minorEastAsia"/>
          <w:color w:val="000000" w:themeColor="text1"/>
          <w:w w:val="99"/>
          <w:kern w:val="2"/>
          <w:lang w:val="en-US" w:bidi="ar-SA"/>
          <w14:textFill>
            <w14:solidFill>
              <w14:schemeClr w14:val="tx1"/>
            </w14:solidFill>
          </w14:textFill>
        </w:rPr>
        <w:t>2.1.2 环境保护相关法规</w:t>
      </w:r>
      <w:bookmarkEnd w:id="50"/>
    </w:p>
    <w:p w14:paraId="29240F11">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（1）《建设项目环境保护管理条例》（中华人民共和国国务院令第682号，2017.10.01）；</w:t>
      </w:r>
    </w:p>
    <w:p w14:paraId="6762C365">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（2）《土地复垦条例》（中华人民共和国国务院令第592号，2011.03.05）；</w:t>
      </w:r>
    </w:p>
    <w:p w14:paraId="52EEF56F">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（3）</w:t>
      </w:r>
      <w:r>
        <w:rPr>
          <w:rFonts w:ascii="Times New Roman" w:hAnsi="Times New Roman" w:cs="Times New Roman" w:eastAsiaTheme="minorEastAsia"/>
          <w:color w:val="000000" w:themeColor="text1"/>
          <w:w w:val="99"/>
          <w:sz w:val="24"/>
          <w:szCs w:val="24"/>
          <w14:textFill>
            <w14:solidFill>
              <w14:schemeClr w14:val="tx1"/>
            </w14:solidFill>
          </w14:textFill>
        </w:rPr>
        <w:t>《排污许可管理条例》（国令第736号，2021年3月1日起施行）；</w:t>
      </w:r>
    </w:p>
    <w:p w14:paraId="344A8F86">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（4）《黑龙江省环境保护条例》（2018.06.28）；</w:t>
      </w:r>
    </w:p>
    <w:p w14:paraId="2B70C63F">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（5）《黑龙江省石油天然气勘探开发环境保护条例》（2018.04.26）；</w:t>
      </w:r>
    </w:p>
    <w:p w14:paraId="20722C11">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（6）《黑龙江省大气污染防治条例》（2018.12.27）；</w:t>
      </w:r>
    </w:p>
    <w:p w14:paraId="57113F19">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（7）《黑龙江省黑土地保护利用条例》（2022年3月1日起施行）；</w:t>
      </w:r>
    </w:p>
    <w:p w14:paraId="4BAE8164">
      <w:pPr>
        <w:pStyle w:val="107"/>
        <w:tabs>
          <w:tab w:val="left" w:pos="4154"/>
          <w:tab w:val="center" w:pos="8305"/>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（8）《地下水管理条例》（中华人民共和国国务院令第748号，2021年12月1日施行）；</w:t>
      </w:r>
    </w:p>
    <w:p w14:paraId="00A6B4F8">
      <w:pPr>
        <w:tabs>
          <w:tab w:val="left" w:pos="4154"/>
          <w:tab w:val="center" w:pos="8305"/>
        </w:tabs>
        <w:spacing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（9）《黑龙江省耕地保护条例》（2021年10月29日修订，2022年1月1日起施行）；</w:t>
      </w:r>
    </w:p>
    <w:p w14:paraId="242EE867">
      <w:pPr>
        <w:tabs>
          <w:tab w:val="left" w:pos="4154"/>
          <w:tab w:val="center" w:pos="8305"/>
        </w:tabs>
        <w:spacing w:line="440" w:lineRule="exact"/>
        <w:ind w:firstLine="474" w:firstLineChars="200"/>
        <w:jc w:val="both"/>
        <w:rPr>
          <w:rFonts w:ascii="Times New Roman" w:hAnsi="Times New Roman" w:cs="Times New Roman" w:eastAsiaTheme="minorEastAsia"/>
          <w:iCs/>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（10）</w:t>
      </w:r>
      <w:r>
        <w:rPr>
          <w:rFonts w:ascii="Times New Roman" w:hAnsi="Times New Roman" w:cs="Times New Roman" w:eastAsiaTheme="minorEastAsia"/>
          <w:iCs/>
          <w:color w:val="000000" w:themeColor="text1"/>
          <w:w w:val="99"/>
          <w:sz w:val="24"/>
          <w:szCs w:val="24"/>
          <w:lang w:val="en-US"/>
          <w14:textFill>
            <w14:solidFill>
              <w14:schemeClr w14:val="tx1"/>
            </w14:solidFill>
          </w14:textFill>
        </w:rPr>
        <w:t>《黑龙江省草原条例》（2018年6月28日修订施行）</w:t>
      </w:r>
      <w:r>
        <w:rPr>
          <w:rFonts w:hint="eastAsia" w:ascii="Times New Roman" w:hAnsi="Times New Roman" w:cs="Times New Roman" w:eastAsiaTheme="minorEastAsia"/>
          <w:iCs/>
          <w:color w:val="000000" w:themeColor="text1"/>
          <w:w w:val="99"/>
          <w:sz w:val="24"/>
          <w:szCs w:val="24"/>
          <w:lang w:val="en-US"/>
          <w14:textFill>
            <w14:solidFill>
              <w14:schemeClr w14:val="tx1"/>
            </w14:solidFill>
          </w14:textFill>
        </w:rPr>
        <w:t>。</w:t>
      </w:r>
    </w:p>
    <w:p w14:paraId="45ACE603">
      <w:pPr>
        <w:pStyle w:val="5"/>
        <w:keepNext/>
        <w:keepLines/>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1" w:name="_Toc117794517"/>
      <w:r>
        <w:rPr>
          <w:rFonts w:ascii="Times New Roman" w:hAnsi="Times New Roman" w:cs="Times New Roman" w:eastAsiaTheme="minorEastAsia"/>
          <w:color w:val="000000" w:themeColor="text1"/>
          <w:w w:val="99"/>
          <w:kern w:val="2"/>
          <w:lang w:val="en-US" w:bidi="ar-SA"/>
          <w14:textFill>
            <w14:solidFill>
              <w14:schemeClr w14:val="tx1"/>
            </w14:solidFill>
          </w14:textFill>
        </w:rPr>
        <w:t>2.1.3 环境保护相关部门规章及规范性文件</w:t>
      </w:r>
      <w:bookmarkEnd w:id="51"/>
    </w:p>
    <w:p w14:paraId="1500E3D0">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（1）《建设项目环境影响评价分类管理名录（2021年版）》（部令第16号），2021年1月1日起施行；</w:t>
      </w:r>
    </w:p>
    <w:p w14:paraId="5E304EC5">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（2）</w:t>
      </w:r>
      <w:r>
        <w:rPr>
          <w:rFonts w:hint="eastAsia" w:ascii="Times New Roman" w:hAnsi="Times New Roman" w:cs="Times New Roman" w:eastAsiaTheme="minorEastAsia"/>
          <w:color w:val="000000" w:themeColor="text1"/>
          <w:w w:val="99"/>
          <w:sz w:val="24"/>
          <w:szCs w:val="24"/>
          <w:lang w:val="en-US" w:eastAsia="zh-CN"/>
          <w14:textFill>
            <w14:solidFill>
              <w14:schemeClr w14:val="tx1"/>
            </w14:solidFill>
          </w14:textFill>
        </w:rPr>
        <w:t>《产业结构调整指导目录（2024年本）》</w:t>
      </w:r>
      <w:r>
        <w:rPr>
          <w:rFonts w:ascii="Times New Roman" w:hAnsi="Times New Roman" w:cs="Times New Roman" w:eastAsiaTheme="minorEastAsia"/>
          <w:color w:val="000000" w:themeColor="text1"/>
          <w:w w:val="99"/>
          <w:sz w:val="24"/>
          <w:szCs w:val="24"/>
          <w:lang w:val="en-US"/>
          <w14:textFill>
            <w14:solidFill>
              <w14:schemeClr w14:val="tx1"/>
            </w14:solidFill>
          </w14:textFill>
        </w:rPr>
        <w:t>（发改委29号令）；</w:t>
      </w:r>
    </w:p>
    <w:p w14:paraId="7E4ABBD9">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（3）《国家危险废物名录（2021年版）》（部令第15号，2021年1月1日期施行）；</w:t>
      </w:r>
    </w:p>
    <w:p w14:paraId="14155D56">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（4）《危险废物排除管理清单（2021年版）》（生态环境部公告2021年第66号）；</w:t>
      </w:r>
    </w:p>
    <w:p w14:paraId="12AA5621">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（5）《危险废物转移管理办法》（2022年1月1日起施行）；</w:t>
      </w:r>
    </w:p>
    <w:p w14:paraId="2BB6F812">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（6）《关于进一步加强环境影响评价管理防范环境风险的通知》（环发[2012]77号，2012.07.03）；</w:t>
      </w:r>
    </w:p>
    <w:p w14:paraId="25579A57">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（7）《关于切实加强风险防范严格环境影响评价管理的通知》（环发[2012]98号，2012.08.07）；</w:t>
      </w:r>
    </w:p>
    <w:p w14:paraId="2CC8C03E">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（8）《环境影响评价公众参与办法》（生态环境部令第4号，2019.01.01）；</w:t>
      </w:r>
    </w:p>
    <w:p w14:paraId="2C83CCB0">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（9）《关于进一步加强石油天然气行业环境影响评价管理的通知》（环办环评函〔2019〕910号）；</w:t>
      </w:r>
    </w:p>
    <w:p w14:paraId="57503E53">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（10）《石油天然气开采业污染防治技术政策》（环保部公告2012年第18号）；</w:t>
      </w:r>
    </w:p>
    <w:p w14:paraId="3C73CD72">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（11）《2020年挥发性有机物治理攻坚方案》（环大气〔2020〕33号，2020.06.24）；</w:t>
      </w:r>
    </w:p>
    <w:p w14:paraId="419D5958">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（12）《自然资源部关于规范临时用地管理的通知》（自然资规〔2021〕2号）；</w:t>
      </w:r>
    </w:p>
    <w:p w14:paraId="4C795105">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（13）《关于强化管控落实最严格耕地保护制度的通知》（国土资发〔2014〕18号）</w:t>
      </w:r>
    </w:p>
    <w:p w14:paraId="652614AA">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（14）《黑龙江省重点行业挥发性有机物综合治理行动方案》（黑环发〔2019〕153号）；</w:t>
      </w:r>
    </w:p>
    <w:p w14:paraId="00F3B486">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（15）《黑龙江省主体功能区规划》；</w:t>
      </w:r>
    </w:p>
    <w:p w14:paraId="20612856">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（16）《黑龙江省生态功能区规划》；</w:t>
      </w:r>
    </w:p>
    <w:p w14:paraId="4A5532CD">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（17）《黑龙江省人民政府办公厅关于建设占用耕地耕作层土壤剥离利用工作的指导意见（试行）》（黑政办规〔2021〕18号）；</w:t>
      </w:r>
    </w:p>
    <w:p w14:paraId="418AB35C">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（18）《黑龙江省人民政府关于实施“三线一单”生态环境分区管控的意见》（黑政发〔2020〕14号，2020.12.16）；</w:t>
      </w:r>
    </w:p>
    <w:p w14:paraId="010F9A28">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（19）《黑龙江省湿地名录》（2022年）；</w:t>
      </w:r>
    </w:p>
    <w:p w14:paraId="4E9999D1">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（20）《大庆市人民政府关于印发大庆市声环境功能区划分、大庆市环境空气质量功能区划分、大庆市地表水环境功能区划分的通知》（庆政发〔2019〕11号）；</w:t>
      </w:r>
    </w:p>
    <w:p w14:paraId="75AEC3FC">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（21）《大庆市人民政府关于实施“三线一单”生态环境分区管控的意见》（庆政规〔2021〕3号）；</w:t>
      </w:r>
    </w:p>
    <w:p w14:paraId="4CA196C7">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（22）《大庆市土地利用总体规划》（2006-2020年）；</w:t>
      </w:r>
    </w:p>
    <w:p w14:paraId="6E22306C">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（23）《大庆市水土保持规划》（2015～2030年）；</w:t>
      </w:r>
    </w:p>
    <w:p w14:paraId="30A8A129">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（24）《大庆油气田地面工程“十四五”规划》。</w:t>
      </w:r>
    </w:p>
    <w:p w14:paraId="503B7A89">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（25）《黑龙江省人民政府办公厅关于印发黑龙江省“十四五”黑土地保护规划的通知》（黑政办规〔2021〕48号，2021.12.31）；</w:t>
      </w:r>
    </w:p>
    <w:p w14:paraId="6EBD55E4">
      <w:pPr>
        <w:tabs>
          <w:tab w:val="left" w:pos="1560"/>
        </w:tabs>
        <w:spacing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w:t>
      </w:r>
      <w:r>
        <w:rPr>
          <w:rFonts w:hint="eastAsia" w:ascii="Times New Roman" w:hAnsi="Times New Roman" w:cs="Times New Roman" w:eastAsiaTheme="minorEastAsia"/>
          <w:color w:val="000000" w:themeColor="text1"/>
          <w:w w:val="99"/>
          <w:sz w:val="24"/>
          <w:szCs w:val="24"/>
          <w:lang w:val="en-US"/>
          <w14:textFill>
            <w14:solidFill>
              <w14:schemeClr w14:val="tx1"/>
            </w14:solidFill>
          </w14:textFill>
        </w:rPr>
        <w:t>2</w:t>
      </w:r>
      <w:r>
        <w:rPr>
          <w:rFonts w:ascii="Times New Roman" w:hAnsi="Times New Roman" w:cs="Times New Roman" w:eastAsiaTheme="minorEastAsia"/>
          <w:color w:val="000000" w:themeColor="text1"/>
          <w:w w:val="99"/>
          <w:sz w:val="24"/>
          <w:szCs w:val="24"/>
          <w:lang w:val="en-US"/>
          <w14:textFill>
            <w14:solidFill>
              <w14:schemeClr w14:val="tx1"/>
            </w14:solidFill>
          </w14:textFill>
        </w:rPr>
        <w:t>6）《</w:t>
      </w:r>
      <w:r>
        <w:rPr>
          <w:rFonts w:hint="eastAsia" w:ascii="Times New Roman" w:hAnsi="Times New Roman" w:cs="Times New Roman" w:eastAsiaTheme="minorEastAsia"/>
          <w:color w:val="000000" w:themeColor="text1"/>
          <w:w w:val="99"/>
          <w:sz w:val="24"/>
          <w:szCs w:val="24"/>
          <w:lang w:val="en-US"/>
          <w14:textFill>
            <w14:solidFill>
              <w14:schemeClr w14:val="tx1"/>
            </w14:solidFill>
          </w14:textFill>
        </w:rPr>
        <w:t>大庆市人民政府关于印发大庆市“十四五”生态环境保护规划的通知</w:t>
      </w:r>
      <w:r>
        <w:rPr>
          <w:rFonts w:ascii="Times New Roman" w:hAnsi="Times New Roman" w:cs="Times New Roman" w:eastAsiaTheme="minorEastAsia"/>
          <w:color w:val="000000" w:themeColor="text1"/>
          <w:w w:val="99"/>
          <w:sz w:val="24"/>
          <w:szCs w:val="24"/>
          <w:lang w:val="en-US"/>
          <w14:textFill>
            <w14:solidFill>
              <w14:schemeClr w14:val="tx1"/>
            </w14:solidFill>
          </w14:textFill>
        </w:rPr>
        <w:t>》（</w:t>
      </w:r>
      <w:r>
        <w:rPr>
          <w:rFonts w:hint="eastAsia" w:ascii="Times New Roman" w:hAnsi="Times New Roman" w:cs="Times New Roman" w:eastAsiaTheme="minorEastAsia"/>
          <w:color w:val="000000" w:themeColor="text1"/>
          <w:w w:val="99"/>
          <w:sz w:val="24"/>
          <w:szCs w:val="24"/>
          <w:lang w:val="en-US"/>
          <w14:textFill>
            <w14:solidFill>
              <w14:schemeClr w14:val="tx1"/>
            </w14:solidFill>
          </w14:textFill>
        </w:rPr>
        <w:t>庆政规〔</w:t>
      </w:r>
      <w:r>
        <w:rPr>
          <w:rFonts w:ascii="Times New Roman" w:hAnsi="Times New Roman" w:cs="Times New Roman" w:eastAsiaTheme="minorEastAsia"/>
          <w:color w:val="000000" w:themeColor="text1"/>
          <w:w w:val="99"/>
          <w:sz w:val="24"/>
          <w:szCs w:val="24"/>
          <w:lang w:val="en-US"/>
          <w14:textFill>
            <w14:solidFill>
              <w14:schemeClr w14:val="tx1"/>
            </w14:solidFill>
          </w14:textFill>
        </w:rPr>
        <w:t>2022〕7号）；</w:t>
      </w:r>
    </w:p>
    <w:p w14:paraId="14D8AF0A">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8"/>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（27）《大庆市生态环境局关于进一步做好重点行业挥发性有机物综合治理工作的通知》（庆环规﹝2020﹞1号，2020.1.7）。</w:t>
      </w:r>
      <w:bookmarkStart w:id="52" w:name="_bookmark10"/>
      <w:bookmarkEnd w:id="52"/>
    </w:p>
    <w:p w14:paraId="57BFE13B">
      <w:pPr>
        <w:pStyle w:val="5"/>
        <w:keepNext/>
        <w:keepLines/>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3" w:name="_Toc117794518"/>
      <w:r>
        <w:rPr>
          <w:rFonts w:ascii="Times New Roman" w:hAnsi="Times New Roman" w:cs="Times New Roman" w:eastAsiaTheme="minorEastAsia"/>
          <w:color w:val="000000" w:themeColor="text1"/>
          <w:w w:val="99"/>
          <w:kern w:val="2"/>
          <w:lang w:val="en-US" w:bidi="ar-SA"/>
          <w14:textFill>
            <w14:solidFill>
              <w14:schemeClr w14:val="tx1"/>
            </w14:solidFill>
          </w14:textFill>
        </w:rPr>
        <w:t>2.1.4 技术依据</w:t>
      </w:r>
      <w:bookmarkEnd w:id="53"/>
    </w:p>
    <w:p w14:paraId="77308306">
      <w:pPr>
        <w:pStyle w:val="129"/>
        <w:spacing w:line="440" w:lineRule="exact"/>
        <w:ind w:firstLine="473"/>
        <w:rPr>
          <w:rFonts w:ascii="Times New Roman" w:hAnsi="Times New Roman" w:eastAsiaTheme="minorEastAsia"/>
          <w:snapToGrid w:val="0"/>
          <w:color w:val="000000" w:themeColor="text1"/>
          <w:w w:val="99"/>
          <w:sz w:val="24"/>
          <w:szCs w:val="24"/>
          <w14:textFill>
            <w14:solidFill>
              <w14:schemeClr w14:val="tx1"/>
            </w14:solidFill>
          </w14:textFill>
        </w:rPr>
      </w:pPr>
      <w:r>
        <w:rPr>
          <w:rFonts w:ascii="Times New Roman" w:hAnsi="Times New Roman" w:eastAsiaTheme="minorEastAsia"/>
          <w:snapToGrid w:val="0"/>
          <w:color w:val="000000" w:themeColor="text1"/>
          <w:w w:val="99"/>
          <w:sz w:val="24"/>
          <w:szCs w:val="24"/>
          <w14:textFill>
            <w14:solidFill>
              <w14:schemeClr w14:val="tx1"/>
            </w14:solidFill>
          </w14:textFill>
        </w:rPr>
        <w:t>（1）《建设项目环境影响评价技术导则 总纲》（HJ2.1-2016）；</w:t>
      </w:r>
    </w:p>
    <w:p w14:paraId="1B1F8148">
      <w:pPr>
        <w:pStyle w:val="129"/>
        <w:spacing w:line="440" w:lineRule="exact"/>
        <w:ind w:firstLine="473"/>
        <w:rPr>
          <w:rFonts w:ascii="Times New Roman" w:hAnsi="Times New Roman" w:eastAsiaTheme="minorEastAsia"/>
          <w:snapToGrid w:val="0"/>
          <w:color w:val="000000" w:themeColor="text1"/>
          <w:w w:val="99"/>
          <w:sz w:val="24"/>
          <w:szCs w:val="24"/>
          <w14:textFill>
            <w14:solidFill>
              <w14:schemeClr w14:val="tx1"/>
            </w14:solidFill>
          </w14:textFill>
        </w:rPr>
      </w:pPr>
      <w:r>
        <w:rPr>
          <w:rFonts w:ascii="Times New Roman" w:hAnsi="Times New Roman" w:eastAsiaTheme="minorEastAsia"/>
          <w:snapToGrid w:val="0"/>
          <w:color w:val="000000" w:themeColor="text1"/>
          <w:w w:val="99"/>
          <w:sz w:val="24"/>
          <w:szCs w:val="24"/>
          <w14:textFill>
            <w14:solidFill>
              <w14:schemeClr w14:val="tx1"/>
            </w14:solidFill>
          </w14:textFill>
        </w:rPr>
        <w:t>（2）《环境影响评价技术导则 大气环境》（HJ2.2-2018）；</w:t>
      </w:r>
    </w:p>
    <w:p w14:paraId="22AF63A0">
      <w:pPr>
        <w:pStyle w:val="129"/>
        <w:spacing w:line="440" w:lineRule="exact"/>
        <w:ind w:firstLine="473"/>
        <w:rPr>
          <w:rFonts w:ascii="Times New Roman" w:hAnsi="Times New Roman" w:eastAsiaTheme="minorEastAsia"/>
          <w:snapToGrid w:val="0"/>
          <w:color w:val="000000" w:themeColor="text1"/>
          <w:w w:val="99"/>
          <w:sz w:val="24"/>
          <w:szCs w:val="24"/>
          <w14:textFill>
            <w14:solidFill>
              <w14:schemeClr w14:val="tx1"/>
            </w14:solidFill>
          </w14:textFill>
        </w:rPr>
      </w:pPr>
      <w:r>
        <w:rPr>
          <w:rFonts w:ascii="Times New Roman" w:hAnsi="Times New Roman" w:eastAsiaTheme="minorEastAsia"/>
          <w:snapToGrid w:val="0"/>
          <w:color w:val="000000" w:themeColor="text1"/>
          <w:w w:val="99"/>
          <w:sz w:val="24"/>
          <w:szCs w:val="24"/>
          <w14:textFill>
            <w14:solidFill>
              <w14:schemeClr w14:val="tx1"/>
            </w14:solidFill>
          </w14:textFill>
        </w:rPr>
        <w:t>（3）《环境影响评价技术导则 地表水环境》（HJ2.3-2018）；</w:t>
      </w:r>
    </w:p>
    <w:p w14:paraId="3D8DBB01">
      <w:pPr>
        <w:pStyle w:val="129"/>
        <w:spacing w:line="440" w:lineRule="exact"/>
        <w:ind w:firstLine="473"/>
        <w:rPr>
          <w:rFonts w:ascii="Times New Roman" w:hAnsi="Times New Roman" w:eastAsiaTheme="minorEastAsia"/>
          <w:snapToGrid w:val="0"/>
          <w:color w:val="000000" w:themeColor="text1"/>
          <w:w w:val="99"/>
          <w:sz w:val="24"/>
          <w:szCs w:val="24"/>
          <w14:textFill>
            <w14:solidFill>
              <w14:schemeClr w14:val="tx1"/>
            </w14:solidFill>
          </w14:textFill>
        </w:rPr>
      </w:pPr>
      <w:r>
        <w:rPr>
          <w:rFonts w:ascii="Times New Roman" w:hAnsi="Times New Roman" w:eastAsiaTheme="minorEastAsia"/>
          <w:snapToGrid w:val="0"/>
          <w:color w:val="000000" w:themeColor="text1"/>
          <w:w w:val="99"/>
          <w:sz w:val="24"/>
          <w:szCs w:val="24"/>
          <w14:textFill>
            <w14:solidFill>
              <w14:schemeClr w14:val="tx1"/>
            </w14:solidFill>
          </w14:textFill>
        </w:rPr>
        <w:t>（4）《环境影响评价技术导则 声环境》（HJ2.4-2021）；</w:t>
      </w:r>
    </w:p>
    <w:p w14:paraId="014BF2F4">
      <w:pPr>
        <w:pStyle w:val="129"/>
        <w:spacing w:line="440" w:lineRule="exact"/>
        <w:ind w:firstLine="473"/>
        <w:rPr>
          <w:rFonts w:ascii="Times New Roman" w:hAnsi="Times New Roman" w:eastAsiaTheme="minorEastAsia"/>
          <w:snapToGrid w:val="0"/>
          <w:color w:val="000000" w:themeColor="text1"/>
          <w:w w:val="99"/>
          <w:sz w:val="24"/>
          <w:szCs w:val="24"/>
          <w14:textFill>
            <w14:solidFill>
              <w14:schemeClr w14:val="tx1"/>
            </w14:solidFill>
          </w14:textFill>
        </w:rPr>
      </w:pPr>
      <w:r>
        <w:rPr>
          <w:rFonts w:ascii="Times New Roman" w:hAnsi="Times New Roman" w:eastAsiaTheme="minorEastAsia"/>
          <w:snapToGrid w:val="0"/>
          <w:color w:val="000000" w:themeColor="text1"/>
          <w:w w:val="99"/>
          <w:sz w:val="24"/>
          <w:szCs w:val="24"/>
          <w14:textFill>
            <w14:solidFill>
              <w14:schemeClr w14:val="tx1"/>
            </w14:solidFill>
          </w14:textFill>
        </w:rPr>
        <w:t>（5）《环境影响评价技术导则 地下水环境》（HJ610-2016）；</w:t>
      </w:r>
    </w:p>
    <w:p w14:paraId="59B42918">
      <w:pPr>
        <w:pStyle w:val="129"/>
        <w:spacing w:line="440" w:lineRule="exact"/>
        <w:ind w:firstLine="473"/>
        <w:rPr>
          <w:rFonts w:ascii="Times New Roman" w:hAnsi="Times New Roman" w:eastAsiaTheme="minorEastAsia"/>
          <w:snapToGrid w:val="0"/>
          <w:color w:val="000000" w:themeColor="text1"/>
          <w:w w:val="99"/>
          <w:sz w:val="24"/>
          <w:szCs w:val="24"/>
          <w14:textFill>
            <w14:solidFill>
              <w14:schemeClr w14:val="tx1"/>
            </w14:solidFill>
          </w14:textFill>
        </w:rPr>
      </w:pPr>
      <w:r>
        <w:rPr>
          <w:rFonts w:ascii="Times New Roman" w:hAnsi="Times New Roman" w:eastAsiaTheme="minorEastAsia"/>
          <w:snapToGrid w:val="0"/>
          <w:color w:val="000000" w:themeColor="text1"/>
          <w:w w:val="99"/>
          <w:sz w:val="24"/>
          <w:szCs w:val="24"/>
          <w14:textFill>
            <w14:solidFill>
              <w14:schemeClr w14:val="tx1"/>
            </w14:solidFill>
          </w14:textFill>
        </w:rPr>
        <w:t>（6）《环境影响评价技术导则 生态影响》（HJ19-2022）；</w:t>
      </w:r>
    </w:p>
    <w:p w14:paraId="6F996F3C">
      <w:pPr>
        <w:pStyle w:val="129"/>
        <w:spacing w:line="440" w:lineRule="exact"/>
        <w:ind w:firstLine="473"/>
        <w:rPr>
          <w:rFonts w:ascii="Times New Roman" w:hAnsi="Times New Roman" w:eastAsiaTheme="minorEastAsia"/>
          <w:snapToGrid w:val="0"/>
          <w:color w:val="000000" w:themeColor="text1"/>
          <w:w w:val="99"/>
          <w:sz w:val="24"/>
          <w:szCs w:val="24"/>
          <w14:textFill>
            <w14:solidFill>
              <w14:schemeClr w14:val="tx1"/>
            </w14:solidFill>
          </w14:textFill>
        </w:rPr>
      </w:pPr>
      <w:r>
        <w:rPr>
          <w:rFonts w:ascii="Times New Roman" w:hAnsi="Times New Roman" w:eastAsiaTheme="minorEastAsia"/>
          <w:snapToGrid w:val="0"/>
          <w:color w:val="000000" w:themeColor="text1"/>
          <w:w w:val="99"/>
          <w:sz w:val="24"/>
          <w:szCs w:val="24"/>
          <w14:textFill>
            <w14:solidFill>
              <w14:schemeClr w14:val="tx1"/>
            </w14:solidFill>
          </w14:textFill>
        </w:rPr>
        <w:t>（7）《环境影响评价技术导则 土壤环境（试行）》（HJ964-2018）；</w:t>
      </w:r>
    </w:p>
    <w:p w14:paraId="6C4D3D37">
      <w:pPr>
        <w:pStyle w:val="129"/>
        <w:spacing w:line="440" w:lineRule="exact"/>
        <w:ind w:firstLine="473"/>
        <w:rPr>
          <w:rFonts w:ascii="Times New Roman" w:hAnsi="Times New Roman" w:eastAsiaTheme="minorEastAsia"/>
          <w:snapToGrid w:val="0"/>
          <w:color w:val="000000" w:themeColor="text1"/>
          <w:w w:val="99"/>
          <w:sz w:val="24"/>
          <w:szCs w:val="24"/>
          <w14:textFill>
            <w14:solidFill>
              <w14:schemeClr w14:val="tx1"/>
            </w14:solidFill>
          </w14:textFill>
        </w:rPr>
      </w:pPr>
      <w:r>
        <w:rPr>
          <w:rFonts w:ascii="Times New Roman" w:hAnsi="Times New Roman" w:eastAsiaTheme="minorEastAsia"/>
          <w:snapToGrid w:val="0"/>
          <w:color w:val="000000" w:themeColor="text1"/>
          <w:w w:val="99"/>
          <w:sz w:val="24"/>
          <w:szCs w:val="24"/>
          <w14:textFill>
            <w14:solidFill>
              <w14:schemeClr w14:val="tx1"/>
            </w14:solidFill>
          </w14:textFill>
        </w:rPr>
        <w:t>（8）《建设项目环境风险评价技术导则》（HJ169-2018）；</w:t>
      </w:r>
    </w:p>
    <w:p w14:paraId="6A3260E3">
      <w:pPr>
        <w:pStyle w:val="129"/>
        <w:spacing w:line="440" w:lineRule="exact"/>
        <w:ind w:firstLine="473"/>
        <w:rPr>
          <w:rFonts w:ascii="Times New Roman" w:hAnsi="Times New Roman" w:eastAsiaTheme="minorEastAsia"/>
          <w:snapToGrid w:val="0"/>
          <w:color w:val="000000" w:themeColor="text1"/>
          <w:w w:val="99"/>
          <w:sz w:val="24"/>
          <w:szCs w:val="24"/>
          <w14:textFill>
            <w14:solidFill>
              <w14:schemeClr w14:val="tx1"/>
            </w14:solidFill>
          </w14:textFill>
        </w:rPr>
      </w:pPr>
      <w:r>
        <w:rPr>
          <w:rFonts w:ascii="Times New Roman" w:hAnsi="Times New Roman" w:eastAsiaTheme="minorEastAsia"/>
          <w:snapToGrid w:val="0"/>
          <w:color w:val="000000" w:themeColor="text1"/>
          <w:w w:val="99"/>
          <w:sz w:val="24"/>
          <w:szCs w:val="24"/>
          <w14:textFill>
            <w14:solidFill>
              <w14:schemeClr w14:val="tx1"/>
            </w14:solidFill>
          </w14:textFill>
        </w:rPr>
        <w:t>（9）《环境影响评价技术导则 陆地石油天然气开发建设项目》（HJ/T349-2007）；</w:t>
      </w:r>
    </w:p>
    <w:p w14:paraId="29BBD2B0">
      <w:pPr>
        <w:pStyle w:val="129"/>
        <w:spacing w:line="440" w:lineRule="exact"/>
        <w:ind w:firstLine="473"/>
        <w:rPr>
          <w:rFonts w:ascii="Times New Roman" w:hAnsi="Times New Roman" w:eastAsiaTheme="minorEastAsia"/>
          <w:snapToGrid w:val="0"/>
          <w:color w:val="000000" w:themeColor="text1"/>
          <w:w w:val="99"/>
          <w:sz w:val="24"/>
          <w:szCs w:val="24"/>
          <w14:textFill>
            <w14:solidFill>
              <w14:schemeClr w14:val="tx1"/>
            </w14:solidFill>
          </w14:textFill>
        </w:rPr>
      </w:pPr>
      <w:r>
        <w:rPr>
          <w:rFonts w:ascii="Times New Roman" w:hAnsi="Times New Roman" w:eastAsiaTheme="minorEastAsia"/>
          <w:snapToGrid w:val="0"/>
          <w:color w:val="000000" w:themeColor="text1"/>
          <w:w w:val="99"/>
          <w:sz w:val="24"/>
          <w:szCs w:val="24"/>
          <w14:textFill>
            <w14:solidFill>
              <w14:schemeClr w14:val="tx1"/>
            </w14:solidFill>
          </w14:textFill>
        </w:rPr>
        <w:t>（10）《排污许可证申请与核发技术规范 总则》（HJ942-2018）；</w:t>
      </w:r>
    </w:p>
    <w:p w14:paraId="258E64D5">
      <w:pPr>
        <w:pStyle w:val="129"/>
        <w:spacing w:line="440" w:lineRule="exact"/>
        <w:ind w:firstLine="473"/>
        <w:rPr>
          <w:rFonts w:ascii="Times New Roman" w:hAnsi="Times New Roman" w:eastAsiaTheme="minorEastAsia"/>
          <w:snapToGrid w:val="0"/>
          <w:color w:val="000000" w:themeColor="text1"/>
          <w:w w:val="99"/>
          <w:sz w:val="24"/>
          <w:szCs w:val="24"/>
          <w14:textFill>
            <w14:solidFill>
              <w14:schemeClr w14:val="tx1"/>
            </w14:solidFill>
          </w14:textFill>
        </w:rPr>
      </w:pPr>
      <w:r>
        <w:rPr>
          <w:rFonts w:ascii="Times New Roman" w:hAnsi="Times New Roman" w:eastAsiaTheme="minorEastAsia"/>
          <w:snapToGrid w:val="0"/>
          <w:color w:val="000000" w:themeColor="text1"/>
          <w:w w:val="99"/>
          <w:sz w:val="24"/>
          <w:szCs w:val="24"/>
          <w14:textFill>
            <w14:solidFill>
              <w14:schemeClr w14:val="tx1"/>
            </w14:solidFill>
          </w14:textFill>
        </w:rPr>
        <w:t>（11）《排污单位自行监测技术指南 总则》（HJ819-2017）；</w:t>
      </w:r>
    </w:p>
    <w:p w14:paraId="62BF1060">
      <w:pPr>
        <w:pStyle w:val="129"/>
        <w:spacing w:line="440" w:lineRule="exact"/>
        <w:ind w:firstLine="473"/>
        <w:rPr>
          <w:rFonts w:ascii="Times New Roman" w:hAnsi="Times New Roman" w:eastAsiaTheme="minorEastAsia"/>
          <w:snapToGrid w:val="0"/>
          <w:color w:val="000000" w:themeColor="text1"/>
          <w:w w:val="99"/>
          <w:sz w:val="24"/>
          <w:szCs w:val="24"/>
          <w14:textFill>
            <w14:solidFill>
              <w14:schemeClr w14:val="tx1"/>
            </w14:solidFill>
          </w14:textFill>
        </w:rPr>
      </w:pPr>
      <w:r>
        <w:rPr>
          <w:rFonts w:ascii="Times New Roman" w:hAnsi="Times New Roman" w:eastAsiaTheme="minorEastAsia"/>
          <w:snapToGrid w:val="0"/>
          <w:color w:val="000000" w:themeColor="text1"/>
          <w:w w:val="99"/>
          <w:sz w:val="24"/>
          <w:szCs w:val="24"/>
          <w14:textFill>
            <w14:solidFill>
              <w14:schemeClr w14:val="tx1"/>
            </w14:solidFill>
          </w14:textFill>
        </w:rPr>
        <w:t>（12）《排污单位自行监测技术指南 陆上石油天然气开采工业》（HJ1248-2022）；</w:t>
      </w:r>
    </w:p>
    <w:p w14:paraId="56E41A46">
      <w:pPr>
        <w:pStyle w:val="129"/>
        <w:spacing w:line="440" w:lineRule="exact"/>
        <w:ind w:firstLine="473"/>
        <w:rPr>
          <w:rFonts w:ascii="Times New Roman" w:hAnsi="Times New Roman" w:eastAsiaTheme="minorEastAsia"/>
          <w:snapToGrid w:val="0"/>
          <w:color w:val="000000" w:themeColor="text1"/>
          <w:w w:val="99"/>
          <w:sz w:val="24"/>
          <w:szCs w:val="24"/>
          <w14:textFill>
            <w14:solidFill>
              <w14:schemeClr w14:val="tx1"/>
            </w14:solidFill>
          </w14:textFill>
        </w:rPr>
      </w:pPr>
      <w:r>
        <w:rPr>
          <w:rFonts w:ascii="Times New Roman" w:hAnsi="Times New Roman" w:eastAsiaTheme="minorEastAsia"/>
          <w:snapToGrid w:val="0"/>
          <w:color w:val="000000" w:themeColor="text1"/>
          <w:w w:val="99"/>
          <w:sz w:val="24"/>
          <w:szCs w:val="24"/>
          <w14:textFill>
            <w14:solidFill>
              <w14:schemeClr w14:val="tx1"/>
            </w14:solidFill>
          </w14:textFill>
        </w:rPr>
        <w:t>（13）《建设项目危险废物环境影响评价指南》（环境保护部公告2017年第43号，2017.10.1）；</w:t>
      </w:r>
    </w:p>
    <w:p w14:paraId="07D0E2C0">
      <w:pPr>
        <w:pStyle w:val="129"/>
        <w:spacing w:line="440" w:lineRule="exact"/>
        <w:ind w:firstLine="473"/>
        <w:rPr>
          <w:rFonts w:ascii="Times New Roman" w:hAnsi="Times New Roman" w:eastAsiaTheme="minorEastAsia"/>
          <w:snapToGrid w:val="0"/>
          <w:color w:val="000000" w:themeColor="text1"/>
          <w:w w:val="99"/>
          <w:sz w:val="24"/>
          <w:szCs w:val="24"/>
          <w14:textFill>
            <w14:solidFill>
              <w14:schemeClr w14:val="tx1"/>
            </w14:solidFill>
          </w14:textFill>
        </w:rPr>
      </w:pPr>
      <w:r>
        <w:rPr>
          <w:rFonts w:ascii="Times New Roman" w:hAnsi="Times New Roman" w:eastAsiaTheme="minorEastAsia"/>
          <w:snapToGrid w:val="0"/>
          <w:color w:val="000000" w:themeColor="text1"/>
          <w:w w:val="99"/>
          <w:sz w:val="24"/>
          <w:szCs w:val="24"/>
          <w14:textFill>
            <w14:solidFill>
              <w14:schemeClr w14:val="tx1"/>
            </w14:solidFill>
          </w14:textFill>
        </w:rPr>
        <w:t>（14）《危险废物环境管理指南 陆上石油天然气开采》；</w:t>
      </w:r>
    </w:p>
    <w:p w14:paraId="739781C4">
      <w:pPr>
        <w:pStyle w:val="129"/>
        <w:spacing w:line="440" w:lineRule="exact"/>
        <w:ind w:firstLine="473"/>
        <w:rPr>
          <w:rFonts w:ascii="Times New Roman" w:hAnsi="Times New Roman" w:eastAsiaTheme="minorEastAsia"/>
          <w:snapToGrid w:val="0"/>
          <w:color w:val="000000" w:themeColor="text1"/>
          <w:w w:val="99"/>
          <w:sz w:val="24"/>
          <w:szCs w:val="24"/>
          <w14:textFill>
            <w14:solidFill>
              <w14:schemeClr w14:val="tx1"/>
            </w14:solidFill>
          </w14:textFill>
        </w:rPr>
      </w:pPr>
      <w:r>
        <w:rPr>
          <w:rFonts w:ascii="Times New Roman" w:hAnsi="Times New Roman" w:eastAsiaTheme="minorEastAsia"/>
          <w:snapToGrid w:val="0"/>
          <w:color w:val="000000" w:themeColor="text1"/>
          <w:w w:val="99"/>
          <w:sz w:val="24"/>
          <w:szCs w:val="24"/>
          <w14:textFill>
            <w14:solidFill>
              <w14:schemeClr w14:val="tx1"/>
            </w14:solidFill>
          </w14:textFill>
        </w:rPr>
        <w:t>（15）《污染源源强核算技术指南 准则》（HJ884-2018）</w:t>
      </w:r>
      <w:r>
        <w:rPr>
          <w:rFonts w:hint="eastAsia" w:ascii="Times New Roman" w:hAnsi="Times New Roman" w:eastAsiaTheme="minorEastAsia"/>
          <w:snapToGrid w:val="0"/>
          <w:color w:val="000000" w:themeColor="text1"/>
          <w:w w:val="99"/>
          <w:sz w:val="24"/>
          <w:szCs w:val="24"/>
          <w14:textFill>
            <w14:solidFill>
              <w14:schemeClr w14:val="tx1"/>
            </w14:solidFill>
          </w14:textFill>
        </w:rPr>
        <w:t>；</w:t>
      </w:r>
    </w:p>
    <w:p w14:paraId="165A27E1">
      <w:pPr>
        <w:pStyle w:val="107"/>
        <w:tabs>
          <w:tab w:val="left" w:pos="1560"/>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w:t>
      </w:r>
      <w:r>
        <w:rPr>
          <w:rFonts w:hint="eastAsia" w:ascii="Times New Roman" w:hAnsi="Times New Roman" w:cs="Times New Roman" w:eastAsiaTheme="minorEastAsia"/>
          <w:color w:val="000000" w:themeColor="text1"/>
          <w:w w:val="99"/>
          <w:sz w:val="24"/>
          <w:szCs w:val="24"/>
          <w:lang w:val="en-US"/>
          <w14:textFill>
            <w14:solidFill>
              <w14:schemeClr w14:val="tx1"/>
            </w14:solidFill>
          </w14:textFill>
        </w:rPr>
        <w:t>1</w:t>
      </w:r>
      <w:r>
        <w:rPr>
          <w:rFonts w:ascii="Times New Roman" w:hAnsi="Times New Roman" w:cs="Times New Roman" w:eastAsiaTheme="minorEastAsia"/>
          <w:color w:val="000000" w:themeColor="text1"/>
          <w:w w:val="99"/>
          <w:sz w:val="24"/>
          <w:szCs w:val="24"/>
          <w:lang w:val="en-US"/>
          <w14:textFill>
            <w14:solidFill>
              <w14:schemeClr w14:val="tx1"/>
            </w14:solidFill>
          </w14:textFill>
        </w:rPr>
        <w:t>6）《</w:t>
      </w:r>
      <w:r>
        <w:rPr>
          <w:rFonts w:hint="eastAsia" w:ascii="Times New Roman" w:hAnsi="Times New Roman" w:cs="Times New Roman" w:eastAsiaTheme="minorEastAsia"/>
          <w:bCs/>
          <w:color w:val="000000" w:themeColor="text1"/>
          <w:w w:val="99"/>
          <w:sz w:val="24"/>
          <w:szCs w:val="24"/>
          <w:lang w:val="en-US"/>
          <w14:textFill>
            <w14:solidFill>
              <w14:schemeClr w14:val="tx1"/>
            </w14:solidFill>
          </w14:textFill>
        </w:rPr>
        <w:t>建设占用耕地耕作层土壤剥离利用技术规范</w:t>
      </w:r>
      <w:r>
        <w:rPr>
          <w:rFonts w:ascii="Times New Roman" w:hAnsi="Times New Roman" w:cs="Times New Roman" w:eastAsiaTheme="minorEastAsia"/>
          <w:color w:val="000000" w:themeColor="text1"/>
          <w:w w:val="99"/>
          <w:sz w:val="24"/>
          <w:szCs w:val="24"/>
          <w:lang w:val="en-US"/>
          <w14:textFill>
            <w14:solidFill>
              <w14:schemeClr w14:val="tx1"/>
            </w14:solidFill>
          </w14:textFill>
        </w:rPr>
        <w:t>》（</w:t>
      </w:r>
      <w:r>
        <w:rPr>
          <w:rFonts w:hint="eastAsia" w:ascii="Times New Roman" w:hAnsi="Times New Roman" w:cs="Times New Roman" w:eastAsiaTheme="minorEastAsia"/>
          <w:color w:val="000000" w:themeColor="text1"/>
          <w:w w:val="99"/>
          <w:sz w:val="24"/>
          <w:szCs w:val="24"/>
          <w:lang w:val="en-US"/>
          <w14:textFill>
            <w14:solidFill>
              <w14:schemeClr w14:val="tx1"/>
            </w14:solidFill>
          </w14:textFill>
        </w:rPr>
        <w:t>D</w:t>
      </w:r>
      <w:r>
        <w:rPr>
          <w:rFonts w:ascii="Times New Roman" w:hAnsi="Times New Roman" w:cs="Times New Roman" w:eastAsiaTheme="minorEastAsia"/>
          <w:color w:val="000000" w:themeColor="text1"/>
          <w:w w:val="99"/>
          <w:sz w:val="24"/>
          <w:szCs w:val="24"/>
          <w:lang w:val="en-US"/>
          <w14:textFill>
            <w14:solidFill>
              <w14:schemeClr w14:val="tx1"/>
            </w14:solidFill>
          </w14:textFill>
        </w:rPr>
        <w:t>B23/T2913-2021）。</w:t>
      </w:r>
    </w:p>
    <w:p w14:paraId="1BB896F7">
      <w:pPr>
        <w:pStyle w:val="5"/>
        <w:keepNext/>
        <w:keepLines/>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4" w:name="_Toc117794519"/>
      <w:r>
        <w:rPr>
          <w:rFonts w:ascii="Times New Roman" w:hAnsi="Times New Roman" w:cs="Times New Roman" w:eastAsiaTheme="minorEastAsia"/>
          <w:color w:val="000000" w:themeColor="text1"/>
          <w:w w:val="99"/>
          <w:kern w:val="2"/>
          <w:lang w:val="en-US" w:bidi="ar-SA"/>
          <w14:textFill>
            <w14:solidFill>
              <w14:schemeClr w14:val="tx1"/>
            </w14:solidFill>
          </w14:textFill>
        </w:rPr>
        <w:t>2.1.5 其它相关依据及支持性文件</w:t>
      </w:r>
      <w:bookmarkEnd w:id="54"/>
    </w:p>
    <w:p w14:paraId="13844C5D">
      <w:pPr>
        <w:pStyle w:val="107"/>
        <w:tabs>
          <w:tab w:val="left" w:pos="1563"/>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1</w:t>
      </w:r>
      <w:r>
        <w:rPr>
          <w:rFonts w:ascii="Times New Roman" w:hAnsi="Times New Roman" w:cs="Times New Roman" w:eastAsiaTheme="minorEastAsia"/>
          <w:color w:val="000000" w:themeColor="text1"/>
          <w:w w:val="99"/>
          <w:sz w:val="24"/>
          <w:szCs w:val="24"/>
          <w14:textFill>
            <w14:solidFill>
              <w14:schemeClr w14:val="tx1"/>
            </w14:solidFill>
          </w14:textFill>
        </w:rPr>
        <w:t>）环境质量现状监测报告；</w:t>
      </w:r>
    </w:p>
    <w:p w14:paraId="55723BF7">
      <w:pPr>
        <w:tabs>
          <w:tab w:val="left" w:pos="1563"/>
        </w:tabs>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2</w:t>
      </w: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采油九厂龙虎泡作业区放空气治理工程</w:t>
      </w:r>
      <w:r>
        <w:rPr>
          <w:rFonts w:ascii="Times New Roman" w:hAnsi="Times New Roman" w:cs="Times New Roman" w:eastAsiaTheme="minorEastAsia"/>
          <w:color w:val="000000" w:themeColor="text1"/>
          <w:w w:val="99"/>
          <w:sz w:val="24"/>
          <w:szCs w:val="24"/>
          <w14:textFill>
            <w14:solidFill>
              <w14:schemeClr w14:val="tx1"/>
            </w14:solidFill>
          </w14:textFill>
        </w:rPr>
        <w:t>方案》（</w:t>
      </w:r>
      <w:r>
        <w:rPr>
          <w:rFonts w:ascii="Times New Roman" w:hAnsi="Times New Roman" w:cs="Times New Roman" w:eastAsiaTheme="minorEastAsia"/>
          <w:color w:val="000000" w:themeColor="text1"/>
          <w:w w:val="99"/>
          <w:sz w:val="24"/>
          <w:szCs w:val="24"/>
          <w:lang w:val="en-US"/>
          <w14:textFill>
            <w14:solidFill>
              <w14:schemeClr w14:val="tx1"/>
            </w14:solidFill>
          </w14:textFill>
        </w:rPr>
        <w:t>大庆油田有限责任公司</w:t>
      </w:r>
      <w:r>
        <w:rPr>
          <w:rFonts w:hint="eastAsia" w:ascii="Times New Roman" w:hAnsi="Times New Roman" w:cs="Times New Roman" w:eastAsiaTheme="minorEastAsia"/>
          <w:color w:val="000000" w:themeColor="text1"/>
          <w:w w:val="99"/>
          <w:sz w:val="24"/>
          <w:szCs w:val="24"/>
          <w:lang w:val="en-US" w:eastAsia="zh-CN"/>
          <w14:textFill>
            <w14:solidFill>
              <w14:schemeClr w14:val="tx1"/>
            </w14:solidFill>
          </w14:textFill>
        </w:rPr>
        <w:t>第五采油厂</w:t>
      </w: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2022年4月</w:t>
      </w:r>
      <w:r>
        <w:rPr>
          <w:rFonts w:ascii="Times New Roman" w:hAnsi="Times New Roman" w:cs="Times New Roman" w:eastAsiaTheme="minorEastAsia"/>
          <w:color w:val="000000" w:themeColor="text1"/>
          <w:w w:val="99"/>
          <w:sz w:val="24"/>
          <w:szCs w:val="24"/>
          <w14:textFill>
            <w14:solidFill>
              <w14:schemeClr w14:val="tx1"/>
            </w14:solidFill>
          </w14:textFill>
        </w:rPr>
        <w:t>）；</w:t>
      </w:r>
    </w:p>
    <w:p w14:paraId="55453E50">
      <w:pPr>
        <w:pStyle w:val="107"/>
        <w:tabs>
          <w:tab w:val="left" w:pos="1563"/>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3</w:t>
      </w: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hint="eastAsia" w:ascii="Times New Roman" w:hAnsi="Times New Roman" w:cs="Times New Roman" w:eastAsiaTheme="minorEastAsia"/>
          <w:color w:val="000000" w:themeColor="text1"/>
          <w:w w:val="99"/>
          <w:sz w:val="24"/>
          <w:szCs w:val="24"/>
          <w:lang w:eastAsia="zh-CN"/>
          <w14:textFill>
            <w14:solidFill>
              <w14:schemeClr w14:val="tx1"/>
            </w14:solidFill>
          </w14:textFill>
        </w:rPr>
        <w:t>第五采油厂</w:t>
      </w:r>
      <w:r>
        <w:rPr>
          <w:rFonts w:ascii="Times New Roman" w:hAnsi="Times New Roman" w:cs="Times New Roman" w:eastAsiaTheme="minorEastAsia"/>
          <w:color w:val="000000" w:themeColor="text1"/>
          <w:w w:val="99"/>
          <w:sz w:val="24"/>
          <w:szCs w:val="24"/>
          <w14:textFill>
            <w14:solidFill>
              <w14:schemeClr w14:val="tx1"/>
            </w14:solidFill>
          </w14:textFill>
        </w:rPr>
        <w:t>委托</w:t>
      </w:r>
      <w:r>
        <w:rPr>
          <w:rFonts w:hint="eastAsia" w:ascii="Times New Roman" w:hAnsi="Times New Roman" w:cs="Times New Roman" w:eastAsiaTheme="minorEastAsia"/>
          <w:color w:val="000000" w:themeColor="text1"/>
          <w:w w:val="99"/>
          <w:sz w:val="24"/>
          <w:szCs w:val="24"/>
          <w:lang w:eastAsia="zh-CN"/>
          <w14:textFill>
            <w14:solidFill>
              <w14:schemeClr w14:val="tx1"/>
            </w14:solidFill>
          </w14:textFill>
        </w:rPr>
        <w:t>湖南葆华环保有限公司</w:t>
      </w:r>
      <w:r>
        <w:rPr>
          <w:rFonts w:ascii="Times New Roman" w:hAnsi="Times New Roman" w:cs="Times New Roman" w:eastAsiaTheme="minorEastAsia"/>
          <w:color w:val="000000" w:themeColor="text1"/>
          <w:w w:val="99"/>
          <w:sz w:val="24"/>
          <w:szCs w:val="24"/>
          <w14:textFill>
            <w14:solidFill>
              <w14:schemeClr w14:val="tx1"/>
            </w14:solidFill>
          </w14:textFill>
        </w:rPr>
        <w:t>开展</w:t>
      </w:r>
      <w:r>
        <w:rPr>
          <w:rFonts w:hint="eastAsia" w:ascii="Times New Roman" w:hAnsi="Times New Roman" w:cs="Times New Roman" w:eastAsiaTheme="minorEastAsia"/>
          <w:color w:val="000000" w:themeColor="text1"/>
          <w:w w:val="99"/>
          <w:sz w:val="24"/>
          <w:szCs w:val="24"/>
          <w14:textFill>
            <w14:solidFill>
              <w14:schemeClr w14:val="tx1"/>
            </w14:solidFill>
          </w14:textFill>
        </w:rPr>
        <w:t>建设</w:t>
      </w:r>
      <w:r>
        <w:rPr>
          <w:rFonts w:ascii="Times New Roman" w:hAnsi="Times New Roman" w:cs="Times New Roman" w:eastAsiaTheme="minorEastAsia"/>
          <w:color w:val="000000" w:themeColor="text1"/>
          <w:w w:val="99"/>
          <w:sz w:val="24"/>
          <w:szCs w:val="24"/>
          <w14:textFill>
            <w14:solidFill>
              <w14:schemeClr w14:val="tx1"/>
            </w14:solidFill>
          </w14:textFill>
        </w:rPr>
        <w:t>项目环评咨询服务合同；</w:t>
      </w:r>
    </w:p>
    <w:p w14:paraId="1A7344B4">
      <w:pPr>
        <w:pStyle w:val="107"/>
        <w:tabs>
          <w:tab w:val="left" w:pos="1563"/>
        </w:tabs>
        <w:spacing w:line="440" w:lineRule="exact"/>
        <w:ind w:left="0" w:firstLine="474" w:firstLineChars="200"/>
        <w:jc w:val="both"/>
        <w:rPr>
          <w:rFonts w:ascii="Times New Roman" w:hAnsi="Times New Roman" w:cs="Times New Roman" w:eastAsiaTheme="minorEastAsia"/>
          <w:color w:val="000000" w:themeColor="text1"/>
          <w:w w:val="99"/>
          <w:sz w:val="28"/>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4</w:t>
      </w:r>
      <w:r>
        <w:rPr>
          <w:rFonts w:ascii="Times New Roman" w:hAnsi="Times New Roman" w:cs="Times New Roman" w:eastAsiaTheme="minorEastAsia"/>
          <w:color w:val="000000" w:themeColor="text1"/>
          <w:w w:val="99"/>
          <w:sz w:val="24"/>
          <w:szCs w:val="24"/>
          <w14:textFill>
            <w14:solidFill>
              <w14:schemeClr w14:val="tx1"/>
            </w14:solidFill>
          </w14:textFill>
        </w:rPr>
        <w:t>）建设单位提供的其他相关资料。</w:t>
      </w:r>
    </w:p>
    <w:p w14:paraId="531F7C4A">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55" w:name="_bookmark9"/>
      <w:bookmarkEnd w:id="55"/>
      <w:bookmarkStart w:id="56" w:name="_Toc117794520"/>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2.2 评价目的及原则</w:t>
      </w:r>
      <w:bookmarkEnd w:id="56"/>
    </w:p>
    <w:p w14:paraId="79F006FC">
      <w:pPr>
        <w:pStyle w:val="5"/>
        <w:keepNext/>
        <w:keepLines/>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7" w:name="_Toc117794521"/>
      <w:r>
        <w:rPr>
          <w:rFonts w:ascii="Times New Roman" w:hAnsi="Times New Roman" w:cs="Times New Roman" w:eastAsiaTheme="minorEastAsia"/>
          <w:color w:val="000000" w:themeColor="text1"/>
          <w:w w:val="99"/>
          <w:kern w:val="2"/>
          <w:lang w:val="en-US" w:bidi="ar-SA"/>
          <w14:textFill>
            <w14:solidFill>
              <w14:schemeClr w14:val="tx1"/>
            </w14:solidFill>
          </w14:textFill>
        </w:rPr>
        <w:t>2.2.1评价目的</w:t>
      </w:r>
      <w:bookmarkEnd w:id="57"/>
    </w:p>
    <w:p w14:paraId="0848E52A">
      <w:pPr>
        <w:pStyle w:val="107"/>
        <w:tabs>
          <w:tab w:val="left" w:pos="1563"/>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1</w:t>
      </w:r>
      <w:r>
        <w:rPr>
          <w:rFonts w:ascii="Times New Roman" w:hAnsi="Times New Roman" w:cs="Times New Roman" w:eastAsiaTheme="minorEastAsia"/>
          <w:color w:val="000000" w:themeColor="text1"/>
          <w:w w:val="99"/>
          <w:sz w:val="24"/>
          <w:szCs w:val="24"/>
          <w14:textFill>
            <w14:solidFill>
              <w14:schemeClr w14:val="tx1"/>
            </w14:solidFill>
          </w14:textFill>
        </w:rPr>
        <w:t>）对该建设项目的工程内容和工艺路线进行分析，明确污染源和可能产生的污染因素，明确污染物的排放源强；</w:t>
      </w:r>
    </w:p>
    <w:p w14:paraId="6F8C3A39">
      <w:pPr>
        <w:pStyle w:val="107"/>
        <w:tabs>
          <w:tab w:val="left" w:pos="1563"/>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2</w:t>
      </w:r>
      <w:r>
        <w:rPr>
          <w:rFonts w:ascii="Times New Roman" w:hAnsi="Times New Roman" w:cs="Times New Roman" w:eastAsiaTheme="minorEastAsia"/>
          <w:color w:val="000000" w:themeColor="text1"/>
          <w:w w:val="99"/>
          <w:sz w:val="24"/>
          <w:szCs w:val="24"/>
          <w14:textFill>
            <w14:solidFill>
              <w14:schemeClr w14:val="tx1"/>
            </w14:solidFill>
          </w14:textFill>
        </w:rPr>
        <w:t>）对建设项目所在地的自然环境和环境质量进行现状调查，得到当地的环境质量现状的结论及存在的主要环境制约因素；</w:t>
      </w:r>
    </w:p>
    <w:p w14:paraId="71A27EDC">
      <w:pPr>
        <w:pStyle w:val="107"/>
        <w:tabs>
          <w:tab w:val="left" w:pos="1563"/>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3</w:t>
      </w:r>
      <w:r>
        <w:rPr>
          <w:rFonts w:ascii="Times New Roman" w:hAnsi="Times New Roman" w:cs="Times New Roman" w:eastAsiaTheme="minorEastAsia"/>
          <w:color w:val="000000" w:themeColor="text1"/>
          <w:w w:val="99"/>
          <w:sz w:val="24"/>
          <w:szCs w:val="24"/>
          <w14:textFill>
            <w14:solidFill>
              <w14:schemeClr w14:val="tx1"/>
            </w14:solidFill>
          </w14:textFill>
        </w:rPr>
        <w:t>）分析、预测、评价油田开发对评价区域内大气环境、地下水环境、声环境、土壤环境、生态环境和环境风险可能造成的影响程度和范围；</w:t>
      </w:r>
    </w:p>
    <w:p w14:paraId="01E9BC54">
      <w:pPr>
        <w:pStyle w:val="107"/>
        <w:tabs>
          <w:tab w:val="left" w:pos="1563"/>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4</w:t>
      </w:r>
      <w:r>
        <w:rPr>
          <w:rFonts w:ascii="Times New Roman" w:hAnsi="Times New Roman" w:cs="Times New Roman" w:eastAsiaTheme="minorEastAsia"/>
          <w:color w:val="000000" w:themeColor="text1"/>
          <w:w w:val="99"/>
          <w:sz w:val="24"/>
          <w:szCs w:val="24"/>
          <w14:textFill>
            <w14:solidFill>
              <w14:schemeClr w14:val="tx1"/>
            </w14:solidFill>
          </w14:textFill>
        </w:rPr>
        <w:t>）对油田开发过程中拟采取的环保措施进行论证，提出污染防治措施及生态保护对策与建议；</w:t>
      </w:r>
    </w:p>
    <w:p w14:paraId="7EEAA679">
      <w:pPr>
        <w:pStyle w:val="107"/>
        <w:tabs>
          <w:tab w:val="left" w:pos="1563"/>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5</w:t>
      </w:r>
      <w:r>
        <w:rPr>
          <w:rFonts w:ascii="Times New Roman" w:hAnsi="Times New Roman" w:cs="Times New Roman" w:eastAsiaTheme="minorEastAsia"/>
          <w:color w:val="000000" w:themeColor="text1"/>
          <w:w w:val="99"/>
          <w:sz w:val="24"/>
          <w:szCs w:val="24"/>
          <w14:textFill>
            <w14:solidFill>
              <w14:schemeClr w14:val="tx1"/>
            </w14:solidFill>
          </w14:textFill>
        </w:rPr>
        <w:t>）从环境保护和环境风险角度论证油田开发建设工程的可行性，并从设计、生产、管理和环境污染防治等方面提出环境保护和减缓措施，最大限度降低油田开发对环境的不利影响，确保经济、社会和环境的可持续发展。</w:t>
      </w:r>
    </w:p>
    <w:p w14:paraId="0B016680">
      <w:pPr>
        <w:pStyle w:val="5"/>
        <w:keepNext/>
        <w:keepLines/>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8" w:name="_Toc117794522"/>
      <w:r>
        <w:rPr>
          <w:rFonts w:ascii="Times New Roman" w:hAnsi="Times New Roman" w:cs="Times New Roman" w:eastAsiaTheme="minorEastAsia"/>
          <w:color w:val="000000" w:themeColor="text1"/>
          <w:w w:val="99"/>
          <w:kern w:val="2"/>
          <w:lang w:val="en-US" w:bidi="ar-SA"/>
          <w14:textFill>
            <w14:solidFill>
              <w14:schemeClr w14:val="tx1"/>
            </w14:solidFill>
          </w14:textFill>
        </w:rPr>
        <w:t>2.2.2评价原则</w:t>
      </w:r>
      <w:bookmarkEnd w:id="58"/>
    </w:p>
    <w:p w14:paraId="4FC5EE54">
      <w:pPr>
        <w:pStyle w:val="107"/>
        <w:tabs>
          <w:tab w:val="left" w:pos="1563"/>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1</w:t>
      </w:r>
      <w:r>
        <w:rPr>
          <w:rFonts w:ascii="Times New Roman" w:hAnsi="Times New Roman" w:cs="Times New Roman" w:eastAsiaTheme="minorEastAsia"/>
          <w:color w:val="000000" w:themeColor="text1"/>
          <w:w w:val="99"/>
          <w:sz w:val="24"/>
          <w:szCs w:val="24"/>
          <w14:textFill>
            <w14:solidFill>
              <w14:schemeClr w14:val="tx1"/>
            </w14:solidFill>
          </w14:textFill>
        </w:rPr>
        <w:t>）依法评价</w:t>
      </w:r>
    </w:p>
    <w:p w14:paraId="7754DE56">
      <w:pPr>
        <w:pStyle w:val="107"/>
        <w:tabs>
          <w:tab w:val="left" w:pos="1563"/>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贯彻执行我国环境保护相关法律法规、标准、政策和规划等，优化项目建设，服务环境管理。</w:t>
      </w:r>
    </w:p>
    <w:p w14:paraId="0DE27092">
      <w:pPr>
        <w:pStyle w:val="107"/>
        <w:tabs>
          <w:tab w:val="left" w:pos="1563"/>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2</w:t>
      </w:r>
      <w:r>
        <w:rPr>
          <w:rFonts w:ascii="Times New Roman" w:hAnsi="Times New Roman" w:cs="Times New Roman" w:eastAsiaTheme="minorEastAsia"/>
          <w:color w:val="000000" w:themeColor="text1"/>
          <w:w w:val="99"/>
          <w:sz w:val="24"/>
          <w:szCs w:val="24"/>
          <w14:textFill>
            <w14:solidFill>
              <w14:schemeClr w14:val="tx1"/>
            </w14:solidFill>
          </w14:textFill>
        </w:rPr>
        <w:t>）科学评价</w:t>
      </w:r>
    </w:p>
    <w:p w14:paraId="43055719">
      <w:pPr>
        <w:pStyle w:val="107"/>
        <w:tabs>
          <w:tab w:val="left" w:pos="1563"/>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规范环境影响评价方法，科学分析项目建设对环境质量的影响。</w:t>
      </w:r>
    </w:p>
    <w:p w14:paraId="3EEB2D8D">
      <w:pPr>
        <w:pStyle w:val="107"/>
        <w:tabs>
          <w:tab w:val="left" w:pos="1563"/>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3</w:t>
      </w:r>
      <w:r>
        <w:rPr>
          <w:rFonts w:ascii="Times New Roman" w:hAnsi="Times New Roman" w:cs="Times New Roman" w:eastAsiaTheme="minorEastAsia"/>
          <w:color w:val="000000" w:themeColor="text1"/>
          <w:w w:val="99"/>
          <w:sz w:val="24"/>
          <w:szCs w:val="24"/>
          <w14:textFill>
            <w14:solidFill>
              <w14:schemeClr w14:val="tx1"/>
            </w14:solidFill>
          </w14:textFill>
        </w:rPr>
        <w:t>）突出重点</w:t>
      </w:r>
    </w:p>
    <w:p w14:paraId="5F3F6166">
      <w:pPr>
        <w:pStyle w:val="107"/>
        <w:tabs>
          <w:tab w:val="left" w:pos="1563"/>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根据建设项目的工程内容及其特点，明确与环境要素间的作用效应关系，根据规划环境影响评价结论和审查意见，充分利用符合时效的数据资料及成果，对建设项目主要环境影响予以重点分析和评价。</w:t>
      </w:r>
    </w:p>
    <w:p w14:paraId="1D886477">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59" w:name="_Toc117794523"/>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2.3 环境影响识别与评价因子筛选</w:t>
      </w:r>
      <w:bookmarkEnd w:id="59"/>
    </w:p>
    <w:p w14:paraId="1482FDFA">
      <w:pPr>
        <w:pStyle w:val="5"/>
        <w:keepNext/>
        <w:keepLines/>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60" w:name="_Toc117794524"/>
      <w:r>
        <w:rPr>
          <w:rFonts w:ascii="Times New Roman" w:hAnsi="Times New Roman" w:cs="Times New Roman" w:eastAsiaTheme="minorEastAsia"/>
          <w:color w:val="000000" w:themeColor="text1"/>
          <w:w w:val="99"/>
          <w:kern w:val="2"/>
          <w:lang w:val="en-US" w:bidi="ar-SA"/>
          <w14:textFill>
            <w14:solidFill>
              <w14:schemeClr w14:val="tx1"/>
            </w14:solidFill>
          </w14:textFill>
        </w:rPr>
        <w:t>2.3.1 评价时段</w:t>
      </w:r>
      <w:bookmarkEnd w:id="60"/>
    </w:p>
    <w:p w14:paraId="00562402">
      <w:pPr>
        <w:pStyle w:val="31"/>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施工期和运行期。</w:t>
      </w:r>
    </w:p>
    <w:p w14:paraId="03B01F72">
      <w:pPr>
        <w:pStyle w:val="5"/>
        <w:keepNext/>
        <w:keepLines/>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61" w:name="_Toc117794525"/>
      <w:r>
        <w:rPr>
          <w:rFonts w:ascii="Times New Roman" w:hAnsi="Times New Roman" w:cs="Times New Roman" w:eastAsiaTheme="minorEastAsia"/>
          <w:color w:val="000000" w:themeColor="text1"/>
          <w:w w:val="99"/>
          <w:kern w:val="2"/>
          <w:lang w:val="en-US" w:bidi="ar-SA"/>
          <w14:textFill>
            <w14:solidFill>
              <w14:schemeClr w14:val="tx1"/>
            </w14:solidFill>
          </w14:textFill>
        </w:rPr>
        <w:t>2.3.2 环境影响识别</w:t>
      </w:r>
      <w:bookmarkEnd w:id="61"/>
    </w:p>
    <w:p w14:paraId="16B30D2B">
      <w:pPr>
        <w:pStyle w:val="31"/>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本工程建设对环境的影响，根据其特征可分为施工期影响和生产运营期影响两部分。</w:t>
      </w:r>
    </w:p>
    <w:p w14:paraId="6E0CE7AC">
      <w:pPr>
        <w:pStyle w:val="31"/>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施工期的环境影响主要为施工过程中施工活动对周围环境产生的不利影响。一种影响是对土壤扰动、自然植被等的破坏使土壤裸露在外引起土壤沙化，这种影响是比较持久的，在施工完成后的一段时间内仍将存在；另一种是在施工过程中产生的</w:t>
      </w:r>
      <w:r>
        <w:rPr>
          <w:rFonts w:ascii="Times New Roman" w:hAnsi="Times New Roman" w:cs="Times New Roman" w:eastAsiaTheme="minorEastAsia"/>
          <w:color w:val="000000" w:themeColor="text1"/>
          <w:w w:val="99"/>
          <w:sz w:val="24"/>
          <w:szCs w:val="24"/>
          <w:lang w:val="en-US"/>
          <w14:textFill>
            <w14:solidFill>
              <w14:schemeClr w14:val="tx1"/>
            </w14:solidFill>
          </w14:textFill>
        </w:rPr>
        <w:t>动土扬尘和运输车辆产生的扬尘</w:t>
      </w:r>
      <w:r>
        <w:rPr>
          <w:rFonts w:ascii="Times New Roman" w:hAnsi="Times New Roman" w:cs="Times New Roman" w:eastAsiaTheme="minorEastAsia"/>
          <w:color w:val="000000" w:themeColor="text1"/>
          <w:w w:val="99"/>
          <w:sz w:val="24"/>
          <w:szCs w:val="24"/>
          <w14:textFill>
            <w14:solidFill>
              <w14:schemeClr w14:val="tx1"/>
            </w14:solidFill>
          </w14:textFill>
        </w:rPr>
        <w:t>，这种影响是短暂的，</w:t>
      </w:r>
      <w:r>
        <w:rPr>
          <w:rFonts w:ascii="Times New Roman" w:hAnsi="Times New Roman" w:cs="Times New Roman" w:eastAsiaTheme="minorEastAsia"/>
          <w:color w:val="000000" w:themeColor="text1"/>
          <w:w w:val="99"/>
          <w:sz w:val="24"/>
          <w:szCs w:val="24"/>
          <w:lang w:val="en-US"/>
          <w14:textFill>
            <w14:solidFill>
              <w14:schemeClr w14:val="tx1"/>
            </w14:solidFill>
          </w14:textFill>
        </w:rPr>
        <w:t>通过采取洒水抑尘、运输车辆减速慢行等措施，</w:t>
      </w:r>
      <w:r>
        <w:rPr>
          <w:rFonts w:ascii="Times New Roman" w:hAnsi="Times New Roman" w:cs="Times New Roman" w:eastAsiaTheme="minorEastAsia"/>
          <w:color w:val="000000" w:themeColor="text1"/>
          <w:w w:val="99"/>
          <w:sz w:val="24"/>
          <w:szCs w:val="24"/>
          <w14:textFill>
            <w14:solidFill>
              <w14:schemeClr w14:val="tx1"/>
            </w14:solidFill>
          </w14:textFill>
        </w:rPr>
        <w:t>待施工结束后将随之消失。</w:t>
      </w:r>
    </w:p>
    <w:p w14:paraId="00209C39">
      <w:pPr>
        <w:pStyle w:val="31"/>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运营期的环境影响主要为噪声对环境的影响，及管线发生泄漏等事故对周围地下水和土壤的影响。</w:t>
      </w:r>
    </w:p>
    <w:p w14:paraId="7E15F3C5">
      <w:pPr>
        <w:pStyle w:val="31"/>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根据工程实际情况，结合工程区域的自然环境特征，采用矩阵法对工程建设期间和运营期产生的影响进行识别，具体见表2.3-1。</w:t>
      </w:r>
    </w:p>
    <w:p w14:paraId="2B35CE32">
      <w:pPr>
        <w:pStyle w:val="31"/>
        <w:spacing w:line="500" w:lineRule="exact"/>
        <w:ind w:firstLine="476" w:firstLineChars="200"/>
        <w:jc w:val="both"/>
        <w:rPr>
          <w:rFonts w:ascii="Times New Roman" w:hAnsi="Times New Roman" w:cs="Times New Roman" w:eastAsiaTheme="minorEastAsia"/>
          <w:b/>
          <w:bCs/>
          <w:color w:val="000000" w:themeColor="text1"/>
          <w:w w:val="99"/>
          <w:sz w:val="24"/>
          <w:szCs w:val="24"/>
          <w14:textFill>
            <w14:solidFill>
              <w14:schemeClr w14:val="tx1"/>
            </w14:solidFill>
          </w14:textFill>
        </w:rPr>
      </w:pPr>
      <w:r>
        <w:rPr>
          <w:rFonts w:ascii="Times New Roman" w:hAnsi="Times New Roman" w:cs="Times New Roman" w:eastAsiaTheme="minorEastAsia"/>
          <w:b/>
          <w:bCs/>
          <w:color w:val="000000" w:themeColor="text1"/>
          <w:w w:val="99"/>
          <w:sz w:val="24"/>
          <w:szCs w:val="24"/>
          <w14:textFill>
            <w14:solidFill>
              <w14:schemeClr w14:val="tx1"/>
            </w14:solidFill>
          </w14:textFill>
        </w:rPr>
        <w:t>表2.3-1</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 xml:space="preserve">    </w:t>
      </w:r>
      <w:r>
        <w:rPr>
          <w:rFonts w:ascii="Times New Roman" w:hAnsi="Times New Roman" w:cs="Times New Roman" w:eastAsiaTheme="minorEastAsia"/>
          <w:b/>
          <w:bCs/>
          <w:color w:val="000000" w:themeColor="text1"/>
          <w:w w:val="99"/>
          <w:sz w:val="24"/>
          <w:szCs w:val="24"/>
          <w14:textFill>
            <w14:solidFill>
              <w14:schemeClr w14:val="tx1"/>
            </w14:solidFill>
          </w14:textFill>
        </w:rPr>
        <w:t>环境影响因素识别</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4"/>
        <w:gridCol w:w="467"/>
        <w:gridCol w:w="1104"/>
        <w:gridCol w:w="1008"/>
        <w:gridCol w:w="1838"/>
        <w:gridCol w:w="993"/>
        <w:gridCol w:w="993"/>
        <w:gridCol w:w="850"/>
        <w:gridCol w:w="993"/>
      </w:tblGrid>
      <w:tr w14:paraId="1413C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59" w:type="pct"/>
            <w:vMerge w:val="restart"/>
            <w:tcBorders>
              <w:tl2br w:val="single" w:color="000000" w:sz="4" w:space="0"/>
              <w:tr2bl w:val="nil"/>
            </w:tcBorders>
            <w:vAlign w:val="center"/>
          </w:tcPr>
          <w:p w14:paraId="4A341F2B">
            <w:pPr>
              <w:pStyle w:val="108"/>
              <w:spacing w:line="360" w:lineRule="exact"/>
              <w:ind w:firstLine="207" w:firstLineChars="100"/>
              <w:jc w:val="righ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影响</w:t>
            </w:r>
          </w:p>
          <w:p w14:paraId="4C9C87A4">
            <w:pPr>
              <w:pStyle w:val="108"/>
              <w:spacing w:line="360" w:lineRule="exact"/>
              <w:ind w:firstLine="207" w:firstLineChars="100"/>
              <w:jc w:val="righ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因素</w:t>
            </w:r>
          </w:p>
          <w:p w14:paraId="2C0C824F">
            <w:pPr>
              <w:pStyle w:val="108"/>
              <w:spacing w:line="360" w:lineRule="exact"/>
              <w:jc w:val="both"/>
              <w:rPr>
                <w:rFonts w:eastAsiaTheme="minorEastAsia"/>
                <w:color w:val="000000" w:themeColor="text1"/>
                <w:w w:val="99"/>
                <w:kern w:val="2"/>
                <w:sz w:val="21"/>
                <w:szCs w:val="21"/>
                <w:lang w:val="en-US" w:bidi="ar-SA"/>
                <w14:textFill>
                  <w14:solidFill>
                    <w14:schemeClr w14:val="tx1"/>
                  </w14:solidFill>
                </w14:textFill>
              </w:rPr>
            </w:pPr>
          </w:p>
          <w:p w14:paraId="76EFE178">
            <w:pPr>
              <w:pStyle w:val="108"/>
              <w:spacing w:line="360" w:lineRule="exact"/>
              <w:jc w:val="both"/>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环境</w:t>
            </w:r>
          </w:p>
          <w:p w14:paraId="6BA9B173">
            <w:pPr>
              <w:pStyle w:val="108"/>
              <w:spacing w:line="360" w:lineRule="exact"/>
              <w:jc w:val="both"/>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因素</w:t>
            </w:r>
          </w:p>
        </w:tc>
        <w:tc>
          <w:tcPr>
            <w:tcW w:w="2979" w:type="pct"/>
            <w:gridSpan w:val="5"/>
            <w:tcBorders>
              <w:tl2br w:val="nil"/>
              <w:tr2bl w:val="nil"/>
            </w:tcBorders>
            <w:vAlign w:val="center"/>
          </w:tcPr>
          <w:p w14:paraId="68098887">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施工期</w:t>
            </w:r>
          </w:p>
        </w:tc>
        <w:tc>
          <w:tcPr>
            <w:tcW w:w="1562" w:type="pct"/>
            <w:gridSpan w:val="3"/>
            <w:tcBorders>
              <w:tl2br w:val="nil"/>
              <w:tr2bl w:val="nil"/>
            </w:tcBorders>
            <w:vAlign w:val="center"/>
          </w:tcPr>
          <w:p w14:paraId="529F5696">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运行期</w:t>
            </w:r>
          </w:p>
        </w:tc>
      </w:tr>
      <w:tr w14:paraId="5FFE8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459" w:type="pct"/>
            <w:vMerge w:val="continue"/>
            <w:tcBorders>
              <w:tl2br w:val="single" w:color="000000" w:sz="4" w:space="0"/>
              <w:tr2bl w:val="nil"/>
            </w:tcBorders>
            <w:vAlign w:val="center"/>
          </w:tcPr>
          <w:p w14:paraId="56BE892D">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257" w:type="pct"/>
            <w:vMerge w:val="restart"/>
            <w:tcBorders>
              <w:right w:val="single" w:color="auto" w:sz="4" w:space="0"/>
              <w:tl2br w:val="nil"/>
              <w:tr2bl w:val="nil"/>
            </w:tcBorders>
            <w:vAlign w:val="center"/>
          </w:tcPr>
          <w:p w14:paraId="66A1649A">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占地</w:t>
            </w:r>
          </w:p>
        </w:tc>
        <w:tc>
          <w:tcPr>
            <w:tcW w:w="608" w:type="pct"/>
            <w:tcBorders>
              <w:left w:val="single" w:color="auto" w:sz="4" w:space="0"/>
              <w:bottom w:val="single" w:color="auto" w:sz="4" w:space="0"/>
              <w:right w:val="single" w:color="auto" w:sz="4" w:space="0"/>
              <w:tl2br w:val="nil"/>
              <w:tr2bl w:val="nil"/>
            </w:tcBorders>
            <w:vAlign w:val="center"/>
          </w:tcPr>
          <w:p w14:paraId="589D5F4E">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废气</w:t>
            </w:r>
          </w:p>
        </w:tc>
        <w:tc>
          <w:tcPr>
            <w:tcW w:w="555" w:type="pct"/>
            <w:tcBorders>
              <w:bottom w:val="single" w:color="auto" w:sz="4" w:space="0"/>
              <w:right w:val="single" w:color="auto" w:sz="4" w:space="0"/>
              <w:tl2br w:val="nil"/>
              <w:tr2bl w:val="nil"/>
            </w:tcBorders>
            <w:vAlign w:val="center"/>
          </w:tcPr>
          <w:p w14:paraId="285E1ABD">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废水</w:t>
            </w:r>
          </w:p>
        </w:tc>
        <w:tc>
          <w:tcPr>
            <w:tcW w:w="1012" w:type="pct"/>
            <w:tcBorders>
              <w:left w:val="single" w:color="auto" w:sz="4" w:space="0"/>
              <w:bottom w:val="single" w:color="auto" w:sz="4" w:space="0"/>
              <w:tl2br w:val="nil"/>
              <w:tr2bl w:val="nil"/>
            </w:tcBorders>
            <w:vAlign w:val="center"/>
          </w:tcPr>
          <w:p w14:paraId="3D34919D">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固废</w:t>
            </w:r>
          </w:p>
        </w:tc>
        <w:tc>
          <w:tcPr>
            <w:tcW w:w="547" w:type="pct"/>
            <w:tcBorders>
              <w:bottom w:val="single" w:color="auto" w:sz="4" w:space="0"/>
              <w:tl2br w:val="nil"/>
              <w:tr2bl w:val="nil"/>
            </w:tcBorders>
            <w:vAlign w:val="center"/>
          </w:tcPr>
          <w:p w14:paraId="24C2FC6B">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噪声</w:t>
            </w:r>
          </w:p>
        </w:tc>
        <w:tc>
          <w:tcPr>
            <w:tcW w:w="547" w:type="pct"/>
            <w:tcBorders>
              <w:bottom w:val="single" w:color="auto" w:sz="4" w:space="0"/>
              <w:tl2br w:val="nil"/>
              <w:tr2bl w:val="nil"/>
            </w:tcBorders>
            <w:vAlign w:val="center"/>
          </w:tcPr>
          <w:p w14:paraId="5CE83520">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废气</w:t>
            </w:r>
          </w:p>
        </w:tc>
        <w:tc>
          <w:tcPr>
            <w:tcW w:w="468" w:type="pct"/>
            <w:tcBorders>
              <w:bottom w:val="single" w:color="auto" w:sz="4" w:space="0"/>
              <w:right w:val="single" w:color="auto" w:sz="4" w:space="0"/>
              <w:tl2br w:val="nil"/>
              <w:tr2bl w:val="nil"/>
            </w:tcBorders>
            <w:vAlign w:val="center"/>
          </w:tcPr>
          <w:p w14:paraId="675A5A2D">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噪声</w:t>
            </w:r>
          </w:p>
        </w:tc>
        <w:tc>
          <w:tcPr>
            <w:tcW w:w="547" w:type="pct"/>
            <w:tcBorders>
              <w:left w:val="single" w:color="auto" w:sz="4" w:space="0"/>
              <w:bottom w:val="single" w:color="auto" w:sz="4" w:space="0"/>
              <w:tl2br w:val="nil"/>
              <w:tr2bl w:val="nil"/>
            </w:tcBorders>
            <w:vAlign w:val="center"/>
          </w:tcPr>
          <w:p w14:paraId="1042713A">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风险</w:t>
            </w:r>
          </w:p>
        </w:tc>
      </w:tr>
      <w:tr w14:paraId="1EE04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3" w:hRule="atLeast"/>
        </w:trPr>
        <w:tc>
          <w:tcPr>
            <w:tcW w:w="459" w:type="pct"/>
            <w:vMerge w:val="continue"/>
            <w:tcBorders>
              <w:bottom w:val="single" w:color="000000" w:sz="4" w:space="0"/>
              <w:tl2br w:val="single" w:color="000000" w:sz="4" w:space="0"/>
              <w:tr2bl w:val="nil"/>
            </w:tcBorders>
            <w:vAlign w:val="center"/>
          </w:tcPr>
          <w:p w14:paraId="41C3BD99">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257" w:type="pct"/>
            <w:vMerge w:val="continue"/>
            <w:tcBorders>
              <w:right w:val="single" w:color="auto" w:sz="4" w:space="0"/>
              <w:tl2br w:val="nil"/>
              <w:tr2bl w:val="nil"/>
            </w:tcBorders>
            <w:vAlign w:val="center"/>
          </w:tcPr>
          <w:p w14:paraId="0D4D682F">
            <w:pPr>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08" w:type="pct"/>
            <w:tcBorders>
              <w:top w:val="single" w:color="auto" w:sz="4" w:space="0"/>
              <w:left w:val="single" w:color="auto" w:sz="4" w:space="0"/>
              <w:right w:val="single" w:color="auto" w:sz="4" w:space="0"/>
              <w:tl2br w:val="nil"/>
              <w:tr2bl w:val="nil"/>
            </w:tcBorders>
            <w:vAlign w:val="center"/>
          </w:tcPr>
          <w:p w14:paraId="6DA27F21">
            <w:pPr>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扬尘、车辆废气、焊接烟气等</w:t>
            </w:r>
          </w:p>
        </w:tc>
        <w:tc>
          <w:tcPr>
            <w:tcW w:w="555" w:type="pct"/>
            <w:tcBorders>
              <w:top w:val="single" w:color="auto" w:sz="4" w:space="0"/>
              <w:right w:val="single" w:color="auto" w:sz="4" w:space="0"/>
              <w:tl2br w:val="nil"/>
              <w:tr2bl w:val="nil"/>
            </w:tcBorders>
            <w:vAlign w:val="center"/>
          </w:tcPr>
          <w:p w14:paraId="0DF40DB3">
            <w:pPr>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生活污水、</w:t>
            </w: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试压废水</w:t>
            </w:r>
          </w:p>
        </w:tc>
        <w:tc>
          <w:tcPr>
            <w:tcW w:w="1012" w:type="pct"/>
            <w:tcBorders>
              <w:top w:val="single" w:color="auto" w:sz="4" w:space="0"/>
              <w:left w:val="single" w:color="auto" w:sz="4" w:space="0"/>
              <w:tl2br w:val="nil"/>
              <w:tr2bl w:val="nil"/>
            </w:tcBorders>
            <w:vAlign w:val="center"/>
          </w:tcPr>
          <w:p w14:paraId="66BE577A">
            <w:pPr>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清淤油泥、废旧设备、生活垃圾、建筑垃圾、施工废料</w:t>
            </w:r>
          </w:p>
        </w:tc>
        <w:tc>
          <w:tcPr>
            <w:tcW w:w="547" w:type="pct"/>
            <w:tcBorders>
              <w:top w:val="single" w:color="auto" w:sz="4" w:space="0"/>
              <w:tl2br w:val="nil"/>
              <w:tr2bl w:val="nil"/>
            </w:tcBorders>
            <w:vAlign w:val="center"/>
          </w:tcPr>
          <w:p w14:paraId="2F2EE027">
            <w:pPr>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施工机械、运输车辆</w:t>
            </w:r>
          </w:p>
        </w:tc>
        <w:tc>
          <w:tcPr>
            <w:tcW w:w="547" w:type="pct"/>
            <w:tcBorders>
              <w:top w:val="single" w:color="auto" w:sz="4" w:space="0"/>
              <w:tl2br w:val="nil"/>
              <w:tr2bl w:val="nil"/>
            </w:tcBorders>
            <w:vAlign w:val="center"/>
          </w:tcPr>
          <w:p w14:paraId="7C0DAE2D">
            <w:pPr>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非甲烷总烃</w:t>
            </w:r>
          </w:p>
        </w:tc>
        <w:tc>
          <w:tcPr>
            <w:tcW w:w="468" w:type="pct"/>
            <w:tcBorders>
              <w:top w:val="single" w:color="auto" w:sz="4" w:space="0"/>
              <w:tl2br w:val="nil"/>
              <w:tr2bl w:val="nil"/>
            </w:tcBorders>
            <w:vAlign w:val="center"/>
          </w:tcPr>
          <w:p w14:paraId="345A032C">
            <w:pPr>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机泵噪声</w:t>
            </w:r>
          </w:p>
        </w:tc>
        <w:tc>
          <w:tcPr>
            <w:tcW w:w="547" w:type="pct"/>
            <w:tcBorders>
              <w:top w:val="single" w:color="auto" w:sz="4" w:space="0"/>
              <w:tl2br w:val="nil"/>
              <w:tr2bl w:val="nil"/>
            </w:tcBorders>
            <w:vAlign w:val="center"/>
          </w:tcPr>
          <w:p w14:paraId="7C388200">
            <w:pPr>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管线泄漏、火灾等</w:t>
            </w:r>
          </w:p>
        </w:tc>
      </w:tr>
      <w:tr w14:paraId="7D7E3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459" w:type="pct"/>
            <w:tcBorders>
              <w:tl2br w:val="nil"/>
              <w:tr2bl w:val="nil"/>
            </w:tcBorders>
            <w:vAlign w:val="center"/>
          </w:tcPr>
          <w:p w14:paraId="1CA11D92">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空气</w:t>
            </w:r>
          </w:p>
        </w:tc>
        <w:tc>
          <w:tcPr>
            <w:tcW w:w="257" w:type="pct"/>
            <w:tcBorders>
              <w:right w:val="single" w:color="auto" w:sz="4" w:space="0"/>
              <w:tl2br w:val="nil"/>
              <w:tr2bl w:val="nil"/>
            </w:tcBorders>
            <w:vAlign w:val="center"/>
          </w:tcPr>
          <w:p w14:paraId="6BF81D23">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w:t>
            </w:r>
          </w:p>
        </w:tc>
        <w:tc>
          <w:tcPr>
            <w:tcW w:w="608" w:type="pct"/>
            <w:tcBorders>
              <w:left w:val="single" w:color="auto" w:sz="4" w:space="0"/>
              <w:right w:val="single" w:color="auto" w:sz="4" w:space="0"/>
              <w:tl2br w:val="nil"/>
              <w:tr2bl w:val="nil"/>
            </w:tcBorders>
            <w:vAlign w:val="center"/>
          </w:tcPr>
          <w:p w14:paraId="2882C346">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-SN</w:t>
            </w:r>
          </w:p>
        </w:tc>
        <w:tc>
          <w:tcPr>
            <w:tcW w:w="555" w:type="pct"/>
            <w:tcBorders>
              <w:right w:val="single" w:color="auto" w:sz="4" w:space="0"/>
              <w:tl2br w:val="nil"/>
              <w:tr2bl w:val="nil"/>
            </w:tcBorders>
            <w:vAlign w:val="center"/>
          </w:tcPr>
          <w:p w14:paraId="3B8A1C23">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-SN</w:t>
            </w:r>
          </w:p>
        </w:tc>
        <w:tc>
          <w:tcPr>
            <w:tcW w:w="1012" w:type="pct"/>
            <w:tcBorders>
              <w:left w:val="single" w:color="auto" w:sz="4" w:space="0"/>
              <w:tl2br w:val="nil"/>
              <w:tr2bl w:val="nil"/>
            </w:tcBorders>
            <w:vAlign w:val="center"/>
          </w:tcPr>
          <w:p w14:paraId="3C663E09">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-SN</w:t>
            </w:r>
          </w:p>
        </w:tc>
        <w:tc>
          <w:tcPr>
            <w:tcW w:w="547" w:type="pct"/>
            <w:tcBorders>
              <w:tl2br w:val="nil"/>
              <w:tr2bl w:val="nil"/>
            </w:tcBorders>
            <w:vAlign w:val="center"/>
          </w:tcPr>
          <w:p w14:paraId="3966B883">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w:t>
            </w:r>
          </w:p>
        </w:tc>
        <w:tc>
          <w:tcPr>
            <w:tcW w:w="547" w:type="pct"/>
            <w:tcBorders>
              <w:tl2br w:val="nil"/>
              <w:tr2bl w:val="nil"/>
            </w:tcBorders>
            <w:vAlign w:val="center"/>
          </w:tcPr>
          <w:p w14:paraId="2E45FE8B">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sz w:val="21"/>
                <w:szCs w:val="18"/>
                <w14:textFill>
                  <w14:solidFill>
                    <w14:schemeClr w14:val="tx1"/>
                  </w14:solidFill>
                </w14:textFill>
              </w:rPr>
              <w:t>-L</w:t>
            </w:r>
            <w:r>
              <w:rPr>
                <w:rFonts w:eastAsiaTheme="minorEastAsia"/>
                <w:color w:val="000000" w:themeColor="text1"/>
                <w:w w:val="99"/>
                <w:sz w:val="21"/>
                <w:szCs w:val="18"/>
                <w:lang w:val="en-US"/>
                <w14:textFill>
                  <w14:solidFill>
                    <w14:schemeClr w14:val="tx1"/>
                  </w14:solidFill>
                </w14:textFill>
              </w:rPr>
              <w:t>N</w:t>
            </w:r>
          </w:p>
        </w:tc>
        <w:tc>
          <w:tcPr>
            <w:tcW w:w="468" w:type="pct"/>
            <w:tcBorders>
              <w:tl2br w:val="nil"/>
              <w:tr2bl w:val="nil"/>
            </w:tcBorders>
            <w:vAlign w:val="center"/>
          </w:tcPr>
          <w:p w14:paraId="34C139E1">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w:t>
            </w:r>
          </w:p>
        </w:tc>
        <w:tc>
          <w:tcPr>
            <w:tcW w:w="547" w:type="pct"/>
            <w:tcBorders>
              <w:tl2br w:val="nil"/>
              <w:tr2bl w:val="nil"/>
            </w:tcBorders>
            <w:vAlign w:val="center"/>
          </w:tcPr>
          <w:p w14:paraId="73D640BB">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-SA</w:t>
            </w:r>
          </w:p>
        </w:tc>
      </w:tr>
      <w:tr w14:paraId="4CE40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59" w:type="pct"/>
            <w:tcBorders>
              <w:tl2br w:val="nil"/>
              <w:tr2bl w:val="nil"/>
            </w:tcBorders>
            <w:vAlign w:val="center"/>
          </w:tcPr>
          <w:p w14:paraId="6E24F79A">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声环境</w:t>
            </w:r>
          </w:p>
        </w:tc>
        <w:tc>
          <w:tcPr>
            <w:tcW w:w="257" w:type="pct"/>
            <w:tcBorders>
              <w:right w:val="single" w:color="auto" w:sz="4" w:space="0"/>
              <w:tl2br w:val="nil"/>
              <w:tr2bl w:val="nil"/>
            </w:tcBorders>
            <w:vAlign w:val="center"/>
          </w:tcPr>
          <w:p w14:paraId="1B3BCCC1">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608" w:type="pct"/>
            <w:tcBorders>
              <w:left w:val="single" w:color="auto" w:sz="4" w:space="0"/>
              <w:right w:val="single" w:color="auto" w:sz="4" w:space="0"/>
              <w:tl2br w:val="nil"/>
              <w:tr2bl w:val="nil"/>
            </w:tcBorders>
            <w:vAlign w:val="center"/>
          </w:tcPr>
          <w:p w14:paraId="602ABAB0">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55" w:type="pct"/>
            <w:tcBorders>
              <w:right w:val="single" w:color="auto" w:sz="4" w:space="0"/>
              <w:tl2br w:val="nil"/>
              <w:tr2bl w:val="nil"/>
            </w:tcBorders>
            <w:vAlign w:val="center"/>
          </w:tcPr>
          <w:p w14:paraId="6248E314">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1012" w:type="pct"/>
            <w:tcBorders>
              <w:left w:val="single" w:color="auto" w:sz="4" w:space="0"/>
              <w:tl2br w:val="nil"/>
              <w:tr2bl w:val="nil"/>
            </w:tcBorders>
            <w:vAlign w:val="center"/>
          </w:tcPr>
          <w:p w14:paraId="213C5ABF">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47" w:type="pct"/>
            <w:tcBorders>
              <w:tl2br w:val="nil"/>
              <w:tr2bl w:val="nil"/>
            </w:tcBorders>
            <w:vAlign w:val="center"/>
          </w:tcPr>
          <w:p w14:paraId="23721B1E">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-SN</w:t>
            </w:r>
          </w:p>
        </w:tc>
        <w:tc>
          <w:tcPr>
            <w:tcW w:w="547" w:type="pct"/>
            <w:tcBorders>
              <w:tl2br w:val="nil"/>
              <w:tr2bl w:val="nil"/>
            </w:tcBorders>
            <w:vAlign w:val="center"/>
          </w:tcPr>
          <w:p w14:paraId="79E0B632">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hint="eastAsia" w:ascii="Times New Roman" w:hAnsi="Times New Roman" w:cs="Times New Roman" w:eastAsiaTheme="minorEastAsia"/>
                <w:snapToGrid w:val="0"/>
                <w:color w:val="000000" w:themeColor="text1"/>
                <w:w w:val="99"/>
                <w:szCs w:val="21"/>
                <w14:textFill>
                  <w14:solidFill>
                    <w14:schemeClr w14:val="tx1"/>
                  </w14:solidFill>
                </w14:textFill>
              </w:rPr>
              <w:t>/</w:t>
            </w:r>
          </w:p>
        </w:tc>
        <w:tc>
          <w:tcPr>
            <w:tcW w:w="468" w:type="pct"/>
            <w:tcBorders>
              <w:tl2br w:val="nil"/>
              <w:tr2bl w:val="nil"/>
            </w:tcBorders>
            <w:vAlign w:val="center"/>
          </w:tcPr>
          <w:p w14:paraId="6B871D8B">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-L</w:t>
            </w:r>
            <w:r>
              <w:rPr>
                <w:rFonts w:ascii="Times New Roman" w:hAnsi="Times New Roman" w:cs="Times New Roman" w:eastAsiaTheme="minorEastAsia"/>
                <w:color w:val="000000" w:themeColor="text1"/>
                <w:w w:val="99"/>
                <w:sz w:val="21"/>
                <w:szCs w:val="18"/>
                <w:lang w:val="en-US"/>
                <w14:textFill>
                  <w14:solidFill>
                    <w14:schemeClr w14:val="tx1"/>
                  </w14:solidFill>
                </w14:textFill>
              </w:rPr>
              <w:t>N</w:t>
            </w:r>
          </w:p>
        </w:tc>
        <w:tc>
          <w:tcPr>
            <w:tcW w:w="547" w:type="pct"/>
            <w:tcBorders>
              <w:tl2br w:val="nil"/>
              <w:tr2bl w:val="nil"/>
            </w:tcBorders>
            <w:vAlign w:val="center"/>
          </w:tcPr>
          <w:p w14:paraId="398560EC">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r>
      <w:tr w14:paraId="00E72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59" w:type="pct"/>
            <w:tcBorders>
              <w:tl2br w:val="nil"/>
              <w:tr2bl w:val="nil"/>
            </w:tcBorders>
            <w:vAlign w:val="center"/>
          </w:tcPr>
          <w:p w14:paraId="631ECE74">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地表水</w:t>
            </w:r>
          </w:p>
        </w:tc>
        <w:tc>
          <w:tcPr>
            <w:tcW w:w="257" w:type="pct"/>
            <w:tcBorders>
              <w:right w:val="single" w:color="auto" w:sz="4" w:space="0"/>
              <w:tl2br w:val="nil"/>
              <w:tr2bl w:val="nil"/>
            </w:tcBorders>
            <w:vAlign w:val="center"/>
          </w:tcPr>
          <w:p w14:paraId="2FE33499">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608" w:type="pct"/>
            <w:tcBorders>
              <w:left w:val="single" w:color="auto" w:sz="4" w:space="0"/>
              <w:right w:val="single" w:color="auto" w:sz="4" w:space="0"/>
              <w:tl2br w:val="nil"/>
              <w:tr2bl w:val="nil"/>
            </w:tcBorders>
            <w:vAlign w:val="center"/>
          </w:tcPr>
          <w:p w14:paraId="3A65A01C">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55" w:type="pct"/>
            <w:tcBorders>
              <w:right w:val="single" w:color="auto" w:sz="4" w:space="0"/>
              <w:tl2br w:val="nil"/>
              <w:tr2bl w:val="nil"/>
            </w:tcBorders>
            <w:vAlign w:val="center"/>
          </w:tcPr>
          <w:p w14:paraId="67BC136F">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1012" w:type="pct"/>
            <w:tcBorders>
              <w:left w:val="single" w:color="auto" w:sz="4" w:space="0"/>
              <w:tl2br w:val="nil"/>
              <w:tr2bl w:val="nil"/>
            </w:tcBorders>
            <w:vAlign w:val="center"/>
          </w:tcPr>
          <w:p w14:paraId="35426B2E">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47" w:type="pct"/>
            <w:tcBorders>
              <w:tl2br w:val="nil"/>
              <w:tr2bl w:val="nil"/>
            </w:tcBorders>
            <w:vAlign w:val="center"/>
          </w:tcPr>
          <w:p w14:paraId="5016A617">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47" w:type="pct"/>
            <w:tcBorders>
              <w:tl2br w:val="nil"/>
              <w:tr2bl w:val="nil"/>
            </w:tcBorders>
            <w:vAlign w:val="center"/>
          </w:tcPr>
          <w:p w14:paraId="5C83C5B0">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468" w:type="pct"/>
            <w:tcBorders>
              <w:tl2br w:val="nil"/>
              <w:tr2bl w:val="nil"/>
            </w:tcBorders>
            <w:vAlign w:val="center"/>
          </w:tcPr>
          <w:p w14:paraId="0FEEAD28">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47" w:type="pct"/>
            <w:tcBorders>
              <w:tl2br w:val="nil"/>
              <w:tr2bl w:val="nil"/>
            </w:tcBorders>
            <w:vAlign w:val="center"/>
          </w:tcPr>
          <w:p w14:paraId="5275811E">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-SA</w:t>
            </w:r>
          </w:p>
        </w:tc>
      </w:tr>
      <w:tr w14:paraId="00327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459" w:type="pct"/>
            <w:tcBorders>
              <w:tl2br w:val="nil"/>
              <w:tr2bl w:val="nil"/>
            </w:tcBorders>
            <w:vAlign w:val="center"/>
          </w:tcPr>
          <w:p w14:paraId="3FEE91E0">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地下水</w:t>
            </w:r>
          </w:p>
        </w:tc>
        <w:tc>
          <w:tcPr>
            <w:tcW w:w="257" w:type="pct"/>
            <w:tcBorders>
              <w:right w:val="single" w:color="auto" w:sz="4" w:space="0"/>
              <w:tl2br w:val="nil"/>
              <w:tr2bl w:val="nil"/>
            </w:tcBorders>
            <w:vAlign w:val="center"/>
          </w:tcPr>
          <w:p w14:paraId="3E5F27E0">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608" w:type="pct"/>
            <w:tcBorders>
              <w:left w:val="single" w:color="auto" w:sz="4" w:space="0"/>
              <w:right w:val="single" w:color="auto" w:sz="4" w:space="0"/>
              <w:tl2br w:val="nil"/>
              <w:tr2bl w:val="nil"/>
            </w:tcBorders>
            <w:vAlign w:val="center"/>
          </w:tcPr>
          <w:p w14:paraId="63899816">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55" w:type="pct"/>
            <w:tcBorders>
              <w:right w:val="single" w:color="auto" w:sz="4" w:space="0"/>
              <w:tl2br w:val="nil"/>
              <w:tr2bl w:val="nil"/>
            </w:tcBorders>
            <w:vAlign w:val="center"/>
          </w:tcPr>
          <w:p w14:paraId="309C6A6C">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1012" w:type="pct"/>
            <w:tcBorders>
              <w:left w:val="single" w:color="auto" w:sz="4" w:space="0"/>
              <w:tl2br w:val="nil"/>
              <w:tr2bl w:val="nil"/>
            </w:tcBorders>
            <w:vAlign w:val="center"/>
          </w:tcPr>
          <w:p w14:paraId="7BAB7052">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47" w:type="pct"/>
            <w:tcBorders>
              <w:tl2br w:val="nil"/>
              <w:tr2bl w:val="nil"/>
            </w:tcBorders>
            <w:vAlign w:val="center"/>
          </w:tcPr>
          <w:p w14:paraId="7B00F7BE">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47" w:type="pct"/>
            <w:tcBorders>
              <w:tl2br w:val="nil"/>
              <w:tr2bl w:val="nil"/>
            </w:tcBorders>
            <w:vAlign w:val="center"/>
          </w:tcPr>
          <w:p w14:paraId="322BA171">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468" w:type="pct"/>
            <w:tcBorders>
              <w:tl2br w:val="nil"/>
              <w:tr2bl w:val="nil"/>
            </w:tcBorders>
            <w:vAlign w:val="center"/>
          </w:tcPr>
          <w:p w14:paraId="6F2D1AE6">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47" w:type="pct"/>
            <w:tcBorders>
              <w:tl2br w:val="nil"/>
              <w:tr2bl w:val="nil"/>
            </w:tcBorders>
            <w:vAlign w:val="center"/>
          </w:tcPr>
          <w:p w14:paraId="306DD288">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-SA</w:t>
            </w:r>
          </w:p>
        </w:tc>
      </w:tr>
      <w:tr w14:paraId="030973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59" w:type="pct"/>
            <w:tcBorders>
              <w:tl2br w:val="nil"/>
              <w:tr2bl w:val="nil"/>
            </w:tcBorders>
            <w:vAlign w:val="center"/>
          </w:tcPr>
          <w:p w14:paraId="2A31F5F6">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土壤</w:t>
            </w:r>
          </w:p>
        </w:tc>
        <w:tc>
          <w:tcPr>
            <w:tcW w:w="257" w:type="pct"/>
            <w:tcBorders>
              <w:right w:val="single" w:color="auto" w:sz="4" w:space="0"/>
              <w:tl2br w:val="nil"/>
              <w:tr2bl w:val="nil"/>
            </w:tcBorders>
            <w:vAlign w:val="center"/>
          </w:tcPr>
          <w:p w14:paraId="59B5A76C">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-SN</w:t>
            </w:r>
          </w:p>
        </w:tc>
        <w:tc>
          <w:tcPr>
            <w:tcW w:w="608" w:type="pct"/>
            <w:tcBorders>
              <w:left w:val="single" w:color="auto" w:sz="4" w:space="0"/>
              <w:right w:val="single" w:color="auto" w:sz="4" w:space="0"/>
              <w:tl2br w:val="nil"/>
              <w:tr2bl w:val="nil"/>
            </w:tcBorders>
            <w:vAlign w:val="center"/>
          </w:tcPr>
          <w:p w14:paraId="28E4C648">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w:t>
            </w:r>
          </w:p>
        </w:tc>
        <w:tc>
          <w:tcPr>
            <w:tcW w:w="555" w:type="pct"/>
            <w:tcBorders>
              <w:right w:val="single" w:color="auto" w:sz="4" w:space="0"/>
              <w:tl2br w:val="nil"/>
              <w:tr2bl w:val="nil"/>
            </w:tcBorders>
            <w:vAlign w:val="center"/>
          </w:tcPr>
          <w:p w14:paraId="6B978F25">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w:t>
            </w:r>
          </w:p>
        </w:tc>
        <w:tc>
          <w:tcPr>
            <w:tcW w:w="1012" w:type="pct"/>
            <w:tcBorders>
              <w:left w:val="single" w:color="auto" w:sz="4" w:space="0"/>
              <w:tl2br w:val="nil"/>
              <w:tr2bl w:val="nil"/>
            </w:tcBorders>
            <w:vAlign w:val="center"/>
          </w:tcPr>
          <w:p w14:paraId="305B7A39">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-SN</w:t>
            </w:r>
          </w:p>
        </w:tc>
        <w:tc>
          <w:tcPr>
            <w:tcW w:w="547" w:type="pct"/>
            <w:tcBorders>
              <w:tl2br w:val="nil"/>
              <w:tr2bl w:val="nil"/>
            </w:tcBorders>
            <w:vAlign w:val="center"/>
          </w:tcPr>
          <w:p w14:paraId="406CB93E">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w:t>
            </w:r>
          </w:p>
        </w:tc>
        <w:tc>
          <w:tcPr>
            <w:tcW w:w="547" w:type="pct"/>
            <w:tcBorders>
              <w:tl2br w:val="nil"/>
              <w:tr2bl w:val="nil"/>
            </w:tcBorders>
            <w:vAlign w:val="center"/>
          </w:tcPr>
          <w:p w14:paraId="155FA096">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468" w:type="pct"/>
            <w:tcBorders>
              <w:tl2br w:val="nil"/>
              <w:tr2bl w:val="nil"/>
            </w:tcBorders>
            <w:vAlign w:val="center"/>
          </w:tcPr>
          <w:p w14:paraId="260B65E1">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47" w:type="pct"/>
            <w:tcBorders>
              <w:tl2br w:val="nil"/>
              <w:tr2bl w:val="nil"/>
            </w:tcBorders>
            <w:vAlign w:val="center"/>
          </w:tcPr>
          <w:p w14:paraId="1E5020DD">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-SA</w:t>
            </w:r>
          </w:p>
        </w:tc>
      </w:tr>
      <w:tr w14:paraId="797D3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459" w:type="pct"/>
            <w:tcBorders>
              <w:tl2br w:val="nil"/>
              <w:tr2bl w:val="nil"/>
            </w:tcBorders>
            <w:vAlign w:val="center"/>
          </w:tcPr>
          <w:p w14:paraId="1CA5F448">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植被</w:t>
            </w:r>
          </w:p>
        </w:tc>
        <w:tc>
          <w:tcPr>
            <w:tcW w:w="257" w:type="pct"/>
            <w:tcBorders>
              <w:right w:val="single" w:color="auto" w:sz="4" w:space="0"/>
              <w:tl2br w:val="nil"/>
              <w:tr2bl w:val="nil"/>
            </w:tcBorders>
            <w:vAlign w:val="center"/>
          </w:tcPr>
          <w:p w14:paraId="25992D40">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-SN</w:t>
            </w:r>
          </w:p>
        </w:tc>
        <w:tc>
          <w:tcPr>
            <w:tcW w:w="608" w:type="pct"/>
            <w:tcBorders>
              <w:left w:val="single" w:color="auto" w:sz="4" w:space="0"/>
              <w:right w:val="single" w:color="auto" w:sz="4" w:space="0"/>
              <w:tl2br w:val="nil"/>
              <w:tr2bl w:val="nil"/>
            </w:tcBorders>
            <w:vAlign w:val="center"/>
          </w:tcPr>
          <w:p w14:paraId="0069B87C">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-SN</w:t>
            </w:r>
          </w:p>
        </w:tc>
        <w:tc>
          <w:tcPr>
            <w:tcW w:w="555" w:type="pct"/>
            <w:tcBorders>
              <w:right w:val="single" w:color="auto" w:sz="4" w:space="0"/>
              <w:tl2br w:val="nil"/>
              <w:tr2bl w:val="nil"/>
            </w:tcBorders>
            <w:vAlign w:val="center"/>
          </w:tcPr>
          <w:p w14:paraId="72D7246B">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1012" w:type="pct"/>
            <w:tcBorders>
              <w:left w:val="single" w:color="auto" w:sz="4" w:space="0"/>
              <w:tl2br w:val="nil"/>
              <w:tr2bl w:val="nil"/>
            </w:tcBorders>
            <w:vAlign w:val="center"/>
          </w:tcPr>
          <w:p w14:paraId="429CFFA1">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-SN</w:t>
            </w:r>
          </w:p>
        </w:tc>
        <w:tc>
          <w:tcPr>
            <w:tcW w:w="547" w:type="pct"/>
            <w:tcBorders>
              <w:tl2br w:val="nil"/>
              <w:tr2bl w:val="nil"/>
            </w:tcBorders>
            <w:vAlign w:val="center"/>
          </w:tcPr>
          <w:p w14:paraId="1C0794CA">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47" w:type="pct"/>
            <w:tcBorders>
              <w:tl2br w:val="nil"/>
              <w:tr2bl w:val="nil"/>
            </w:tcBorders>
            <w:vAlign w:val="center"/>
          </w:tcPr>
          <w:p w14:paraId="7345F8F5">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468" w:type="pct"/>
            <w:tcBorders>
              <w:tl2br w:val="nil"/>
              <w:tr2bl w:val="nil"/>
            </w:tcBorders>
            <w:vAlign w:val="center"/>
          </w:tcPr>
          <w:p w14:paraId="69E3BFEE">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47" w:type="pct"/>
            <w:tcBorders>
              <w:tl2br w:val="nil"/>
              <w:tr2bl w:val="nil"/>
            </w:tcBorders>
            <w:vAlign w:val="center"/>
          </w:tcPr>
          <w:p w14:paraId="6146F04A">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-SA</w:t>
            </w:r>
          </w:p>
        </w:tc>
      </w:tr>
      <w:tr w14:paraId="22C07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459" w:type="pct"/>
            <w:tcBorders>
              <w:tl2br w:val="nil"/>
              <w:tr2bl w:val="nil"/>
            </w:tcBorders>
            <w:vAlign w:val="center"/>
          </w:tcPr>
          <w:p w14:paraId="53B8A436">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动物</w:t>
            </w:r>
          </w:p>
        </w:tc>
        <w:tc>
          <w:tcPr>
            <w:tcW w:w="257" w:type="pct"/>
            <w:tcBorders>
              <w:right w:val="single" w:color="auto" w:sz="4" w:space="0"/>
              <w:tl2br w:val="nil"/>
              <w:tr2bl w:val="nil"/>
            </w:tcBorders>
            <w:vAlign w:val="center"/>
          </w:tcPr>
          <w:p w14:paraId="6D808082">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608" w:type="pct"/>
            <w:tcBorders>
              <w:left w:val="single" w:color="auto" w:sz="4" w:space="0"/>
              <w:right w:val="single" w:color="auto" w:sz="4" w:space="0"/>
              <w:tl2br w:val="nil"/>
              <w:tr2bl w:val="nil"/>
            </w:tcBorders>
            <w:vAlign w:val="center"/>
          </w:tcPr>
          <w:p w14:paraId="75CEF3B5">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-SN</w:t>
            </w:r>
          </w:p>
        </w:tc>
        <w:tc>
          <w:tcPr>
            <w:tcW w:w="555" w:type="pct"/>
            <w:tcBorders>
              <w:right w:val="single" w:color="auto" w:sz="4" w:space="0"/>
              <w:tl2br w:val="nil"/>
              <w:tr2bl w:val="nil"/>
            </w:tcBorders>
            <w:vAlign w:val="center"/>
          </w:tcPr>
          <w:p w14:paraId="1F6869F5">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1012" w:type="pct"/>
            <w:tcBorders>
              <w:left w:val="single" w:color="auto" w:sz="4" w:space="0"/>
              <w:tl2br w:val="nil"/>
              <w:tr2bl w:val="nil"/>
            </w:tcBorders>
            <w:vAlign w:val="center"/>
          </w:tcPr>
          <w:p w14:paraId="03B59195">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47" w:type="pct"/>
            <w:tcBorders>
              <w:tl2br w:val="nil"/>
              <w:tr2bl w:val="nil"/>
            </w:tcBorders>
            <w:vAlign w:val="center"/>
          </w:tcPr>
          <w:p w14:paraId="679EAFBB">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47" w:type="pct"/>
            <w:tcBorders>
              <w:tl2br w:val="nil"/>
              <w:tr2bl w:val="nil"/>
            </w:tcBorders>
            <w:vAlign w:val="center"/>
          </w:tcPr>
          <w:p w14:paraId="0EB7DD0B">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468" w:type="pct"/>
            <w:tcBorders>
              <w:tl2br w:val="nil"/>
              <w:tr2bl w:val="nil"/>
            </w:tcBorders>
            <w:vAlign w:val="center"/>
          </w:tcPr>
          <w:p w14:paraId="4DC89863">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47" w:type="pct"/>
            <w:tcBorders>
              <w:tl2br w:val="nil"/>
              <w:tr2bl w:val="nil"/>
            </w:tcBorders>
            <w:vAlign w:val="center"/>
          </w:tcPr>
          <w:p w14:paraId="238AE6AF">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r>
      <w:tr w14:paraId="62F2B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459" w:type="pct"/>
            <w:tcBorders>
              <w:tl2br w:val="nil"/>
              <w:tr2bl w:val="nil"/>
            </w:tcBorders>
            <w:vAlign w:val="center"/>
          </w:tcPr>
          <w:p w14:paraId="4D996F41">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其他</w:t>
            </w:r>
          </w:p>
        </w:tc>
        <w:tc>
          <w:tcPr>
            <w:tcW w:w="257" w:type="pct"/>
            <w:tcBorders>
              <w:right w:val="single" w:color="auto" w:sz="4" w:space="0"/>
              <w:tl2br w:val="nil"/>
              <w:tr2bl w:val="nil"/>
            </w:tcBorders>
            <w:vAlign w:val="center"/>
          </w:tcPr>
          <w:p w14:paraId="124DFF96">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608" w:type="pct"/>
            <w:tcBorders>
              <w:left w:val="single" w:color="auto" w:sz="4" w:space="0"/>
              <w:right w:val="single" w:color="auto" w:sz="4" w:space="0"/>
              <w:tl2br w:val="nil"/>
              <w:tr2bl w:val="nil"/>
            </w:tcBorders>
            <w:vAlign w:val="center"/>
          </w:tcPr>
          <w:p w14:paraId="5552D157">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55" w:type="pct"/>
            <w:tcBorders>
              <w:right w:val="single" w:color="auto" w:sz="4" w:space="0"/>
              <w:tl2br w:val="nil"/>
              <w:tr2bl w:val="nil"/>
            </w:tcBorders>
            <w:vAlign w:val="center"/>
          </w:tcPr>
          <w:p w14:paraId="6535EB1E">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1012" w:type="pct"/>
            <w:tcBorders>
              <w:left w:val="single" w:color="auto" w:sz="4" w:space="0"/>
              <w:tl2br w:val="nil"/>
              <w:tr2bl w:val="nil"/>
            </w:tcBorders>
            <w:vAlign w:val="center"/>
          </w:tcPr>
          <w:p w14:paraId="6089C90B">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47" w:type="pct"/>
            <w:tcBorders>
              <w:tl2br w:val="nil"/>
              <w:tr2bl w:val="nil"/>
            </w:tcBorders>
            <w:vAlign w:val="center"/>
          </w:tcPr>
          <w:p w14:paraId="20F2A176">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47" w:type="pct"/>
            <w:tcBorders>
              <w:tl2br w:val="nil"/>
              <w:tr2bl w:val="nil"/>
            </w:tcBorders>
            <w:vAlign w:val="center"/>
          </w:tcPr>
          <w:p w14:paraId="3F78747C">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468" w:type="pct"/>
            <w:tcBorders>
              <w:tl2br w:val="nil"/>
              <w:tr2bl w:val="nil"/>
            </w:tcBorders>
            <w:vAlign w:val="center"/>
          </w:tcPr>
          <w:p w14:paraId="1728E604">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47" w:type="pct"/>
            <w:tcBorders>
              <w:tl2br w:val="nil"/>
              <w:tr2bl w:val="nil"/>
            </w:tcBorders>
            <w:vAlign w:val="center"/>
          </w:tcPr>
          <w:p w14:paraId="170CD922">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r>
    </w:tbl>
    <w:p w14:paraId="13863A5E">
      <w:pPr>
        <w:tabs>
          <w:tab w:val="left" w:pos="2259"/>
          <w:tab w:val="left" w:pos="3745"/>
          <w:tab w:val="left" w:pos="5238"/>
          <w:tab w:val="left" w:pos="6719"/>
        </w:tabs>
        <w:jc w:val="both"/>
        <w:rPr>
          <w:rFonts w:ascii="Times New Roman" w:hAnsi="Times New Roman" w:cs="Times New Roman" w:eastAsiaTheme="minorEastAsia"/>
          <w:color w:val="000000" w:themeColor="text1"/>
          <w:w w:val="99"/>
          <w:sz w:val="21"/>
          <w:szCs w:val="18"/>
          <w14:textFill>
            <w14:solidFill>
              <w14:schemeClr w14:val="tx1"/>
            </w14:solidFill>
          </w14:textFill>
        </w:rPr>
      </w:pPr>
      <w:r>
        <w:rPr>
          <w:rFonts w:ascii="Times New Roman" w:hAnsi="Times New Roman" w:cs="Times New Roman" w:eastAsiaTheme="minorEastAsia"/>
          <w:color w:val="000000" w:themeColor="text1"/>
          <w:w w:val="99"/>
          <w:sz w:val="21"/>
          <w:szCs w:val="18"/>
          <w14:textFill>
            <w14:solidFill>
              <w14:schemeClr w14:val="tx1"/>
            </w14:solidFill>
          </w14:textFill>
        </w:rPr>
        <w:t>注：-：不利影响</w:t>
      </w:r>
      <w:r>
        <w:rPr>
          <w:rFonts w:ascii="Times New Roman" w:hAnsi="Times New Roman" w:cs="Times New Roman" w:eastAsiaTheme="minorEastAsia"/>
          <w:color w:val="000000" w:themeColor="text1"/>
          <w:w w:val="99"/>
          <w:sz w:val="21"/>
          <w:szCs w:val="18"/>
          <w14:textFill>
            <w14:solidFill>
              <w14:schemeClr w14:val="tx1"/>
            </w14:solidFill>
          </w14:textFill>
        </w:rPr>
        <w:tab/>
      </w:r>
      <w:r>
        <w:rPr>
          <w:rFonts w:ascii="Times New Roman" w:hAnsi="Times New Roman" w:cs="Times New Roman" w:eastAsiaTheme="minorEastAsia"/>
          <w:color w:val="000000" w:themeColor="text1"/>
          <w:w w:val="99"/>
          <w:sz w:val="21"/>
          <w:szCs w:val="18"/>
          <w14:textFill>
            <w14:solidFill>
              <w14:schemeClr w14:val="tx1"/>
            </w14:solidFill>
          </w14:textFill>
        </w:rPr>
        <w:t>+：有利影响</w:t>
      </w:r>
      <w:r>
        <w:rPr>
          <w:rFonts w:ascii="Times New Roman" w:hAnsi="Times New Roman" w:cs="Times New Roman" w:eastAsiaTheme="minorEastAsia"/>
          <w:color w:val="000000" w:themeColor="text1"/>
          <w:w w:val="99"/>
          <w:sz w:val="21"/>
          <w:szCs w:val="18"/>
          <w14:textFill>
            <w14:solidFill>
              <w14:schemeClr w14:val="tx1"/>
            </w14:solidFill>
          </w14:textFill>
        </w:rPr>
        <w:tab/>
      </w:r>
      <w:r>
        <w:rPr>
          <w:rFonts w:ascii="Times New Roman" w:hAnsi="Times New Roman" w:cs="Times New Roman" w:eastAsiaTheme="minorEastAsia"/>
          <w:color w:val="000000" w:themeColor="text1"/>
          <w:w w:val="99"/>
          <w:sz w:val="21"/>
          <w:szCs w:val="18"/>
          <w14:textFill>
            <w14:solidFill>
              <w14:schemeClr w14:val="tx1"/>
            </w14:solidFill>
          </w14:textFill>
        </w:rPr>
        <w:t>L：长期影响</w:t>
      </w:r>
      <w:r>
        <w:rPr>
          <w:rFonts w:ascii="Times New Roman" w:hAnsi="Times New Roman" w:cs="Times New Roman" w:eastAsiaTheme="minorEastAsia"/>
          <w:color w:val="000000" w:themeColor="text1"/>
          <w:w w:val="99"/>
          <w:sz w:val="21"/>
          <w:szCs w:val="18"/>
          <w14:textFill>
            <w14:solidFill>
              <w14:schemeClr w14:val="tx1"/>
            </w14:solidFill>
          </w14:textFill>
        </w:rPr>
        <w:tab/>
      </w:r>
      <w:r>
        <w:rPr>
          <w:rFonts w:ascii="Times New Roman" w:hAnsi="Times New Roman" w:cs="Times New Roman" w:eastAsiaTheme="minorEastAsia"/>
          <w:color w:val="000000" w:themeColor="text1"/>
          <w:w w:val="99"/>
          <w:sz w:val="21"/>
          <w:szCs w:val="18"/>
          <w14:textFill>
            <w14:solidFill>
              <w14:schemeClr w14:val="tx1"/>
            </w14:solidFill>
          </w14:textFill>
        </w:rPr>
        <w:t>S：短期影响</w:t>
      </w:r>
      <w:r>
        <w:rPr>
          <w:rFonts w:ascii="Times New Roman" w:hAnsi="Times New Roman" w:cs="Times New Roman" w:eastAsiaTheme="minorEastAsia"/>
          <w:color w:val="000000" w:themeColor="text1"/>
          <w:w w:val="99"/>
          <w:sz w:val="21"/>
          <w:szCs w:val="18"/>
          <w14:textFill>
            <w14:solidFill>
              <w14:schemeClr w14:val="tx1"/>
            </w14:solidFill>
          </w14:textFill>
        </w:rPr>
        <w:tab/>
      </w:r>
      <w:r>
        <w:rPr>
          <w:rFonts w:ascii="Times New Roman" w:hAnsi="Times New Roman" w:cs="Times New Roman" w:eastAsiaTheme="minorEastAsia"/>
          <w:color w:val="000000" w:themeColor="text1"/>
          <w:w w:val="99"/>
          <w:sz w:val="21"/>
          <w:szCs w:val="18"/>
          <w14:textFill>
            <w14:solidFill>
              <w14:schemeClr w14:val="tx1"/>
            </w14:solidFill>
          </w14:textFill>
        </w:rPr>
        <w:t>A：显著影响</w:t>
      </w:r>
      <w:r>
        <w:rPr>
          <w:rFonts w:ascii="Times New Roman" w:hAnsi="Times New Roman" w:cs="Times New Roman" w:eastAsiaTheme="minorEastAsia"/>
          <w:color w:val="000000" w:themeColor="text1"/>
          <w:w w:val="99"/>
          <w:sz w:val="21"/>
          <w:szCs w:val="18"/>
          <w:lang w:val="en-US"/>
          <w14:textFill>
            <w14:solidFill>
              <w14:schemeClr w14:val="tx1"/>
            </w14:solidFill>
          </w14:textFill>
        </w:rPr>
        <w:t xml:space="preserve"> N：一般影响      /</w:t>
      </w:r>
      <w:r>
        <w:rPr>
          <w:rFonts w:ascii="Times New Roman" w:hAnsi="Times New Roman" w:cs="Times New Roman" w:eastAsiaTheme="minorEastAsia"/>
          <w:color w:val="000000" w:themeColor="text1"/>
          <w:w w:val="99"/>
          <w:sz w:val="21"/>
          <w:szCs w:val="18"/>
          <w14:textFill>
            <w14:solidFill>
              <w14:schemeClr w14:val="tx1"/>
            </w14:solidFill>
          </w14:textFill>
        </w:rPr>
        <w:t>：表示此项环境因子不存在或与工程活动无关</w:t>
      </w:r>
    </w:p>
    <w:p w14:paraId="1F79ED62">
      <w:pPr>
        <w:tabs>
          <w:tab w:val="left" w:pos="2259"/>
          <w:tab w:val="left" w:pos="3745"/>
          <w:tab w:val="left" w:pos="5238"/>
          <w:tab w:val="left" w:pos="6719"/>
        </w:tabs>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从上表可知本工程的主要环境影响表现在地下水环境、生态环境、环境空气、声环境、土壤环境、环境风险等方面。</w:t>
      </w:r>
    </w:p>
    <w:p w14:paraId="23949C26">
      <w:pPr>
        <w:pStyle w:val="31"/>
        <w:spacing w:line="440" w:lineRule="exact"/>
        <w:ind w:firstLine="559"/>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经过项目污染物排放特点及项目周围环境情况进行分析后，确定本工程评价因子详见表2.3-2。</w:t>
      </w:r>
    </w:p>
    <w:p w14:paraId="17372597">
      <w:pPr>
        <w:pStyle w:val="31"/>
        <w:spacing w:line="500" w:lineRule="exact"/>
        <w:ind w:firstLine="559"/>
        <w:jc w:val="both"/>
        <w:rPr>
          <w:rFonts w:ascii="Times New Roman" w:hAnsi="Times New Roman" w:cs="Times New Roman" w:eastAsiaTheme="minorEastAsia"/>
          <w:b/>
          <w:bCs/>
          <w:color w:val="000000" w:themeColor="text1"/>
          <w:w w:val="99"/>
          <w:sz w:val="24"/>
          <w:szCs w:val="24"/>
          <w14:textFill>
            <w14:solidFill>
              <w14:schemeClr w14:val="tx1"/>
            </w14:solidFill>
          </w14:textFill>
        </w:rPr>
      </w:pPr>
      <w:r>
        <w:rPr>
          <w:rFonts w:ascii="Times New Roman" w:hAnsi="Times New Roman" w:cs="Times New Roman" w:eastAsiaTheme="minorEastAsia"/>
          <w:b/>
          <w:bCs/>
          <w:color w:val="000000" w:themeColor="text1"/>
          <w:w w:val="99"/>
          <w:sz w:val="24"/>
          <w:szCs w:val="24"/>
          <w14:textFill>
            <w14:solidFill>
              <w14:schemeClr w14:val="tx1"/>
            </w14:solidFill>
          </w14:textFill>
        </w:rPr>
        <w:t>表2.</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3</w:t>
      </w:r>
      <w:r>
        <w:rPr>
          <w:rFonts w:ascii="Times New Roman" w:hAnsi="Times New Roman" w:cs="Times New Roman" w:eastAsiaTheme="minorEastAsia"/>
          <w:b/>
          <w:bCs/>
          <w:color w:val="000000" w:themeColor="text1"/>
          <w:w w:val="99"/>
          <w:sz w:val="24"/>
          <w:szCs w:val="24"/>
          <w14:textFill>
            <w14:solidFill>
              <w14:schemeClr w14:val="tx1"/>
            </w14:solidFill>
          </w14:textFill>
        </w:rPr>
        <w:t>-2</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 xml:space="preserve">    </w:t>
      </w:r>
      <w:r>
        <w:rPr>
          <w:rFonts w:ascii="Times New Roman" w:hAnsi="Times New Roman" w:cs="Times New Roman" w:eastAsiaTheme="minorEastAsia"/>
          <w:b/>
          <w:bCs/>
          <w:color w:val="000000" w:themeColor="text1"/>
          <w:w w:val="99"/>
          <w:sz w:val="24"/>
          <w:szCs w:val="24"/>
          <w14:textFill>
            <w14:solidFill>
              <w14:schemeClr w14:val="tx1"/>
            </w14:solidFill>
          </w14:textFill>
        </w:rPr>
        <w:t>评价因子一览表</w:t>
      </w:r>
    </w:p>
    <w:tbl>
      <w:tblPr>
        <w:tblStyle w:val="80"/>
        <w:tblW w:w="909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7"/>
        <w:gridCol w:w="698"/>
        <w:gridCol w:w="1154"/>
        <w:gridCol w:w="6672"/>
      </w:tblGrid>
      <w:tr w14:paraId="4D815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265" w:type="dxa"/>
            <w:gridSpan w:val="2"/>
            <w:tcBorders>
              <w:tl2br w:val="nil"/>
              <w:tr2bl w:val="nil"/>
            </w:tcBorders>
            <w:vAlign w:val="center"/>
          </w:tcPr>
          <w:p w14:paraId="39A9C5C8">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序号</w:t>
            </w:r>
          </w:p>
        </w:tc>
        <w:tc>
          <w:tcPr>
            <w:tcW w:w="1154" w:type="dxa"/>
            <w:tcBorders>
              <w:tl2br w:val="nil"/>
              <w:tr2bl w:val="nil"/>
            </w:tcBorders>
            <w:vAlign w:val="center"/>
          </w:tcPr>
          <w:p w14:paraId="41155EC6">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评价内容</w:t>
            </w:r>
          </w:p>
        </w:tc>
        <w:tc>
          <w:tcPr>
            <w:tcW w:w="6672" w:type="dxa"/>
            <w:tcBorders>
              <w:tl2br w:val="nil"/>
              <w:tr2bl w:val="nil"/>
            </w:tcBorders>
            <w:vAlign w:val="center"/>
          </w:tcPr>
          <w:p w14:paraId="6BE1B8F4">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评价因子名称</w:t>
            </w:r>
          </w:p>
        </w:tc>
      </w:tr>
      <w:tr w14:paraId="79211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67" w:type="dxa"/>
            <w:vMerge w:val="restart"/>
            <w:tcBorders>
              <w:tl2br w:val="nil"/>
              <w:tr2bl w:val="nil"/>
            </w:tcBorders>
            <w:vAlign w:val="center"/>
          </w:tcPr>
          <w:p w14:paraId="7738A874">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施工期</w:t>
            </w:r>
          </w:p>
        </w:tc>
        <w:tc>
          <w:tcPr>
            <w:tcW w:w="698" w:type="dxa"/>
            <w:vMerge w:val="restart"/>
            <w:tcBorders>
              <w:tl2br w:val="nil"/>
              <w:tr2bl w:val="nil"/>
            </w:tcBorders>
            <w:vAlign w:val="center"/>
          </w:tcPr>
          <w:p w14:paraId="53A361E0">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影响</w:t>
            </w:r>
          </w:p>
          <w:p w14:paraId="3DEEB268">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评价</w:t>
            </w:r>
          </w:p>
        </w:tc>
        <w:tc>
          <w:tcPr>
            <w:tcW w:w="1154" w:type="dxa"/>
            <w:tcBorders>
              <w:tl2br w:val="nil"/>
              <w:tr2bl w:val="nil"/>
            </w:tcBorders>
            <w:vAlign w:val="center"/>
          </w:tcPr>
          <w:p w14:paraId="093F0611">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废气</w:t>
            </w:r>
          </w:p>
        </w:tc>
        <w:tc>
          <w:tcPr>
            <w:tcW w:w="6672" w:type="dxa"/>
            <w:tcBorders>
              <w:tl2br w:val="nil"/>
              <w:tr2bl w:val="nil"/>
            </w:tcBorders>
            <w:vAlign w:val="center"/>
          </w:tcPr>
          <w:p w14:paraId="51D87C30">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运输车辆及管线施工扬尘、运输车辆排放的尾气、焊接扬尘</w:t>
            </w:r>
          </w:p>
        </w:tc>
      </w:tr>
      <w:tr w14:paraId="57D65B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67" w:type="dxa"/>
            <w:vMerge w:val="continue"/>
            <w:tcBorders>
              <w:tl2br w:val="nil"/>
              <w:tr2bl w:val="nil"/>
            </w:tcBorders>
            <w:vAlign w:val="center"/>
          </w:tcPr>
          <w:p w14:paraId="05AC2ECA">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98" w:type="dxa"/>
            <w:vMerge w:val="continue"/>
            <w:tcBorders>
              <w:tl2br w:val="nil"/>
              <w:tr2bl w:val="nil"/>
            </w:tcBorders>
            <w:vAlign w:val="center"/>
          </w:tcPr>
          <w:p w14:paraId="398B9F46">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1154" w:type="dxa"/>
            <w:tcBorders>
              <w:tl2br w:val="nil"/>
              <w:tr2bl w:val="nil"/>
            </w:tcBorders>
            <w:vAlign w:val="center"/>
          </w:tcPr>
          <w:p w14:paraId="3C6A1A7E">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废水</w:t>
            </w:r>
          </w:p>
        </w:tc>
        <w:tc>
          <w:tcPr>
            <w:tcW w:w="6672" w:type="dxa"/>
            <w:tcBorders>
              <w:tl2br w:val="nil"/>
              <w:tr2bl w:val="nil"/>
            </w:tcBorders>
            <w:vAlign w:val="center"/>
          </w:tcPr>
          <w:p w14:paraId="4D873A5A">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试压废水、生活污水（COD、氨氮）</w:t>
            </w:r>
          </w:p>
        </w:tc>
      </w:tr>
      <w:tr w14:paraId="1D6EA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67" w:type="dxa"/>
            <w:vMerge w:val="continue"/>
            <w:tcBorders>
              <w:tl2br w:val="nil"/>
              <w:tr2bl w:val="nil"/>
            </w:tcBorders>
            <w:vAlign w:val="center"/>
          </w:tcPr>
          <w:p w14:paraId="5589978E">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98" w:type="dxa"/>
            <w:vMerge w:val="continue"/>
            <w:tcBorders>
              <w:tl2br w:val="nil"/>
              <w:tr2bl w:val="nil"/>
            </w:tcBorders>
            <w:vAlign w:val="center"/>
          </w:tcPr>
          <w:p w14:paraId="1A880A24">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1154" w:type="dxa"/>
            <w:tcBorders>
              <w:tl2br w:val="nil"/>
              <w:tr2bl w:val="nil"/>
            </w:tcBorders>
            <w:vAlign w:val="center"/>
          </w:tcPr>
          <w:p w14:paraId="6FF9BB9A">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噪声</w:t>
            </w:r>
          </w:p>
        </w:tc>
        <w:tc>
          <w:tcPr>
            <w:tcW w:w="6672" w:type="dxa"/>
            <w:tcBorders>
              <w:tl2br w:val="nil"/>
              <w:tr2bl w:val="nil"/>
            </w:tcBorders>
            <w:vAlign w:val="center"/>
          </w:tcPr>
          <w:p w14:paraId="5A9EE972">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机械噪声</w:t>
            </w:r>
          </w:p>
        </w:tc>
      </w:tr>
      <w:tr w14:paraId="39D9C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67" w:type="dxa"/>
            <w:vMerge w:val="continue"/>
            <w:tcBorders>
              <w:tl2br w:val="nil"/>
              <w:tr2bl w:val="nil"/>
            </w:tcBorders>
            <w:vAlign w:val="center"/>
          </w:tcPr>
          <w:p w14:paraId="39033337">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98" w:type="dxa"/>
            <w:vMerge w:val="continue"/>
            <w:tcBorders>
              <w:tl2br w:val="nil"/>
              <w:tr2bl w:val="nil"/>
            </w:tcBorders>
            <w:vAlign w:val="center"/>
          </w:tcPr>
          <w:p w14:paraId="4AD085CB">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1154" w:type="dxa"/>
            <w:tcBorders>
              <w:tl2br w:val="nil"/>
              <w:tr2bl w:val="nil"/>
            </w:tcBorders>
            <w:vAlign w:val="center"/>
          </w:tcPr>
          <w:p w14:paraId="3CA99B28">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固体废物</w:t>
            </w:r>
          </w:p>
        </w:tc>
        <w:tc>
          <w:tcPr>
            <w:tcW w:w="6672" w:type="dxa"/>
            <w:tcBorders>
              <w:tl2br w:val="nil"/>
              <w:tr2bl w:val="nil"/>
            </w:tcBorders>
            <w:vAlign w:val="center"/>
          </w:tcPr>
          <w:p w14:paraId="51B22246">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施工废料、生活垃圾、废旧设备</w:t>
            </w:r>
          </w:p>
        </w:tc>
      </w:tr>
      <w:tr w14:paraId="5D0E0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67" w:type="dxa"/>
            <w:vMerge w:val="continue"/>
            <w:tcBorders>
              <w:tl2br w:val="nil"/>
              <w:tr2bl w:val="nil"/>
            </w:tcBorders>
            <w:vAlign w:val="center"/>
          </w:tcPr>
          <w:p w14:paraId="71F378E5">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98" w:type="dxa"/>
            <w:vMerge w:val="continue"/>
            <w:tcBorders>
              <w:tl2br w:val="nil"/>
              <w:tr2bl w:val="nil"/>
            </w:tcBorders>
            <w:vAlign w:val="center"/>
          </w:tcPr>
          <w:p w14:paraId="2471EAAB">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1154" w:type="dxa"/>
            <w:tcBorders>
              <w:tl2br w:val="nil"/>
              <w:tr2bl w:val="nil"/>
            </w:tcBorders>
            <w:vAlign w:val="center"/>
          </w:tcPr>
          <w:p w14:paraId="4144772A">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生态</w:t>
            </w:r>
          </w:p>
        </w:tc>
        <w:tc>
          <w:tcPr>
            <w:tcW w:w="6672" w:type="dxa"/>
            <w:tcBorders>
              <w:tl2br w:val="nil"/>
              <w:tr2bl w:val="nil"/>
            </w:tcBorders>
            <w:vAlign w:val="center"/>
          </w:tcPr>
          <w:p w14:paraId="7A9C6650">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植被类型的构成、分布、面积、生物量及群种、优势种群；土壤类型、特征、组成和分布，土地利用状况、土壤退化状况等</w:t>
            </w:r>
          </w:p>
        </w:tc>
      </w:tr>
      <w:tr w14:paraId="7A84D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67" w:type="dxa"/>
            <w:vMerge w:val="restart"/>
            <w:tcBorders>
              <w:tl2br w:val="nil"/>
              <w:tr2bl w:val="nil"/>
            </w:tcBorders>
            <w:vAlign w:val="center"/>
          </w:tcPr>
          <w:p w14:paraId="7E09CA80">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运行期</w:t>
            </w:r>
          </w:p>
        </w:tc>
        <w:tc>
          <w:tcPr>
            <w:tcW w:w="698" w:type="dxa"/>
            <w:vMerge w:val="restart"/>
            <w:tcBorders>
              <w:tl2br w:val="nil"/>
              <w:tr2bl w:val="nil"/>
            </w:tcBorders>
            <w:vAlign w:val="center"/>
          </w:tcPr>
          <w:p w14:paraId="58AA84CA">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现状评价</w:t>
            </w:r>
          </w:p>
        </w:tc>
        <w:tc>
          <w:tcPr>
            <w:tcW w:w="1154" w:type="dxa"/>
            <w:tcBorders>
              <w:tl2br w:val="nil"/>
              <w:tr2bl w:val="nil"/>
            </w:tcBorders>
            <w:vAlign w:val="center"/>
          </w:tcPr>
          <w:p w14:paraId="20B50FA1">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环境空气</w:t>
            </w:r>
          </w:p>
        </w:tc>
        <w:tc>
          <w:tcPr>
            <w:tcW w:w="6672" w:type="dxa"/>
            <w:tcBorders>
              <w:tl2br w:val="nil"/>
              <w:tr2bl w:val="nil"/>
            </w:tcBorders>
            <w:vAlign w:val="center"/>
          </w:tcPr>
          <w:p w14:paraId="5D254996">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snapToGrid w:val="0"/>
                <w:color w:val="000000" w:themeColor="text1"/>
                <w:w w:val="99"/>
                <w:szCs w:val="21"/>
                <w:lang w:val="en-US"/>
                <w14:textFill>
                  <w14:solidFill>
                    <w14:schemeClr w14:val="tx1"/>
                  </w14:solidFill>
                </w14:textFill>
              </w:rPr>
              <w:t>NO</w:t>
            </w:r>
            <w:r>
              <w:rPr>
                <w:rFonts w:eastAsiaTheme="minorEastAsia"/>
                <w:snapToGrid w:val="0"/>
                <w:color w:val="000000" w:themeColor="text1"/>
                <w:w w:val="99"/>
                <w:szCs w:val="21"/>
                <w:vertAlign w:val="subscript"/>
                <w:lang w:val="en-US"/>
                <w14:textFill>
                  <w14:solidFill>
                    <w14:schemeClr w14:val="tx1"/>
                  </w14:solidFill>
                </w14:textFill>
              </w:rPr>
              <w:t>2</w:t>
            </w:r>
            <w:r>
              <w:rPr>
                <w:rFonts w:eastAsiaTheme="minorEastAsia"/>
                <w:snapToGrid w:val="0"/>
                <w:color w:val="000000" w:themeColor="text1"/>
                <w:w w:val="99"/>
                <w:szCs w:val="21"/>
                <w14:textFill>
                  <w14:solidFill>
                    <w14:schemeClr w14:val="tx1"/>
                  </w14:solidFill>
                </w14:textFill>
              </w:rPr>
              <w:t>、</w:t>
            </w:r>
            <w:r>
              <w:rPr>
                <w:rFonts w:eastAsiaTheme="minorEastAsia"/>
                <w:snapToGrid w:val="0"/>
                <w:color w:val="000000" w:themeColor="text1"/>
                <w:w w:val="99"/>
                <w:szCs w:val="21"/>
                <w:lang w:val="en-US"/>
                <w14:textFill>
                  <w14:solidFill>
                    <w14:schemeClr w14:val="tx1"/>
                  </w14:solidFill>
                </w14:textFill>
              </w:rPr>
              <w:t>SO</w:t>
            </w:r>
            <w:r>
              <w:rPr>
                <w:rFonts w:eastAsiaTheme="minorEastAsia"/>
                <w:snapToGrid w:val="0"/>
                <w:color w:val="000000" w:themeColor="text1"/>
                <w:w w:val="99"/>
                <w:szCs w:val="21"/>
                <w:vertAlign w:val="subscript"/>
                <w:lang w:val="en-US"/>
                <w14:textFill>
                  <w14:solidFill>
                    <w14:schemeClr w14:val="tx1"/>
                  </w14:solidFill>
                </w14:textFill>
              </w:rPr>
              <w:t>2</w:t>
            </w:r>
            <w:r>
              <w:rPr>
                <w:rFonts w:eastAsiaTheme="minorEastAsia"/>
                <w:snapToGrid w:val="0"/>
                <w:color w:val="000000" w:themeColor="text1"/>
                <w:w w:val="99"/>
                <w:szCs w:val="21"/>
                <w14:textFill>
                  <w14:solidFill>
                    <w14:schemeClr w14:val="tx1"/>
                  </w14:solidFill>
                </w14:textFill>
              </w:rPr>
              <w:t>、</w:t>
            </w:r>
            <w:r>
              <w:rPr>
                <w:rFonts w:eastAsiaTheme="minorEastAsia"/>
                <w:snapToGrid w:val="0"/>
                <w:color w:val="000000" w:themeColor="text1"/>
                <w:w w:val="99"/>
                <w:szCs w:val="21"/>
                <w:lang w:val="en-US"/>
                <w14:textFill>
                  <w14:solidFill>
                    <w14:schemeClr w14:val="tx1"/>
                  </w14:solidFill>
                </w14:textFill>
              </w:rPr>
              <w:t>O</w:t>
            </w:r>
            <w:r>
              <w:rPr>
                <w:rFonts w:eastAsiaTheme="minorEastAsia"/>
                <w:snapToGrid w:val="0"/>
                <w:color w:val="000000" w:themeColor="text1"/>
                <w:w w:val="99"/>
                <w:szCs w:val="21"/>
                <w:vertAlign w:val="subscript"/>
                <w:lang w:val="en-US"/>
                <w14:textFill>
                  <w14:solidFill>
                    <w14:schemeClr w14:val="tx1"/>
                  </w14:solidFill>
                </w14:textFill>
              </w:rPr>
              <w:t>3</w:t>
            </w:r>
            <w:r>
              <w:rPr>
                <w:rFonts w:eastAsiaTheme="minorEastAsia"/>
                <w:snapToGrid w:val="0"/>
                <w:color w:val="000000" w:themeColor="text1"/>
                <w:w w:val="99"/>
                <w:szCs w:val="21"/>
                <w14:textFill>
                  <w14:solidFill>
                    <w14:schemeClr w14:val="tx1"/>
                  </w14:solidFill>
                </w14:textFill>
              </w:rPr>
              <w:t>、</w:t>
            </w:r>
            <w:r>
              <w:rPr>
                <w:rFonts w:eastAsiaTheme="minorEastAsia"/>
                <w:snapToGrid w:val="0"/>
                <w:color w:val="000000" w:themeColor="text1"/>
                <w:w w:val="99"/>
                <w:szCs w:val="21"/>
                <w:lang w:val="en-US"/>
                <w14:textFill>
                  <w14:solidFill>
                    <w14:schemeClr w14:val="tx1"/>
                  </w14:solidFill>
                </w14:textFill>
              </w:rPr>
              <w:t>CO</w:t>
            </w:r>
            <w:r>
              <w:rPr>
                <w:rFonts w:eastAsiaTheme="minorEastAsia"/>
                <w:snapToGrid w:val="0"/>
                <w:color w:val="000000" w:themeColor="text1"/>
                <w:w w:val="99"/>
                <w:szCs w:val="21"/>
                <w14:textFill>
                  <w14:solidFill>
                    <w14:schemeClr w14:val="tx1"/>
                  </w14:solidFill>
                </w14:textFill>
              </w:rPr>
              <w:t>、</w:t>
            </w:r>
            <w:r>
              <w:rPr>
                <w:rFonts w:eastAsiaTheme="minorEastAsia"/>
                <w:snapToGrid w:val="0"/>
                <w:color w:val="000000" w:themeColor="text1"/>
                <w:w w:val="99"/>
                <w:szCs w:val="21"/>
                <w:lang w:val="en-US"/>
                <w14:textFill>
                  <w14:solidFill>
                    <w14:schemeClr w14:val="tx1"/>
                  </w14:solidFill>
                </w14:textFill>
              </w:rPr>
              <w:t>PM</w:t>
            </w:r>
            <w:r>
              <w:rPr>
                <w:rFonts w:eastAsiaTheme="minorEastAsia"/>
                <w:snapToGrid w:val="0"/>
                <w:color w:val="000000" w:themeColor="text1"/>
                <w:w w:val="99"/>
                <w:szCs w:val="21"/>
                <w:vertAlign w:val="subscript"/>
                <w:lang w:val="en-US"/>
                <w14:textFill>
                  <w14:solidFill>
                    <w14:schemeClr w14:val="tx1"/>
                  </w14:solidFill>
                </w14:textFill>
              </w:rPr>
              <w:t>10</w:t>
            </w:r>
            <w:r>
              <w:rPr>
                <w:rFonts w:eastAsiaTheme="minorEastAsia"/>
                <w:snapToGrid w:val="0"/>
                <w:color w:val="000000" w:themeColor="text1"/>
                <w:w w:val="99"/>
                <w:szCs w:val="21"/>
                <w14:textFill>
                  <w14:solidFill>
                    <w14:schemeClr w14:val="tx1"/>
                  </w14:solidFill>
                </w14:textFill>
              </w:rPr>
              <w:t>、</w:t>
            </w:r>
            <w:r>
              <w:rPr>
                <w:rFonts w:eastAsiaTheme="minorEastAsia"/>
                <w:snapToGrid w:val="0"/>
                <w:color w:val="000000" w:themeColor="text1"/>
                <w:w w:val="99"/>
                <w:szCs w:val="21"/>
                <w:lang w:val="en-US"/>
                <w14:textFill>
                  <w14:solidFill>
                    <w14:schemeClr w14:val="tx1"/>
                  </w14:solidFill>
                </w14:textFill>
              </w:rPr>
              <w:t>PM</w:t>
            </w:r>
            <w:r>
              <w:rPr>
                <w:rFonts w:eastAsiaTheme="minorEastAsia"/>
                <w:snapToGrid w:val="0"/>
                <w:color w:val="000000" w:themeColor="text1"/>
                <w:w w:val="99"/>
                <w:szCs w:val="21"/>
                <w:vertAlign w:val="subscript"/>
                <w:lang w:val="en-US"/>
                <w14:textFill>
                  <w14:solidFill>
                    <w14:schemeClr w14:val="tx1"/>
                  </w14:solidFill>
                </w14:textFill>
              </w:rPr>
              <w:t>2.5</w:t>
            </w:r>
            <w:r>
              <w:rPr>
                <w:rFonts w:eastAsiaTheme="minorEastAsia"/>
                <w:snapToGrid w:val="0"/>
                <w:color w:val="000000" w:themeColor="text1"/>
                <w:w w:val="99"/>
                <w:szCs w:val="21"/>
                <w14:textFill>
                  <w14:solidFill>
                    <w14:schemeClr w14:val="tx1"/>
                  </w14:solidFill>
                </w14:textFill>
              </w:rPr>
              <w:t>、</w:t>
            </w:r>
            <w:r>
              <w:rPr>
                <w:rFonts w:eastAsiaTheme="minorEastAsia"/>
                <w:color w:val="000000" w:themeColor="text1"/>
                <w:w w:val="99"/>
                <w:kern w:val="2"/>
                <w:sz w:val="21"/>
                <w:szCs w:val="21"/>
                <w:lang w:val="en-US" w:bidi="ar-SA"/>
                <w14:textFill>
                  <w14:solidFill>
                    <w14:schemeClr w14:val="tx1"/>
                  </w14:solidFill>
                </w14:textFill>
              </w:rPr>
              <w:t>非甲烷总烃</w:t>
            </w:r>
          </w:p>
        </w:tc>
      </w:tr>
      <w:tr w14:paraId="1448E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67" w:type="dxa"/>
            <w:vMerge w:val="continue"/>
            <w:tcBorders>
              <w:tl2br w:val="nil"/>
              <w:tr2bl w:val="nil"/>
            </w:tcBorders>
            <w:vAlign w:val="center"/>
          </w:tcPr>
          <w:p w14:paraId="566719FB">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98" w:type="dxa"/>
            <w:vMerge w:val="continue"/>
            <w:tcBorders>
              <w:tl2br w:val="nil"/>
              <w:tr2bl w:val="nil"/>
            </w:tcBorders>
            <w:vAlign w:val="center"/>
          </w:tcPr>
          <w:p w14:paraId="4C5C8D85">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1154" w:type="dxa"/>
            <w:tcBorders>
              <w:tl2br w:val="nil"/>
              <w:tr2bl w:val="nil"/>
            </w:tcBorders>
            <w:vAlign w:val="center"/>
          </w:tcPr>
          <w:p w14:paraId="15AE1145">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地下水</w:t>
            </w:r>
          </w:p>
        </w:tc>
        <w:tc>
          <w:tcPr>
            <w:tcW w:w="6672" w:type="dxa"/>
            <w:tcBorders>
              <w:tl2br w:val="nil"/>
              <w:tr2bl w:val="nil"/>
            </w:tcBorders>
            <w:vAlign w:val="center"/>
          </w:tcPr>
          <w:p w14:paraId="51D93166">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K</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、Na</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、Ca</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2</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+、Mg</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2+</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、CO</w:t>
            </w:r>
            <w:r>
              <w:rPr>
                <w:rFonts w:ascii="Times New Roman" w:hAnsi="Times New Roman" w:cs="Times New Roman" w:eastAsiaTheme="minorEastAsia"/>
                <w:color w:val="000000" w:themeColor="text1"/>
                <w:w w:val="99"/>
                <w:kern w:val="2"/>
                <w:sz w:val="21"/>
                <w:szCs w:val="21"/>
                <w:vertAlign w:val="subscript"/>
                <w:lang w:val="en-US" w:bidi="ar-SA"/>
                <w14:textFill>
                  <w14:solidFill>
                    <w14:schemeClr w14:val="tx1"/>
                  </w14:solidFill>
                </w14:textFill>
              </w:rPr>
              <w:t>3</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2-</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、HCO</w:t>
            </w:r>
            <w:r>
              <w:rPr>
                <w:rFonts w:ascii="Times New Roman" w:hAnsi="Times New Roman" w:cs="Times New Roman" w:eastAsiaTheme="minorEastAsia"/>
                <w:color w:val="000000" w:themeColor="text1"/>
                <w:w w:val="99"/>
                <w:kern w:val="2"/>
                <w:sz w:val="21"/>
                <w:szCs w:val="21"/>
                <w:vertAlign w:val="subscript"/>
                <w:lang w:val="en-US" w:bidi="ar-SA"/>
                <w14:textFill>
                  <w14:solidFill>
                    <w14:schemeClr w14:val="tx1"/>
                  </w14:solidFill>
                </w14:textFill>
              </w:rPr>
              <w:t>3</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-、Cl</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、SO</w:t>
            </w:r>
            <w:r>
              <w:rPr>
                <w:rFonts w:ascii="Times New Roman" w:hAnsi="Times New Roman" w:cs="Times New Roman" w:eastAsiaTheme="minorEastAsia"/>
                <w:color w:val="000000" w:themeColor="text1"/>
                <w:w w:val="99"/>
                <w:kern w:val="2"/>
                <w:sz w:val="21"/>
                <w:szCs w:val="21"/>
                <w:vertAlign w:val="subscript"/>
                <w:lang w:val="en-US" w:bidi="ar-SA"/>
                <w14:textFill>
                  <w14:solidFill>
                    <w14:schemeClr w14:val="tx1"/>
                  </w14:solidFill>
                </w14:textFill>
              </w:rPr>
              <w:t>4</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2-</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、pH、氨氮、硝酸盐、亚硝酸盐、挥发性酚类、氰化物、砷、汞、铬（六价）、总硬度、铅、氟化物、镉、铁、锰、溶解性总固体、耗氧量、总大肠菌群、菌落总数、石油类</w:t>
            </w:r>
          </w:p>
        </w:tc>
      </w:tr>
      <w:tr w14:paraId="59BBD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67" w:type="dxa"/>
            <w:vMerge w:val="continue"/>
            <w:tcBorders>
              <w:tl2br w:val="nil"/>
              <w:tr2bl w:val="nil"/>
            </w:tcBorders>
            <w:vAlign w:val="center"/>
          </w:tcPr>
          <w:p w14:paraId="4C89DCFA">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98" w:type="dxa"/>
            <w:vMerge w:val="continue"/>
            <w:tcBorders>
              <w:tl2br w:val="nil"/>
              <w:tr2bl w:val="nil"/>
            </w:tcBorders>
            <w:vAlign w:val="center"/>
          </w:tcPr>
          <w:p w14:paraId="5FEF38B0">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1154" w:type="dxa"/>
            <w:vMerge w:val="restart"/>
            <w:tcBorders>
              <w:tl2br w:val="nil"/>
              <w:tr2bl w:val="nil"/>
            </w:tcBorders>
            <w:vAlign w:val="center"/>
          </w:tcPr>
          <w:p w14:paraId="775E97EB">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土壤</w:t>
            </w:r>
          </w:p>
        </w:tc>
        <w:tc>
          <w:tcPr>
            <w:tcW w:w="6672" w:type="dxa"/>
            <w:tcBorders>
              <w:tl2br w:val="nil"/>
              <w:tr2bl w:val="nil"/>
            </w:tcBorders>
            <w:vAlign w:val="center"/>
          </w:tcPr>
          <w:p w14:paraId="02F7065D">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建设用地：pH、Cd、Hg、As、Pb、Cr（六价）、Cu、Ni、苯、甲苯、乙苯、氯苯、苯乙烯、间二甲苯+对二甲苯、邻二甲苯、氯乙烯、1，2-二氯苯、1，4-二氯苯、四氯化碳、氯仿、氯甲烷、1，1-二氯乙烷、1，2-二氯乙烷、1，1-二氯乙烯、顺-1，2-二氯乙烯、反-1，2-二氯乙烯、二氯甲烷、1，2-二氯丙烷、1，1，1，2-四氯乙烷、1，1，2，2-四氯乙烷、四氯乙烯、1，1，1-三氯乙烷、1，1，2-三氯乙烷、三氯乙烯、1，2，3-三氯丙烷、硝基苯、苯胺、2-氯酚、䓛、萘、苯并（a）蒽、苯并（b）荧蒽、苯并（k）荧蒽、苯并(a)芘、茚并（1，2，3-cd）芘、二苯并（a，h）蒽、石油烃（C</w:t>
            </w:r>
            <w:r>
              <w:rPr>
                <w:rFonts w:ascii="Times New Roman" w:hAnsi="Times New Roman" w:cs="Times New Roman" w:eastAsiaTheme="minorEastAsia"/>
                <w:color w:val="000000" w:themeColor="text1"/>
                <w:w w:val="99"/>
                <w:kern w:val="2"/>
                <w:sz w:val="21"/>
                <w:szCs w:val="21"/>
                <w:vertAlign w:val="subscript"/>
                <w:lang w:val="en-US" w:bidi="ar-SA"/>
                <w14:textFill>
                  <w14:solidFill>
                    <w14:schemeClr w14:val="tx1"/>
                  </w14:solidFill>
                </w14:textFill>
              </w:rPr>
              <w:t>10</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-C</w:t>
            </w:r>
            <w:r>
              <w:rPr>
                <w:rFonts w:ascii="Times New Roman" w:hAnsi="Times New Roman" w:cs="Times New Roman" w:eastAsiaTheme="minorEastAsia"/>
                <w:color w:val="000000" w:themeColor="text1"/>
                <w:w w:val="99"/>
                <w:kern w:val="2"/>
                <w:sz w:val="21"/>
                <w:szCs w:val="21"/>
                <w:vertAlign w:val="subscript"/>
                <w:lang w:val="en-US" w:bidi="ar-SA"/>
                <w14:textFill>
                  <w14:solidFill>
                    <w14:schemeClr w14:val="tx1"/>
                  </w14:solidFill>
                </w14:textFill>
              </w:rPr>
              <w:t>40</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r>
      <w:tr w14:paraId="15B81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67" w:type="dxa"/>
            <w:vMerge w:val="continue"/>
            <w:tcBorders>
              <w:tl2br w:val="nil"/>
              <w:tr2bl w:val="nil"/>
            </w:tcBorders>
            <w:vAlign w:val="center"/>
          </w:tcPr>
          <w:p w14:paraId="16603D1E">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98" w:type="dxa"/>
            <w:vMerge w:val="continue"/>
            <w:tcBorders>
              <w:tl2br w:val="nil"/>
              <w:tr2bl w:val="nil"/>
            </w:tcBorders>
            <w:vAlign w:val="center"/>
          </w:tcPr>
          <w:p w14:paraId="0515766D">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1154" w:type="dxa"/>
            <w:vMerge w:val="continue"/>
            <w:tcBorders>
              <w:tl2br w:val="nil"/>
              <w:tr2bl w:val="nil"/>
            </w:tcBorders>
            <w:vAlign w:val="center"/>
          </w:tcPr>
          <w:p w14:paraId="236CF4DD">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672" w:type="dxa"/>
            <w:tcBorders>
              <w:tl2br w:val="nil"/>
              <w:tr2bl w:val="nil"/>
            </w:tcBorders>
            <w:vAlign w:val="center"/>
          </w:tcPr>
          <w:p w14:paraId="25FA7DC8">
            <w:pPr>
              <w:pStyle w:val="169"/>
              <w:spacing w:line="360" w:lineRule="exact"/>
              <w:jc w:val="left"/>
              <w:rPr>
                <w:rFonts w:ascii="Times New Roman" w:hAnsi="Times New Roman" w:eastAsiaTheme="minorEastAsia"/>
                <w:color w:val="000000" w:themeColor="text1"/>
                <w:w w:val="99"/>
                <w:szCs w:val="21"/>
                <w:lang w:val="en-US" w:bidi="ar-SA"/>
                <w14:textFill>
                  <w14:solidFill>
                    <w14:schemeClr w14:val="tx1"/>
                  </w14:solidFill>
                </w14:textFill>
              </w:rPr>
            </w:pPr>
            <w:r>
              <w:rPr>
                <w:rFonts w:ascii="Times New Roman" w:hAnsi="Times New Roman" w:eastAsiaTheme="minorEastAsia"/>
                <w:color w:val="000000" w:themeColor="text1"/>
                <w:w w:val="99"/>
                <w:szCs w:val="21"/>
                <w:lang w:val="en-US" w:bidi="ar-SA"/>
                <w14:textFill>
                  <w14:solidFill>
                    <w14:schemeClr w14:val="tx1"/>
                  </w14:solidFill>
                </w14:textFill>
              </w:rPr>
              <w:t>农用地：pH、镉、汞、砷、铅、铬、铜、镍、锌、石油烃（C</w:t>
            </w:r>
            <w:r>
              <w:rPr>
                <w:rFonts w:ascii="Times New Roman" w:hAnsi="Times New Roman" w:eastAsiaTheme="minorEastAsia"/>
                <w:color w:val="000000" w:themeColor="text1"/>
                <w:w w:val="99"/>
                <w:szCs w:val="21"/>
                <w:vertAlign w:val="subscript"/>
                <w:lang w:val="en-US" w:bidi="ar-SA"/>
                <w14:textFill>
                  <w14:solidFill>
                    <w14:schemeClr w14:val="tx1"/>
                  </w14:solidFill>
                </w14:textFill>
              </w:rPr>
              <w:t>10</w:t>
            </w:r>
            <w:r>
              <w:rPr>
                <w:rFonts w:ascii="Times New Roman" w:hAnsi="Times New Roman" w:eastAsiaTheme="minorEastAsia"/>
                <w:color w:val="000000" w:themeColor="text1"/>
                <w:w w:val="99"/>
                <w:szCs w:val="21"/>
                <w:lang w:val="en-US" w:bidi="ar-SA"/>
                <w14:textFill>
                  <w14:solidFill>
                    <w14:schemeClr w14:val="tx1"/>
                  </w14:solidFill>
                </w14:textFill>
              </w:rPr>
              <w:t>-C</w:t>
            </w:r>
            <w:r>
              <w:rPr>
                <w:rFonts w:ascii="Times New Roman" w:hAnsi="Times New Roman" w:eastAsiaTheme="minorEastAsia"/>
                <w:color w:val="000000" w:themeColor="text1"/>
                <w:w w:val="99"/>
                <w:szCs w:val="21"/>
                <w:vertAlign w:val="subscript"/>
                <w:lang w:val="en-US" w:bidi="ar-SA"/>
                <w14:textFill>
                  <w14:solidFill>
                    <w14:schemeClr w14:val="tx1"/>
                  </w14:solidFill>
                </w14:textFill>
              </w:rPr>
              <w:t>40</w:t>
            </w:r>
            <w:r>
              <w:rPr>
                <w:rFonts w:ascii="Times New Roman" w:hAnsi="Times New Roman" w:eastAsiaTheme="minorEastAsia"/>
                <w:color w:val="000000" w:themeColor="text1"/>
                <w:w w:val="99"/>
                <w:szCs w:val="21"/>
                <w:lang w:val="en-US" w:bidi="ar-SA"/>
                <w14:textFill>
                  <w14:solidFill>
                    <w14:schemeClr w14:val="tx1"/>
                  </w14:solidFill>
                </w14:textFill>
              </w:rPr>
              <w:t>）</w:t>
            </w:r>
          </w:p>
        </w:tc>
      </w:tr>
      <w:tr w14:paraId="64F24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67" w:type="dxa"/>
            <w:vMerge w:val="continue"/>
            <w:tcBorders>
              <w:tl2br w:val="nil"/>
              <w:tr2bl w:val="nil"/>
            </w:tcBorders>
            <w:vAlign w:val="center"/>
          </w:tcPr>
          <w:p w14:paraId="53573C48">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98" w:type="dxa"/>
            <w:vMerge w:val="continue"/>
            <w:tcBorders>
              <w:tl2br w:val="nil"/>
              <w:tr2bl w:val="nil"/>
            </w:tcBorders>
            <w:vAlign w:val="center"/>
          </w:tcPr>
          <w:p w14:paraId="54B0661B">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1154" w:type="dxa"/>
            <w:tcBorders>
              <w:tl2br w:val="nil"/>
              <w:tr2bl w:val="nil"/>
            </w:tcBorders>
            <w:vAlign w:val="center"/>
          </w:tcPr>
          <w:p w14:paraId="0E49EC62">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生态</w:t>
            </w:r>
          </w:p>
        </w:tc>
        <w:tc>
          <w:tcPr>
            <w:tcW w:w="6672" w:type="dxa"/>
            <w:tcBorders>
              <w:tl2br w:val="nil"/>
              <w:tr2bl w:val="nil"/>
            </w:tcBorders>
            <w:vAlign w:val="center"/>
          </w:tcPr>
          <w:p w14:paraId="44FE2585">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动物、植被、生物量、土地利用现状</w:t>
            </w:r>
          </w:p>
        </w:tc>
      </w:tr>
      <w:tr w14:paraId="5040D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567" w:type="dxa"/>
            <w:vMerge w:val="continue"/>
            <w:tcBorders>
              <w:tl2br w:val="nil"/>
              <w:tr2bl w:val="nil"/>
            </w:tcBorders>
            <w:vAlign w:val="center"/>
          </w:tcPr>
          <w:p w14:paraId="3DE04A2D">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98" w:type="dxa"/>
            <w:vMerge w:val="continue"/>
            <w:tcBorders>
              <w:tl2br w:val="nil"/>
              <w:tr2bl w:val="nil"/>
            </w:tcBorders>
            <w:vAlign w:val="center"/>
          </w:tcPr>
          <w:p w14:paraId="608A686D">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1154" w:type="dxa"/>
            <w:tcBorders>
              <w:tl2br w:val="nil"/>
              <w:tr2bl w:val="nil"/>
            </w:tcBorders>
            <w:vAlign w:val="center"/>
          </w:tcPr>
          <w:p w14:paraId="38D513C3">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声环境</w:t>
            </w:r>
          </w:p>
        </w:tc>
        <w:tc>
          <w:tcPr>
            <w:tcW w:w="6672" w:type="dxa"/>
            <w:tcBorders>
              <w:tl2br w:val="nil"/>
              <w:tr2bl w:val="nil"/>
            </w:tcBorders>
            <w:vAlign w:val="center"/>
          </w:tcPr>
          <w:p w14:paraId="6163E479">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等效连续A声级Leq（A）</w:t>
            </w:r>
          </w:p>
        </w:tc>
      </w:tr>
      <w:tr w14:paraId="64219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67" w:type="dxa"/>
            <w:vMerge w:val="continue"/>
            <w:tcBorders>
              <w:tl2br w:val="nil"/>
              <w:tr2bl w:val="nil"/>
            </w:tcBorders>
            <w:vAlign w:val="center"/>
          </w:tcPr>
          <w:p w14:paraId="2749D1EE">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98" w:type="dxa"/>
            <w:vMerge w:val="restart"/>
            <w:tcBorders>
              <w:tl2br w:val="nil"/>
              <w:tr2bl w:val="nil"/>
            </w:tcBorders>
            <w:vAlign w:val="center"/>
          </w:tcPr>
          <w:p w14:paraId="05CC1A31">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影响</w:t>
            </w:r>
          </w:p>
          <w:p w14:paraId="5607549A">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评价</w:t>
            </w:r>
          </w:p>
        </w:tc>
        <w:tc>
          <w:tcPr>
            <w:tcW w:w="1154" w:type="dxa"/>
            <w:tcBorders>
              <w:tl2br w:val="nil"/>
              <w:tr2bl w:val="nil"/>
            </w:tcBorders>
            <w:vAlign w:val="center"/>
          </w:tcPr>
          <w:p w14:paraId="72457A2C">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废气</w:t>
            </w:r>
          </w:p>
        </w:tc>
        <w:tc>
          <w:tcPr>
            <w:tcW w:w="6672" w:type="dxa"/>
            <w:tcBorders>
              <w:tl2br w:val="nil"/>
              <w:tr2bl w:val="nil"/>
            </w:tcBorders>
            <w:vAlign w:val="center"/>
          </w:tcPr>
          <w:p w14:paraId="6E6CEF34">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非甲烷总烃</w:t>
            </w:r>
          </w:p>
        </w:tc>
      </w:tr>
      <w:tr w14:paraId="6BDC3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67" w:type="dxa"/>
            <w:vMerge w:val="continue"/>
            <w:tcBorders>
              <w:tl2br w:val="nil"/>
              <w:tr2bl w:val="nil"/>
            </w:tcBorders>
            <w:vAlign w:val="center"/>
          </w:tcPr>
          <w:p w14:paraId="63A3FD6E">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98" w:type="dxa"/>
            <w:vMerge w:val="continue"/>
            <w:tcBorders>
              <w:tl2br w:val="nil"/>
              <w:tr2bl w:val="nil"/>
            </w:tcBorders>
            <w:vAlign w:val="center"/>
          </w:tcPr>
          <w:p w14:paraId="655A1253">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1154" w:type="dxa"/>
            <w:tcBorders>
              <w:tl2br w:val="nil"/>
              <w:tr2bl w:val="nil"/>
            </w:tcBorders>
            <w:vAlign w:val="center"/>
          </w:tcPr>
          <w:p w14:paraId="4B7DEC91">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土壤</w:t>
            </w:r>
          </w:p>
        </w:tc>
        <w:tc>
          <w:tcPr>
            <w:tcW w:w="6672" w:type="dxa"/>
            <w:tcBorders>
              <w:tl2br w:val="nil"/>
              <w:tr2bl w:val="nil"/>
            </w:tcBorders>
            <w:vAlign w:val="center"/>
          </w:tcPr>
          <w:p w14:paraId="38E95E87">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石油烃</w:t>
            </w:r>
          </w:p>
        </w:tc>
      </w:tr>
      <w:tr w14:paraId="2709E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67" w:type="dxa"/>
            <w:vMerge w:val="continue"/>
            <w:tcBorders>
              <w:tl2br w:val="nil"/>
              <w:tr2bl w:val="nil"/>
            </w:tcBorders>
            <w:vAlign w:val="center"/>
          </w:tcPr>
          <w:p w14:paraId="79619211">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98" w:type="dxa"/>
            <w:vMerge w:val="continue"/>
            <w:tcBorders>
              <w:tl2br w:val="nil"/>
              <w:tr2bl w:val="nil"/>
            </w:tcBorders>
            <w:vAlign w:val="center"/>
          </w:tcPr>
          <w:p w14:paraId="2F2D8419">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1154" w:type="dxa"/>
            <w:tcBorders>
              <w:tl2br w:val="nil"/>
              <w:tr2bl w:val="nil"/>
            </w:tcBorders>
            <w:vAlign w:val="center"/>
          </w:tcPr>
          <w:p w14:paraId="0031788B">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地下水</w:t>
            </w:r>
          </w:p>
        </w:tc>
        <w:tc>
          <w:tcPr>
            <w:tcW w:w="6672" w:type="dxa"/>
            <w:tcBorders>
              <w:tl2br w:val="nil"/>
              <w:tr2bl w:val="nil"/>
            </w:tcBorders>
            <w:vAlign w:val="center"/>
          </w:tcPr>
          <w:p w14:paraId="04EA2E96">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石油类、悬浮物</w:t>
            </w:r>
          </w:p>
        </w:tc>
      </w:tr>
      <w:tr w14:paraId="71E13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67" w:type="dxa"/>
            <w:vMerge w:val="continue"/>
            <w:tcBorders>
              <w:tl2br w:val="nil"/>
              <w:tr2bl w:val="nil"/>
            </w:tcBorders>
            <w:vAlign w:val="center"/>
          </w:tcPr>
          <w:p w14:paraId="42AC336E">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98" w:type="dxa"/>
            <w:vMerge w:val="continue"/>
            <w:tcBorders>
              <w:tl2br w:val="nil"/>
              <w:tr2bl w:val="nil"/>
            </w:tcBorders>
            <w:vAlign w:val="center"/>
          </w:tcPr>
          <w:p w14:paraId="633DD831">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1154" w:type="dxa"/>
            <w:tcBorders>
              <w:tl2br w:val="nil"/>
              <w:tr2bl w:val="nil"/>
            </w:tcBorders>
            <w:vAlign w:val="center"/>
          </w:tcPr>
          <w:p w14:paraId="569BAE0F">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环境风险</w:t>
            </w:r>
          </w:p>
        </w:tc>
        <w:tc>
          <w:tcPr>
            <w:tcW w:w="6672" w:type="dxa"/>
            <w:tcBorders>
              <w:tl2br w:val="nil"/>
              <w:tr2bl w:val="nil"/>
            </w:tcBorders>
            <w:vAlign w:val="center"/>
          </w:tcPr>
          <w:p w14:paraId="2D71629F">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危险物质泄漏：石油、伴生天然气、硫化氢、一氧化碳</w:t>
            </w:r>
          </w:p>
        </w:tc>
      </w:tr>
    </w:tbl>
    <w:p w14:paraId="688227C4">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62" w:name="_Toc117794526"/>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2.4环境评价标准</w:t>
      </w:r>
      <w:bookmarkEnd w:id="62"/>
    </w:p>
    <w:p w14:paraId="643C6C6F">
      <w:pPr>
        <w:pStyle w:val="5"/>
        <w:keepNext/>
        <w:keepLines/>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63" w:name="_Toc117794527"/>
      <w:r>
        <w:rPr>
          <w:rFonts w:ascii="Times New Roman" w:hAnsi="Times New Roman" w:cs="Times New Roman" w:eastAsiaTheme="minorEastAsia"/>
          <w:color w:val="000000" w:themeColor="text1"/>
          <w:w w:val="99"/>
          <w:kern w:val="2"/>
          <w:lang w:val="en-US" w:bidi="ar-SA"/>
          <w14:textFill>
            <w14:solidFill>
              <w14:schemeClr w14:val="tx1"/>
            </w14:solidFill>
          </w14:textFill>
        </w:rPr>
        <w:t>2.4.1 环境质量标准</w:t>
      </w:r>
      <w:bookmarkEnd w:id="63"/>
    </w:p>
    <w:p w14:paraId="69DDFDCB">
      <w:pPr>
        <w:pStyle w:val="31"/>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（1）环境空气</w:t>
      </w:r>
    </w:p>
    <w:p w14:paraId="7D18BD2E">
      <w:pPr>
        <w:pStyle w:val="31"/>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根据《大庆市人民政府关于印发大庆市声环境功能区划分、大庆市环境空气质量功能区划分、大庆市地表水环境功能区划分的通知》（庆政发[2019]11号），本项目区域为二类环境空气质量功能区，区域环境空气中CO、O</w:t>
      </w:r>
      <w:r>
        <w:rPr>
          <w:rFonts w:ascii="Times New Roman" w:hAnsi="Times New Roman" w:cs="Times New Roman" w:eastAsiaTheme="minorEastAsia"/>
          <w:color w:val="000000" w:themeColor="text1"/>
          <w:w w:val="99"/>
          <w:sz w:val="24"/>
          <w:szCs w:val="24"/>
          <w:vertAlign w:val="subscript"/>
          <w14:textFill>
            <w14:solidFill>
              <w14:schemeClr w14:val="tx1"/>
            </w14:solidFill>
          </w14:textFill>
        </w:rPr>
        <w:t>3</w:t>
      </w:r>
      <w:r>
        <w:rPr>
          <w:rFonts w:ascii="Times New Roman" w:hAnsi="Times New Roman" w:cs="Times New Roman" w:eastAsiaTheme="minorEastAsia"/>
          <w:color w:val="000000" w:themeColor="text1"/>
          <w:w w:val="99"/>
          <w:sz w:val="24"/>
          <w:szCs w:val="24"/>
          <w14:textFill>
            <w14:solidFill>
              <w14:schemeClr w14:val="tx1"/>
            </w14:solidFill>
          </w14:textFill>
        </w:rPr>
        <w:t>、PM</w:t>
      </w:r>
      <w:r>
        <w:rPr>
          <w:rFonts w:ascii="Times New Roman" w:hAnsi="Times New Roman" w:cs="Times New Roman" w:eastAsiaTheme="minorEastAsia"/>
          <w:color w:val="000000" w:themeColor="text1"/>
          <w:w w:val="99"/>
          <w:sz w:val="24"/>
          <w:szCs w:val="24"/>
          <w:vertAlign w:val="subscript"/>
          <w14:textFill>
            <w14:solidFill>
              <w14:schemeClr w14:val="tx1"/>
            </w14:solidFill>
          </w14:textFill>
        </w:rPr>
        <w:t>10</w:t>
      </w:r>
      <w:r>
        <w:rPr>
          <w:rFonts w:ascii="Times New Roman" w:hAnsi="Times New Roman" w:cs="Times New Roman" w:eastAsiaTheme="minorEastAsia"/>
          <w:color w:val="000000" w:themeColor="text1"/>
          <w:w w:val="99"/>
          <w:sz w:val="24"/>
          <w:szCs w:val="24"/>
          <w14:textFill>
            <w14:solidFill>
              <w14:schemeClr w14:val="tx1"/>
            </w14:solidFill>
          </w14:textFill>
        </w:rPr>
        <w:t>、PM</w:t>
      </w:r>
      <w:r>
        <w:rPr>
          <w:rFonts w:ascii="Times New Roman" w:hAnsi="Times New Roman" w:cs="Times New Roman" w:eastAsiaTheme="minorEastAsia"/>
          <w:color w:val="000000" w:themeColor="text1"/>
          <w:w w:val="99"/>
          <w:sz w:val="24"/>
          <w:szCs w:val="24"/>
          <w:vertAlign w:val="subscript"/>
          <w14:textFill>
            <w14:solidFill>
              <w14:schemeClr w14:val="tx1"/>
            </w14:solidFill>
          </w14:textFill>
        </w:rPr>
        <w:t>2.5</w:t>
      </w:r>
      <w:r>
        <w:rPr>
          <w:rFonts w:ascii="Times New Roman" w:hAnsi="Times New Roman" w:cs="Times New Roman" w:eastAsiaTheme="minorEastAsia"/>
          <w:color w:val="000000" w:themeColor="text1"/>
          <w:w w:val="99"/>
          <w:sz w:val="24"/>
          <w:szCs w:val="24"/>
          <w14:textFill>
            <w14:solidFill>
              <w14:schemeClr w14:val="tx1"/>
            </w14:solidFill>
          </w14:textFill>
        </w:rPr>
        <w:t>、SO</w:t>
      </w:r>
      <w:r>
        <w:rPr>
          <w:rFonts w:ascii="Times New Roman" w:hAnsi="Times New Roman" w:cs="Times New Roman" w:eastAsiaTheme="minorEastAsia"/>
          <w:color w:val="000000" w:themeColor="text1"/>
          <w:w w:val="99"/>
          <w:sz w:val="24"/>
          <w:szCs w:val="24"/>
          <w:vertAlign w:val="subscript"/>
          <w14:textFill>
            <w14:solidFill>
              <w14:schemeClr w14:val="tx1"/>
            </w14:solidFill>
          </w14:textFill>
        </w:rPr>
        <w:t>2</w:t>
      </w:r>
      <w:r>
        <w:rPr>
          <w:rFonts w:ascii="Times New Roman" w:hAnsi="Times New Roman" w:cs="Times New Roman" w:eastAsiaTheme="minorEastAsia"/>
          <w:color w:val="000000" w:themeColor="text1"/>
          <w:w w:val="99"/>
          <w:sz w:val="24"/>
          <w:szCs w:val="24"/>
          <w14:textFill>
            <w14:solidFill>
              <w14:schemeClr w14:val="tx1"/>
            </w14:solidFill>
          </w14:textFill>
        </w:rPr>
        <w:t>、NO</w:t>
      </w:r>
      <w:r>
        <w:rPr>
          <w:rFonts w:ascii="Times New Roman" w:hAnsi="Times New Roman" w:cs="Times New Roman" w:eastAsiaTheme="minorEastAsia"/>
          <w:color w:val="000000" w:themeColor="text1"/>
          <w:w w:val="99"/>
          <w:sz w:val="24"/>
          <w:szCs w:val="24"/>
          <w:vertAlign w:val="subscript"/>
          <w14:textFill>
            <w14:solidFill>
              <w14:schemeClr w14:val="tx1"/>
            </w14:solidFill>
          </w14:textFill>
        </w:rPr>
        <w:t>2</w:t>
      </w:r>
      <w:r>
        <w:rPr>
          <w:rFonts w:ascii="Times New Roman" w:hAnsi="Times New Roman" w:cs="Times New Roman" w:eastAsiaTheme="minorEastAsia"/>
          <w:color w:val="000000" w:themeColor="text1"/>
          <w:w w:val="99"/>
          <w:sz w:val="24"/>
          <w:szCs w:val="24"/>
          <w14:textFill>
            <w14:solidFill>
              <w14:schemeClr w14:val="tx1"/>
            </w14:solidFill>
          </w14:textFill>
        </w:rPr>
        <w:t>执行《环境空气质量标准》（GB3095-2012）及其修改单中二级标准。具体标准值见表2.4-1。</w:t>
      </w:r>
    </w:p>
    <w:p w14:paraId="63F7DE99">
      <w:pPr>
        <w:pStyle w:val="31"/>
        <w:spacing w:line="500" w:lineRule="exact"/>
        <w:ind w:firstLine="476" w:firstLineChars="200"/>
        <w:jc w:val="both"/>
        <w:rPr>
          <w:rFonts w:ascii="Times New Roman" w:hAnsi="Times New Roman" w:cs="Times New Roman" w:eastAsiaTheme="minorEastAsia"/>
          <w:b/>
          <w:bCs/>
          <w:color w:val="000000" w:themeColor="text1"/>
          <w:w w:val="99"/>
          <w:sz w:val="24"/>
          <w:szCs w:val="24"/>
          <w14:textFill>
            <w14:solidFill>
              <w14:schemeClr w14:val="tx1"/>
            </w14:solidFill>
          </w14:textFill>
        </w:rPr>
      </w:pPr>
      <w:r>
        <w:rPr>
          <w:rFonts w:ascii="Times New Roman" w:hAnsi="Times New Roman" w:cs="Times New Roman" w:eastAsiaTheme="minorEastAsia"/>
          <w:b/>
          <w:bCs/>
          <w:color w:val="000000" w:themeColor="text1"/>
          <w:w w:val="99"/>
          <w:sz w:val="24"/>
          <w:szCs w:val="24"/>
          <w14:textFill>
            <w14:solidFill>
              <w14:schemeClr w14:val="tx1"/>
            </w14:solidFill>
          </w14:textFill>
        </w:rPr>
        <w:t>表2.4-1</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 xml:space="preserve">        </w:t>
      </w:r>
      <w:r>
        <w:rPr>
          <w:rFonts w:ascii="Times New Roman" w:hAnsi="Times New Roman" w:cs="Times New Roman" w:eastAsiaTheme="minorEastAsia"/>
          <w:b/>
          <w:bCs/>
          <w:color w:val="000000" w:themeColor="text1"/>
          <w:w w:val="99"/>
          <w:sz w:val="24"/>
          <w:szCs w:val="24"/>
          <w14:textFill>
            <w14:solidFill>
              <w14:schemeClr w14:val="tx1"/>
            </w14:solidFill>
          </w14:textFill>
        </w:rPr>
        <w:t>环境空气质量标准</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 xml:space="preserve"> </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6"/>
        <w:gridCol w:w="1398"/>
        <w:gridCol w:w="821"/>
        <w:gridCol w:w="823"/>
        <w:gridCol w:w="823"/>
        <w:gridCol w:w="823"/>
        <w:gridCol w:w="823"/>
        <w:gridCol w:w="878"/>
        <w:gridCol w:w="821"/>
      </w:tblGrid>
      <w:tr w14:paraId="4882B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70" w:type="pct"/>
            <w:gridSpan w:val="2"/>
            <w:vAlign w:val="center"/>
          </w:tcPr>
          <w:p w14:paraId="36FAFE06">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bookmarkStart w:id="64" w:name="_Hlk71204546"/>
            <w:r>
              <w:rPr>
                <w:rFonts w:ascii="Times New Roman" w:hAnsi="Times New Roman" w:cs="Times New Roman" w:eastAsiaTheme="minorEastAsia"/>
                <w:color w:val="000000" w:themeColor="text1"/>
                <w:w w:val="99"/>
                <w:kern w:val="2"/>
                <w:sz w:val="21"/>
                <w:szCs w:val="21"/>
                <w14:textFill>
                  <w14:solidFill>
                    <w14:schemeClr w14:val="tx1"/>
                  </w14:solidFill>
                </w14:textFill>
              </w:rPr>
              <w:t>污染物名称</w:t>
            </w:r>
          </w:p>
        </w:tc>
        <w:tc>
          <w:tcPr>
            <w:tcW w:w="442" w:type="pct"/>
            <w:vAlign w:val="center"/>
          </w:tcPr>
          <w:p w14:paraId="55F0105C">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TSP</w:t>
            </w:r>
          </w:p>
        </w:tc>
        <w:tc>
          <w:tcPr>
            <w:tcW w:w="443" w:type="pct"/>
            <w:vAlign w:val="center"/>
          </w:tcPr>
          <w:p w14:paraId="75B06DA3">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PM</w:t>
            </w:r>
            <w:r>
              <w:rPr>
                <w:rFonts w:ascii="Times New Roman" w:hAnsi="Times New Roman" w:cs="Times New Roman" w:eastAsiaTheme="minorEastAsia"/>
                <w:color w:val="000000" w:themeColor="text1"/>
                <w:w w:val="99"/>
                <w:kern w:val="2"/>
                <w:sz w:val="21"/>
                <w:szCs w:val="21"/>
                <w:vertAlign w:val="subscript"/>
                <w14:textFill>
                  <w14:solidFill>
                    <w14:schemeClr w14:val="tx1"/>
                  </w14:solidFill>
                </w14:textFill>
              </w:rPr>
              <w:t>10</w:t>
            </w:r>
          </w:p>
        </w:tc>
        <w:tc>
          <w:tcPr>
            <w:tcW w:w="443" w:type="pct"/>
            <w:vAlign w:val="center"/>
          </w:tcPr>
          <w:p w14:paraId="0C6B0CB7">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PM</w:t>
            </w:r>
            <w:r>
              <w:rPr>
                <w:rFonts w:ascii="Times New Roman" w:hAnsi="Times New Roman" w:cs="Times New Roman" w:eastAsiaTheme="minorEastAsia"/>
                <w:color w:val="000000" w:themeColor="text1"/>
                <w:w w:val="99"/>
                <w:kern w:val="2"/>
                <w:sz w:val="21"/>
                <w:szCs w:val="21"/>
                <w:vertAlign w:val="subscript"/>
                <w14:textFill>
                  <w14:solidFill>
                    <w14:schemeClr w14:val="tx1"/>
                  </w14:solidFill>
                </w14:textFill>
              </w:rPr>
              <w:t>2.5</w:t>
            </w:r>
          </w:p>
        </w:tc>
        <w:tc>
          <w:tcPr>
            <w:tcW w:w="443" w:type="pct"/>
            <w:vAlign w:val="center"/>
          </w:tcPr>
          <w:p w14:paraId="01D37DC2">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SO</w:t>
            </w:r>
            <w:r>
              <w:rPr>
                <w:rFonts w:ascii="Times New Roman" w:hAnsi="Times New Roman" w:cs="Times New Roman" w:eastAsiaTheme="minorEastAsia"/>
                <w:color w:val="000000" w:themeColor="text1"/>
                <w:w w:val="99"/>
                <w:kern w:val="2"/>
                <w:sz w:val="21"/>
                <w:szCs w:val="21"/>
                <w:vertAlign w:val="subscript"/>
                <w14:textFill>
                  <w14:solidFill>
                    <w14:schemeClr w14:val="tx1"/>
                  </w14:solidFill>
                </w14:textFill>
              </w:rPr>
              <w:t>2</w:t>
            </w:r>
          </w:p>
        </w:tc>
        <w:tc>
          <w:tcPr>
            <w:tcW w:w="443" w:type="pct"/>
            <w:vAlign w:val="center"/>
          </w:tcPr>
          <w:p w14:paraId="298C3493">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NO</w:t>
            </w:r>
            <w:r>
              <w:rPr>
                <w:rFonts w:ascii="Times New Roman" w:hAnsi="Times New Roman" w:cs="Times New Roman" w:eastAsiaTheme="minorEastAsia"/>
                <w:color w:val="000000" w:themeColor="text1"/>
                <w:w w:val="99"/>
                <w:kern w:val="2"/>
                <w:sz w:val="21"/>
                <w:szCs w:val="21"/>
                <w:vertAlign w:val="subscript"/>
                <w14:textFill>
                  <w14:solidFill>
                    <w14:schemeClr w14:val="tx1"/>
                  </w14:solidFill>
                </w14:textFill>
              </w:rPr>
              <w:t>2</w:t>
            </w:r>
          </w:p>
        </w:tc>
        <w:tc>
          <w:tcPr>
            <w:tcW w:w="473" w:type="pct"/>
            <w:vAlign w:val="center"/>
          </w:tcPr>
          <w:p w14:paraId="02C9AE9F">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CO</w:t>
            </w:r>
          </w:p>
        </w:tc>
        <w:tc>
          <w:tcPr>
            <w:tcW w:w="442" w:type="pct"/>
            <w:vAlign w:val="center"/>
          </w:tcPr>
          <w:p w14:paraId="0E3CAB42">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O</w:t>
            </w:r>
            <w:r>
              <w:rPr>
                <w:rFonts w:ascii="Times New Roman" w:hAnsi="Times New Roman" w:cs="Times New Roman" w:eastAsiaTheme="minorEastAsia"/>
                <w:color w:val="000000" w:themeColor="text1"/>
                <w:w w:val="99"/>
                <w:kern w:val="2"/>
                <w:sz w:val="21"/>
                <w:szCs w:val="21"/>
                <w:vertAlign w:val="subscript"/>
                <w14:textFill>
                  <w14:solidFill>
                    <w14:schemeClr w14:val="tx1"/>
                  </w14:solidFill>
                </w14:textFill>
              </w:rPr>
              <w:t>3</w:t>
            </w:r>
          </w:p>
        </w:tc>
      </w:tr>
      <w:tr w14:paraId="49A9F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70" w:type="pct"/>
            <w:gridSpan w:val="2"/>
            <w:vAlign w:val="center"/>
          </w:tcPr>
          <w:p w14:paraId="5ABAFC03">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单位</w:t>
            </w:r>
          </w:p>
        </w:tc>
        <w:tc>
          <w:tcPr>
            <w:tcW w:w="442" w:type="pct"/>
            <w:vAlign w:val="center"/>
          </w:tcPr>
          <w:p w14:paraId="5262DD6C">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bCs/>
                <w:color w:val="000000" w:themeColor="text1"/>
                <w:w w:val="99"/>
                <w:kern w:val="2"/>
                <w:sz w:val="21"/>
                <w:szCs w:val="21"/>
                <w14:textFill>
                  <w14:solidFill>
                    <w14:schemeClr w14:val="tx1"/>
                  </w14:solidFill>
                </w14:textFill>
              </w:rPr>
              <w:t>μg/m</w:t>
            </w:r>
            <w:r>
              <w:rPr>
                <w:rFonts w:ascii="Times New Roman" w:hAnsi="Times New Roman" w:cs="Times New Roman" w:eastAsiaTheme="minorEastAsia"/>
                <w:bCs/>
                <w:color w:val="000000" w:themeColor="text1"/>
                <w:w w:val="99"/>
                <w:kern w:val="2"/>
                <w:sz w:val="21"/>
                <w:szCs w:val="21"/>
                <w:vertAlign w:val="superscript"/>
                <w14:textFill>
                  <w14:solidFill>
                    <w14:schemeClr w14:val="tx1"/>
                  </w14:solidFill>
                </w14:textFill>
              </w:rPr>
              <w:t>3</w:t>
            </w:r>
          </w:p>
        </w:tc>
        <w:tc>
          <w:tcPr>
            <w:tcW w:w="443" w:type="pct"/>
            <w:vAlign w:val="center"/>
          </w:tcPr>
          <w:p w14:paraId="35D56C60">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bCs/>
                <w:color w:val="000000" w:themeColor="text1"/>
                <w:w w:val="99"/>
                <w:kern w:val="2"/>
                <w:sz w:val="21"/>
                <w:szCs w:val="21"/>
                <w14:textFill>
                  <w14:solidFill>
                    <w14:schemeClr w14:val="tx1"/>
                  </w14:solidFill>
                </w14:textFill>
              </w:rPr>
              <w:t>μg/m</w:t>
            </w:r>
            <w:r>
              <w:rPr>
                <w:rFonts w:ascii="Times New Roman" w:hAnsi="Times New Roman" w:cs="Times New Roman" w:eastAsiaTheme="minorEastAsia"/>
                <w:bCs/>
                <w:color w:val="000000" w:themeColor="text1"/>
                <w:w w:val="99"/>
                <w:kern w:val="2"/>
                <w:sz w:val="21"/>
                <w:szCs w:val="21"/>
                <w:vertAlign w:val="superscript"/>
                <w14:textFill>
                  <w14:solidFill>
                    <w14:schemeClr w14:val="tx1"/>
                  </w14:solidFill>
                </w14:textFill>
              </w:rPr>
              <w:t>3</w:t>
            </w:r>
          </w:p>
        </w:tc>
        <w:tc>
          <w:tcPr>
            <w:tcW w:w="443" w:type="pct"/>
            <w:vAlign w:val="center"/>
          </w:tcPr>
          <w:p w14:paraId="57AB672E">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bCs/>
                <w:color w:val="000000" w:themeColor="text1"/>
                <w:w w:val="99"/>
                <w:kern w:val="2"/>
                <w:sz w:val="21"/>
                <w:szCs w:val="21"/>
                <w14:textFill>
                  <w14:solidFill>
                    <w14:schemeClr w14:val="tx1"/>
                  </w14:solidFill>
                </w14:textFill>
              </w:rPr>
              <w:t>μg/m</w:t>
            </w:r>
            <w:r>
              <w:rPr>
                <w:rFonts w:ascii="Times New Roman" w:hAnsi="Times New Roman" w:cs="Times New Roman" w:eastAsiaTheme="minorEastAsia"/>
                <w:bCs/>
                <w:color w:val="000000" w:themeColor="text1"/>
                <w:w w:val="99"/>
                <w:kern w:val="2"/>
                <w:sz w:val="21"/>
                <w:szCs w:val="21"/>
                <w:vertAlign w:val="superscript"/>
                <w14:textFill>
                  <w14:solidFill>
                    <w14:schemeClr w14:val="tx1"/>
                  </w14:solidFill>
                </w14:textFill>
              </w:rPr>
              <w:t>3</w:t>
            </w:r>
          </w:p>
        </w:tc>
        <w:tc>
          <w:tcPr>
            <w:tcW w:w="443" w:type="pct"/>
            <w:vAlign w:val="center"/>
          </w:tcPr>
          <w:p w14:paraId="65A2346A">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bCs/>
                <w:color w:val="000000" w:themeColor="text1"/>
                <w:w w:val="99"/>
                <w:kern w:val="2"/>
                <w:sz w:val="21"/>
                <w:szCs w:val="21"/>
                <w14:textFill>
                  <w14:solidFill>
                    <w14:schemeClr w14:val="tx1"/>
                  </w14:solidFill>
                </w14:textFill>
              </w:rPr>
              <w:t>μg/m</w:t>
            </w:r>
            <w:r>
              <w:rPr>
                <w:rFonts w:ascii="Times New Roman" w:hAnsi="Times New Roman" w:cs="Times New Roman" w:eastAsiaTheme="minorEastAsia"/>
                <w:bCs/>
                <w:color w:val="000000" w:themeColor="text1"/>
                <w:w w:val="99"/>
                <w:kern w:val="2"/>
                <w:sz w:val="21"/>
                <w:szCs w:val="21"/>
                <w:vertAlign w:val="superscript"/>
                <w14:textFill>
                  <w14:solidFill>
                    <w14:schemeClr w14:val="tx1"/>
                  </w14:solidFill>
                </w14:textFill>
              </w:rPr>
              <w:t>3</w:t>
            </w:r>
          </w:p>
        </w:tc>
        <w:tc>
          <w:tcPr>
            <w:tcW w:w="443" w:type="pct"/>
            <w:vAlign w:val="center"/>
          </w:tcPr>
          <w:p w14:paraId="1AC1A525">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bCs/>
                <w:color w:val="000000" w:themeColor="text1"/>
                <w:w w:val="99"/>
                <w:kern w:val="2"/>
                <w:sz w:val="21"/>
                <w:szCs w:val="21"/>
                <w14:textFill>
                  <w14:solidFill>
                    <w14:schemeClr w14:val="tx1"/>
                  </w14:solidFill>
                </w14:textFill>
              </w:rPr>
              <w:t>μg/m</w:t>
            </w:r>
            <w:r>
              <w:rPr>
                <w:rFonts w:ascii="Times New Roman" w:hAnsi="Times New Roman" w:cs="Times New Roman" w:eastAsiaTheme="minorEastAsia"/>
                <w:bCs/>
                <w:color w:val="000000" w:themeColor="text1"/>
                <w:w w:val="99"/>
                <w:kern w:val="2"/>
                <w:sz w:val="21"/>
                <w:szCs w:val="21"/>
                <w:vertAlign w:val="superscript"/>
                <w14:textFill>
                  <w14:solidFill>
                    <w14:schemeClr w14:val="tx1"/>
                  </w14:solidFill>
                </w14:textFill>
              </w:rPr>
              <w:t>3</w:t>
            </w:r>
          </w:p>
        </w:tc>
        <w:tc>
          <w:tcPr>
            <w:tcW w:w="473" w:type="pct"/>
            <w:vAlign w:val="center"/>
          </w:tcPr>
          <w:p w14:paraId="11E93FBB">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bCs/>
                <w:color w:val="000000" w:themeColor="text1"/>
                <w:w w:val="99"/>
                <w:kern w:val="2"/>
                <w:sz w:val="21"/>
                <w:szCs w:val="21"/>
                <w14:textFill>
                  <w14:solidFill>
                    <w14:schemeClr w14:val="tx1"/>
                  </w14:solidFill>
                </w14:textFill>
              </w:rPr>
              <w:t>mg/m</w:t>
            </w:r>
            <w:r>
              <w:rPr>
                <w:rFonts w:ascii="Times New Roman" w:hAnsi="Times New Roman" w:cs="Times New Roman" w:eastAsiaTheme="minorEastAsia"/>
                <w:bCs/>
                <w:color w:val="000000" w:themeColor="text1"/>
                <w:w w:val="99"/>
                <w:kern w:val="2"/>
                <w:sz w:val="21"/>
                <w:szCs w:val="21"/>
                <w:vertAlign w:val="superscript"/>
                <w14:textFill>
                  <w14:solidFill>
                    <w14:schemeClr w14:val="tx1"/>
                  </w14:solidFill>
                </w14:textFill>
              </w:rPr>
              <w:t>3</w:t>
            </w:r>
          </w:p>
        </w:tc>
        <w:tc>
          <w:tcPr>
            <w:tcW w:w="442" w:type="pct"/>
            <w:vAlign w:val="center"/>
          </w:tcPr>
          <w:p w14:paraId="3C3EA0C1">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bCs/>
                <w:color w:val="000000" w:themeColor="text1"/>
                <w:w w:val="99"/>
                <w:kern w:val="2"/>
                <w:sz w:val="21"/>
                <w:szCs w:val="21"/>
                <w14:textFill>
                  <w14:solidFill>
                    <w14:schemeClr w14:val="tx1"/>
                  </w14:solidFill>
                </w14:textFill>
              </w:rPr>
              <w:t>μg/m</w:t>
            </w:r>
            <w:r>
              <w:rPr>
                <w:rFonts w:ascii="Times New Roman" w:hAnsi="Times New Roman" w:cs="Times New Roman" w:eastAsiaTheme="minorEastAsia"/>
                <w:bCs/>
                <w:color w:val="000000" w:themeColor="text1"/>
                <w:w w:val="99"/>
                <w:kern w:val="2"/>
                <w:sz w:val="21"/>
                <w:szCs w:val="21"/>
                <w:vertAlign w:val="superscript"/>
                <w14:textFill>
                  <w14:solidFill>
                    <w14:schemeClr w14:val="tx1"/>
                  </w14:solidFill>
                </w14:textFill>
              </w:rPr>
              <w:t>3</w:t>
            </w:r>
          </w:p>
        </w:tc>
      </w:tr>
      <w:tr w14:paraId="18326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18" w:type="pct"/>
            <w:vMerge w:val="restart"/>
            <w:vAlign w:val="center"/>
          </w:tcPr>
          <w:p w14:paraId="17C1DDFA">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（GB3095-2012）中二级浓度限值</w:t>
            </w:r>
          </w:p>
        </w:tc>
        <w:tc>
          <w:tcPr>
            <w:tcW w:w="753" w:type="pct"/>
            <w:vAlign w:val="center"/>
          </w:tcPr>
          <w:p w14:paraId="036D7D6A">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年平均</w:t>
            </w:r>
          </w:p>
        </w:tc>
        <w:tc>
          <w:tcPr>
            <w:tcW w:w="442" w:type="pct"/>
            <w:vAlign w:val="center"/>
          </w:tcPr>
          <w:p w14:paraId="1A710AD3">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200</w:t>
            </w:r>
          </w:p>
        </w:tc>
        <w:tc>
          <w:tcPr>
            <w:tcW w:w="443" w:type="pct"/>
            <w:vAlign w:val="center"/>
          </w:tcPr>
          <w:p w14:paraId="7DB906C8">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70</w:t>
            </w:r>
          </w:p>
        </w:tc>
        <w:tc>
          <w:tcPr>
            <w:tcW w:w="443" w:type="pct"/>
            <w:vAlign w:val="center"/>
          </w:tcPr>
          <w:p w14:paraId="3E462775">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35</w:t>
            </w:r>
          </w:p>
        </w:tc>
        <w:tc>
          <w:tcPr>
            <w:tcW w:w="443" w:type="pct"/>
            <w:vAlign w:val="center"/>
          </w:tcPr>
          <w:p w14:paraId="246496A3">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60</w:t>
            </w:r>
          </w:p>
        </w:tc>
        <w:tc>
          <w:tcPr>
            <w:tcW w:w="443" w:type="pct"/>
            <w:vAlign w:val="center"/>
          </w:tcPr>
          <w:p w14:paraId="41F3AA9B">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40</w:t>
            </w:r>
          </w:p>
        </w:tc>
        <w:tc>
          <w:tcPr>
            <w:tcW w:w="473" w:type="pct"/>
            <w:vAlign w:val="center"/>
          </w:tcPr>
          <w:p w14:paraId="3BE4C969">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w:t>
            </w:r>
          </w:p>
        </w:tc>
        <w:tc>
          <w:tcPr>
            <w:tcW w:w="442" w:type="pct"/>
            <w:vAlign w:val="center"/>
          </w:tcPr>
          <w:p w14:paraId="530F9776">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p>
        </w:tc>
      </w:tr>
      <w:tr w14:paraId="167DC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18" w:type="pct"/>
            <w:vMerge w:val="continue"/>
            <w:vAlign w:val="center"/>
          </w:tcPr>
          <w:p w14:paraId="6197D7DF">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p>
        </w:tc>
        <w:tc>
          <w:tcPr>
            <w:tcW w:w="753" w:type="pct"/>
            <w:vAlign w:val="center"/>
          </w:tcPr>
          <w:p w14:paraId="194168FF">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24小时平均</w:t>
            </w:r>
          </w:p>
        </w:tc>
        <w:tc>
          <w:tcPr>
            <w:tcW w:w="442" w:type="pct"/>
            <w:vAlign w:val="center"/>
          </w:tcPr>
          <w:p w14:paraId="7D65B016">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300</w:t>
            </w:r>
          </w:p>
        </w:tc>
        <w:tc>
          <w:tcPr>
            <w:tcW w:w="443" w:type="pct"/>
            <w:vAlign w:val="center"/>
          </w:tcPr>
          <w:p w14:paraId="412137B3">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150</w:t>
            </w:r>
          </w:p>
        </w:tc>
        <w:tc>
          <w:tcPr>
            <w:tcW w:w="443" w:type="pct"/>
            <w:vAlign w:val="center"/>
          </w:tcPr>
          <w:p w14:paraId="3262A3AC">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75</w:t>
            </w:r>
          </w:p>
        </w:tc>
        <w:tc>
          <w:tcPr>
            <w:tcW w:w="443" w:type="pct"/>
            <w:vAlign w:val="center"/>
          </w:tcPr>
          <w:p w14:paraId="0D2DC891">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150</w:t>
            </w:r>
          </w:p>
        </w:tc>
        <w:tc>
          <w:tcPr>
            <w:tcW w:w="443" w:type="pct"/>
            <w:vAlign w:val="center"/>
          </w:tcPr>
          <w:p w14:paraId="3074164D">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80</w:t>
            </w:r>
          </w:p>
        </w:tc>
        <w:tc>
          <w:tcPr>
            <w:tcW w:w="473" w:type="pct"/>
            <w:vAlign w:val="center"/>
          </w:tcPr>
          <w:p w14:paraId="70886794">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4</w:t>
            </w:r>
          </w:p>
        </w:tc>
        <w:tc>
          <w:tcPr>
            <w:tcW w:w="442" w:type="pct"/>
            <w:vAlign w:val="center"/>
          </w:tcPr>
          <w:p w14:paraId="3BFA9047">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p>
        </w:tc>
      </w:tr>
      <w:tr w14:paraId="1FDFC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18" w:type="pct"/>
            <w:vMerge w:val="continue"/>
            <w:vAlign w:val="center"/>
          </w:tcPr>
          <w:p w14:paraId="71A8A425">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p>
        </w:tc>
        <w:tc>
          <w:tcPr>
            <w:tcW w:w="753" w:type="pct"/>
            <w:vAlign w:val="center"/>
          </w:tcPr>
          <w:p w14:paraId="6DAE0AD0">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8小时平均</w:t>
            </w:r>
          </w:p>
        </w:tc>
        <w:tc>
          <w:tcPr>
            <w:tcW w:w="442" w:type="pct"/>
            <w:vAlign w:val="center"/>
          </w:tcPr>
          <w:p w14:paraId="48E1B2A4">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w:t>
            </w:r>
          </w:p>
        </w:tc>
        <w:tc>
          <w:tcPr>
            <w:tcW w:w="443" w:type="pct"/>
            <w:vAlign w:val="center"/>
          </w:tcPr>
          <w:p w14:paraId="158F18C5">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w:t>
            </w:r>
          </w:p>
        </w:tc>
        <w:tc>
          <w:tcPr>
            <w:tcW w:w="443" w:type="pct"/>
            <w:vAlign w:val="center"/>
          </w:tcPr>
          <w:p w14:paraId="2DB5F337">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w:t>
            </w:r>
          </w:p>
        </w:tc>
        <w:tc>
          <w:tcPr>
            <w:tcW w:w="443" w:type="pct"/>
            <w:vAlign w:val="center"/>
          </w:tcPr>
          <w:p w14:paraId="384060EB">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w:t>
            </w:r>
          </w:p>
        </w:tc>
        <w:tc>
          <w:tcPr>
            <w:tcW w:w="443" w:type="pct"/>
            <w:vAlign w:val="center"/>
          </w:tcPr>
          <w:p w14:paraId="18D2EC58">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w:t>
            </w:r>
          </w:p>
        </w:tc>
        <w:tc>
          <w:tcPr>
            <w:tcW w:w="473" w:type="pct"/>
            <w:vAlign w:val="center"/>
          </w:tcPr>
          <w:p w14:paraId="6EC19EB1">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w:t>
            </w:r>
          </w:p>
        </w:tc>
        <w:tc>
          <w:tcPr>
            <w:tcW w:w="442" w:type="pct"/>
            <w:vAlign w:val="center"/>
          </w:tcPr>
          <w:p w14:paraId="14F1EB62">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160</w:t>
            </w:r>
          </w:p>
        </w:tc>
      </w:tr>
      <w:tr w14:paraId="42EE0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18" w:type="pct"/>
            <w:vMerge w:val="continue"/>
            <w:vAlign w:val="center"/>
          </w:tcPr>
          <w:p w14:paraId="668146CC">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p>
        </w:tc>
        <w:tc>
          <w:tcPr>
            <w:tcW w:w="753" w:type="pct"/>
            <w:vAlign w:val="center"/>
          </w:tcPr>
          <w:p w14:paraId="0885EF15">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1小时平均</w:t>
            </w:r>
          </w:p>
        </w:tc>
        <w:tc>
          <w:tcPr>
            <w:tcW w:w="442" w:type="pct"/>
            <w:vAlign w:val="center"/>
          </w:tcPr>
          <w:p w14:paraId="1531AC7B">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w:t>
            </w:r>
          </w:p>
        </w:tc>
        <w:tc>
          <w:tcPr>
            <w:tcW w:w="443" w:type="pct"/>
            <w:vAlign w:val="center"/>
          </w:tcPr>
          <w:p w14:paraId="2DB2B8D6">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w:t>
            </w:r>
          </w:p>
        </w:tc>
        <w:tc>
          <w:tcPr>
            <w:tcW w:w="443" w:type="pct"/>
            <w:vAlign w:val="center"/>
          </w:tcPr>
          <w:p w14:paraId="3C69AE87">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w:t>
            </w:r>
          </w:p>
        </w:tc>
        <w:tc>
          <w:tcPr>
            <w:tcW w:w="443" w:type="pct"/>
            <w:vAlign w:val="center"/>
          </w:tcPr>
          <w:p w14:paraId="3D594124">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500</w:t>
            </w:r>
          </w:p>
        </w:tc>
        <w:tc>
          <w:tcPr>
            <w:tcW w:w="443" w:type="pct"/>
            <w:vAlign w:val="center"/>
          </w:tcPr>
          <w:p w14:paraId="2424E296">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200</w:t>
            </w:r>
          </w:p>
        </w:tc>
        <w:tc>
          <w:tcPr>
            <w:tcW w:w="473" w:type="pct"/>
            <w:vAlign w:val="center"/>
          </w:tcPr>
          <w:p w14:paraId="36156C89">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10</w:t>
            </w:r>
          </w:p>
        </w:tc>
        <w:tc>
          <w:tcPr>
            <w:tcW w:w="442" w:type="pct"/>
            <w:vAlign w:val="center"/>
          </w:tcPr>
          <w:p w14:paraId="6EF187A7">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200</w:t>
            </w:r>
          </w:p>
        </w:tc>
      </w:tr>
    </w:tbl>
    <w:p w14:paraId="6C27877F">
      <w:pPr>
        <w:spacing w:line="440" w:lineRule="exact"/>
        <w:ind w:firstLine="474" w:firstLineChars="200"/>
        <w:rPr>
          <w:rFonts w:ascii="Times New Roman" w:hAnsi="Times New Roman" w:cs="Times New Roman" w:eastAsiaTheme="minorEastAsia"/>
          <w:color w:val="000000" w:themeColor="text1"/>
          <w:w w:val="99"/>
          <w:kern w:val="2"/>
          <w:sz w:val="24"/>
          <w:szCs w:val="24"/>
          <w14:textFill>
            <w14:solidFill>
              <w14:schemeClr w14:val="tx1"/>
            </w14:solidFill>
          </w14:textFill>
        </w:rPr>
      </w:pPr>
      <w:r>
        <w:rPr>
          <w:rFonts w:ascii="Times New Roman" w:hAnsi="Times New Roman" w:cs="Times New Roman" w:eastAsiaTheme="minorEastAsia"/>
          <w:color w:val="000000" w:themeColor="text1"/>
          <w:w w:val="99"/>
          <w:kern w:val="2"/>
          <w:sz w:val="24"/>
          <w:szCs w:val="24"/>
          <w14:textFill>
            <w14:solidFill>
              <w14:schemeClr w14:val="tx1"/>
            </w14:solidFill>
          </w14:textFill>
        </w:rPr>
        <w:t>环境空气中非甲烷总烃允许浓度参考执行《大气污染物综合排放标准详解》中非甲烷总烃浓度限值。</w:t>
      </w:r>
    </w:p>
    <w:p w14:paraId="4385F3B8">
      <w:pPr>
        <w:spacing w:line="440" w:lineRule="exact"/>
        <w:ind w:firstLine="436" w:firstLineChars="200"/>
        <w:rPr>
          <w:rFonts w:ascii="Times New Roman" w:hAnsi="Times New Roman" w:cs="Times New Roman" w:eastAsiaTheme="minorEastAsia"/>
          <w:b/>
          <w:color w:val="000000" w:themeColor="text1"/>
          <w:w w:val="99"/>
          <w:kern w:val="2"/>
          <w:szCs w:val="20"/>
          <w14:textFill>
            <w14:solidFill>
              <w14:schemeClr w14:val="tx1"/>
            </w14:solidFill>
          </w14:textFill>
        </w:rPr>
      </w:pPr>
      <w:r>
        <w:rPr>
          <w:rFonts w:ascii="Times New Roman" w:hAnsi="Times New Roman" w:cs="Times New Roman" w:eastAsiaTheme="minorEastAsia"/>
          <w:b/>
          <w:color w:val="000000" w:themeColor="text1"/>
          <w:w w:val="99"/>
          <w:kern w:val="2"/>
          <w:szCs w:val="20"/>
          <w14:textFill>
            <w14:solidFill>
              <w14:schemeClr w14:val="tx1"/>
            </w14:solidFill>
          </w14:textFill>
        </w:rPr>
        <w:t>表2.</w:t>
      </w:r>
      <w:r>
        <w:rPr>
          <w:rFonts w:ascii="Times New Roman" w:hAnsi="Times New Roman" w:cs="Times New Roman" w:eastAsiaTheme="minorEastAsia"/>
          <w:b/>
          <w:color w:val="000000" w:themeColor="text1"/>
          <w:w w:val="99"/>
          <w:kern w:val="2"/>
          <w:szCs w:val="20"/>
          <w:lang w:val="en-US"/>
          <w14:textFill>
            <w14:solidFill>
              <w14:schemeClr w14:val="tx1"/>
            </w14:solidFill>
          </w14:textFill>
        </w:rPr>
        <w:t>4</w:t>
      </w:r>
      <w:r>
        <w:rPr>
          <w:rFonts w:ascii="Times New Roman" w:hAnsi="Times New Roman" w:cs="Times New Roman" w:eastAsiaTheme="minorEastAsia"/>
          <w:b/>
          <w:color w:val="000000" w:themeColor="text1"/>
          <w:w w:val="99"/>
          <w:kern w:val="2"/>
          <w:szCs w:val="20"/>
          <w14:textFill>
            <w14:solidFill>
              <w14:schemeClr w14:val="tx1"/>
            </w14:solidFill>
          </w14:textFill>
        </w:rPr>
        <w:t>-2</w:t>
      </w:r>
      <w:r>
        <w:rPr>
          <w:rFonts w:ascii="Times New Roman" w:hAnsi="Times New Roman" w:cs="Times New Roman" w:eastAsiaTheme="minorEastAsia"/>
          <w:b/>
          <w:color w:val="000000" w:themeColor="text1"/>
          <w:w w:val="99"/>
          <w:kern w:val="2"/>
          <w:szCs w:val="20"/>
          <w:lang w:val="en-US"/>
          <w14:textFill>
            <w14:solidFill>
              <w14:schemeClr w14:val="tx1"/>
            </w14:solidFill>
          </w14:textFill>
        </w:rPr>
        <w:t xml:space="preserve">    </w:t>
      </w:r>
      <w:r>
        <w:rPr>
          <w:rFonts w:ascii="Times New Roman" w:hAnsi="Times New Roman" w:cs="Times New Roman" w:eastAsiaTheme="minorEastAsia"/>
          <w:b/>
          <w:color w:val="000000" w:themeColor="text1"/>
          <w:w w:val="99"/>
          <w:kern w:val="2"/>
          <w:szCs w:val="20"/>
          <w14:textFill>
            <w14:solidFill>
              <w14:schemeClr w14:val="tx1"/>
            </w14:solidFill>
          </w14:textFill>
        </w:rPr>
        <w:t xml:space="preserve">    大气污染物综合排放标准详解 </w:t>
      </w:r>
      <w:r>
        <w:rPr>
          <w:rFonts w:ascii="Times New Roman" w:hAnsi="Times New Roman" w:cs="Times New Roman" w:eastAsiaTheme="minorEastAsia"/>
          <w:b/>
          <w:color w:val="000000" w:themeColor="text1"/>
          <w:w w:val="99"/>
          <w:kern w:val="2"/>
          <w:szCs w:val="20"/>
          <w:lang w:val="en-US"/>
          <w14:textFill>
            <w14:solidFill>
              <w14:schemeClr w14:val="tx1"/>
            </w14:solidFill>
          </w14:textFill>
        </w:rPr>
        <w:t xml:space="preserve">     </w:t>
      </w:r>
      <w:r>
        <w:rPr>
          <w:rFonts w:ascii="Times New Roman" w:hAnsi="Times New Roman" w:cs="Times New Roman" w:eastAsiaTheme="minorEastAsia"/>
          <w:b/>
          <w:color w:val="000000" w:themeColor="text1"/>
          <w:w w:val="99"/>
          <w:kern w:val="2"/>
          <w:szCs w:val="20"/>
          <w14:textFill>
            <w14:solidFill>
              <w14:schemeClr w14:val="tx1"/>
            </w14:solidFill>
          </w14:textFill>
        </w:rPr>
        <w:t xml:space="preserve">   单位：</w:t>
      </w:r>
      <w:r>
        <w:rPr>
          <w:rFonts w:ascii="Times New Roman" w:hAnsi="Times New Roman" w:cs="Times New Roman" w:eastAsiaTheme="minorEastAsia"/>
          <w:b/>
          <w:color w:val="000000" w:themeColor="text1"/>
          <w:w w:val="99"/>
          <w:kern w:val="2"/>
          <w:szCs w:val="21"/>
          <w14:textFill>
            <w14:solidFill>
              <w14:schemeClr w14:val="tx1"/>
            </w14:solidFill>
          </w14:textFill>
        </w:rPr>
        <w:t>mg/m</w:t>
      </w:r>
      <w:r>
        <w:rPr>
          <w:rFonts w:ascii="Times New Roman" w:hAnsi="Times New Roman" w:cs="Times New Roman" w:eastAsiaTheme="minorEastAsia"/>
          <w:b/>
          <w:color w:val="000000" w:themeColor="text1"/>
          <w:w w:val="99"/>
          <w:kern w:val="2"/>
          <w:szCs w:val="21"/>
          <w:vertAlign w:val="superscript"/>
          <w14:textFill>
            <w14:solidFill>
              <w14:schemeClr w14:val="tx1"/>
            </w14:solidFill>
          </w14:textFill>
        </w:rPr>
        <w:t>3</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3"/>
        <w:gridCol w:w="2253"/>
        <w:gridCol w:w="2450"/>
      </w:tblGrid>
      <w:tr w14:paraId="071B6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8" w:type="pct"/>
            <w:vAlign w:val="center"/>
          </w:tcPr>
          <w:p w14:paraId="04E3B8EF">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标准</w:t>
            </w:r>
          </w:p>
        </w:tc>
        <w:tc>
          <w:tcPr>
            <w:tcW w:w="1213" w:type="pct"/>
            <w:vAlign w:val="center"/>
          </w:tcPr>
          <w:p w14:paraId="2F3A4932">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污染物名称</w:t>
            </w:r>
          </w:p>
        </w:tc>
        <w:tc>
          <w:tcPr>
            <w:tcW w:w="1319" w:type="pct"/>
            <w:vAlign w:val="center"/>
          </w:tcPr>
          <w:p w14:paraId="6A16C89F">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最高允许浓度</w:t>
            </w:r>
          </w:p>
        </w:tc>
      </w:tr>
      <w:tr w14:paraId="69DA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8" w:type="pct"/>
            <w:vAlign w:val="center"/>
          </w:tcPr>
          <w:p w14:paraId="40E04D66">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《大气污染物综合排放标准详解》</w:t>
            </w:r>
          </w:p>
        </w:tc>
        <w:tc>
          <w:tcPr>
            <w:tcW w:w="1213" w:type="pct"/>
            <w:vAlign w:val="center"/>
          </w:tcPr>
          <w:p w14:paraId="78061D77">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非甲烷总烃</w:t>
            </w:r>
          </w:p>
        </w:tc>
        <w:tc>
          <w:tcPr>
            <w:tcW w:w="1319" w:type="pct"/>
            <w:vAlign w:val="center"/>
          </w:tcPr>
          <w:p w14:paraId="1DA54F26">
            <w:pPr>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2.0</w:t>
            </w:r>
          </w:p>
        </w:tc>
      </w:tr>
      <w:bookmarkEnd w:id="64"/>
    </w:tbl>
    <w:p w14:paraId="3EFD0784">
      <w:pPr>
        <w:pStyle w:val="26"/>
        <w:spacing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w:t>
      </w:r>
      <w:r>
        <w:rPr>
          <w:rFonts w:hint="eastAsia" w:ascii="Times New Roman" w:hAnsi="Times New Roman" w:cs="Times New Roman" w:eastAsiaTheme="minorEastAsia"/>
          <w:color w:val="000000" w:themeColor="text1"/>
          <w:w w:val="99"/>
          <w:sz w:val="24"/>
          <w:szCs w:val="24"/>
          <w:lang w:val="en-US"/>
          <w14:textFill>
            <w14:solidFill>
              <w14:schemeClr w14:val="tx1"/>
            </w14:solidFill>
          </w14:textFill>
        </w:rPr>
        <w:t>2</w:t>
      </w:r>
      <w:r>
        <w:rPr>
          <w:rFonts w:ascii="Times New Roman" w:hAnsi="Times New Roman" w:cs="Times New Roman" w:eastAsiaTheme="minorEastAsia"/>
          <w:color w:val="000000" w:themeColor="text1"/>
          <w:w w:val="99"/>
          <w:sz w:val="24"/>
          <w:szCs w:val="24"/>
          <w:lang w:val="en-US"/>
          <w14:textFill>
            <w14:solidFill>
              <w14:schemeClr w14:val="tx1"/>
            </w14:solidFill>
          </w14:textFill>
        </w:rPr>
        <w:t>）声环境</w:t>
      </w:r>
    </w:p>
    <w:p w14:paraId="731B2333">
      <w:pPr>
        <w:pStyle w:val="26"/>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根据《大庆市人民政府关于印发大庆市声环境功能区划分、大庆市环境空气质量功能区划分、大庆市地表水环境功能区划分的通知》（庆政发[2019]11号），项目所在区域为居住、商业、工业混杂区，其声环境执行《声环境质量标准》（GB3096-2008）中2类区标准，项目区域周边居住区声环境执行《声环境质量标准》（GB3096-2008）中1类区标准，</w:t>
      </w:r>
      <w:r>
        <w:rPr>
          <w:rFonts w:ascii="Times New Roman" w:hAnsi="Times New Roman" w:cs="Times New Roman" w:eastAsiaTheme="minorEastAsia"/>
          <w:color w:val="000000" w:themeColor="text1"/>
          <w:w w:val="99"/>
          <w:sz w:val="24"/>
          <w:szCs w:val="24"/>
          <w14:textFill>
            <w14:solidFill>
              <w14:schemeClr w14:val="tx1"/>
            </w14:solidFill>
          </w14:textFill>
        </w:rPr>
        <w:t>详见表2.4-</w:t>
      </w:r>
      <w:r>
        <w:rPr>
          <w:rFonts w:ascii="Times New Roman" w:hAnsi="Times New Roman" w:cs="Times New Roman" w:eastAsiaTheme="minorEastAsia"/>
          <w:color w:val="000000" w:themeColor="text1"/>
          <w:w w:val="99"/>
          <w:sz w:val="24"/>
          <w:szCs w:val="24"/>
          <w:lang w:val="en-US"/>
          <w14:textFill>
            <w14:solidFill>
              <w14:schemeClr w14:val="tx1"/>
            </w14:solidFill>
          </w14:textFill>
        </w:rPr>
        <w:t>3</w:t>
      </w:r>
      <w:r>
        <w:rPr>
          <w:rFonts w:ascii="Times New Roman" w:hAnsi="Times New Roman" w:cs="Times New Roman" w:eastAsiaTheme="minorEastAsia"/>
          <w:color w:val="000000" w:themeColor="text1"/>
          <w:w w:val="99"/>
          <w:sz w:val="24"/>
          <w:szCs w:val="24"/>
          <w14:textFill>
            <w14:solidFill>
              <w14:schemeClr w14:val="tx1"/>
            </w14:solidFill>
          </w14:textFill>
        </w:rPr>
        <w:t>。</w:t>
      </w:r>
    </w:p>
    <w:p w14:paraId="73224C4B">
      <w:pPr>
        <w:pStyle w:val="31"/>
        <w:spacing w:line="440" w:lineRule="exact"/>
        <w:ind w:firstLine="476" w:firstLineChars="200"/>
        <w:jc w:val="both"/>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r>
        <w:rPr>
          <w:rFonts w:ascii="Times New Roman" w:hAnsi="Times New Roman" w:cs="Times New Roman" w:eastAsiaTheme="minorEastAsia"/>
          <w:b/>
          <w:bCs/>
          <w:color w:val="000000" w:themeColor="text1"/>
          <w:w w:val="99"/>
          <w:sz w:val="24"/>
          <w:szCs w:val="24"/>
          <w14:textFill>
            <w14:solidFill>
              <w14:schemeClr w14:val="tx1"/>
            </w14:solidFill>
          </w14:textFill>
        </w:rPr>
        <w:t>表2.4-</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 xml:space="preserve">3        </w:t>
      </w:r>
      <w:r>
        <w:rPr>
          <w:rFonts w:ascii="Times New Roman" w:hAnsi="Times New Roman" w:cs="Times New Roman" w:eastAsiaTheme="minorEastAsia"/>
          <w:b/>
          <w:bCs/>
          <w:color w:val="000000" w:themeColor="text1"/>
          <w:w w:val="99"/>
          <w:sz w:val="24"/>
          <w:szCs w:val="24"/>
          <w14:textFill>
            <w14:solidFill>
              <w14:schemeClr w14:val="tx1"/>
            </w14:solidFill>
          </w14:textFill>
        </w:rPr>
        <w:t>声环境质量标准</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 xml:space="preserve">        </w:t>
      </w:r>
      <w:r>
        <w:rPr>
          <w:rFonts w:ascii="Times New Roman" w:hAnsi="Times New Roman" w:cs="Times New Roman" w:eastAsiaTheme="minorEastAsia"/>
          <w:b/>
          <w:bCs/>
          <w:color w:val="000000" w:themeColor="text1"/>
          <w:w w:val="99"/>
          <w:sz w:val="24"/>
          <w:szCs w:val="24"/>
          <w14:textFill>
            <w14:solidFill>
              <w14:schemeClr w14:val="tx1"/>
            </w14:solidFill>
          </w14:textFill>
        </w:rPr>
        <w:t>单位：dB（A）</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8"/>
        <w:gridCol w:w="1289"/>
        <w:gridCol w:w="1549"/>
      </w:tblGrid>
      <w:tr w14:paraId="6B4ED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72" w:type="pct"/>
            <w:vAlign w:val="center"/>
          </w:tcPr>
          <w:p w14:paraId="05D5C153">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项  目</w:t>
            </w:r>
          </w:p>
        </w:tc>
        <w:tc>
          <w:tcPr>
            <w:tcW w:w="694" w:type="pct"/>
            <w:vAlign w:val="center"/>
          </w:tcPr>
          <w:p w14:paraId="74664C2A">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昼  间</w:t>
            </w:r>
          </w:p>
        </w:tc>
        <w:tc>
          <w:tcPr>
            <w:tcW w:w="834" w:type="pct"/>
            <w:vAlign w:val="center"/>
          </w:tcPr>
          <w:p w14:paraId="1384DE3F">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夜  间</w:t>
            </w:r>
          </w:p>
        </w:tc>
      </w:tr>
      <w:tr w14:paraId="64FF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pct"/>
            <w:vAlign w:val="center"/>
          </w:tcPr>
          <w:p w14:paraId="4B4585F8">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《声环境质量标准》（GB3096-2008）中1类标准</w:t>
            </w:r>
          </w:p>
        </w:tc>
        <w:tc>
          <w:tcPr>
            <w:tcW w:w="694" w:type="pct"/>
            <w:vAlign w:val="center"/>
          </w:tcPr>
          <w:p w14:paraId="4531681D">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55</w:t>
            </w:r>
          </w:p>
        </w:tc>
        <w:tc>
          <w:tcPr>
            <w:tcW w:w="834" w:type="pct"/>
            <w:vAlign w:val="center"/>
          </w:tcPr>
          <w:p w14:paraId="13740564">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45</w:t>
            </w:r>
          </w:p>
        </w:tc>
      </w:tr>
      <w:tr w14:paraId="2B91A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pct"/>
            <w:vAlign w:val="center"/>
          </w:tcPr>
          <w:p w14:paraId="3BCBD02D">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《声环境质量标准》（GB3096-2008）中2类标准</w:t>
            </w:r>
          </w:p>
        </w:tc>
        <w:tc>
          <w:tcPr>
            <w:tcW w:w="694" w:type="pct"/>
            <w:vAlign w:val="center"/>
          </w:tcPr>
          <w:p w14:paraId="14FE2D49">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60</w:t>
            </w:r>
          </w:p>
        </w:tc>
        <w:tc>
          <w:tcPr>
            <w:tcW w:w="834" w:type="pct"/>
            <w:vAlign w:val="center"/>
          </w:tcPr>
          <w:p w14:paraId="761C0250">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50</w:t>
            </w:r>
          </w:p>
        </w:tc>
      </w:tr>
    </w:tbl>
    <w:p w14:paraId="190ED3D2">
      <w:pPr>
        <w:widowControl/>
        <w:snapToGrid w:val="0"/>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（3）地表水</w:t>
      </w:r>
    </w:p>
    <w:p w14:paraId="0E5ED267">
      <w:pPr>
        <w:widowControl/>
        <w:snapToGrid w:val="0"/>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评价区域内地表水体主要为古努泡子，根据《大庆市人民政府关于印发大庆市声环境功能区划分、大庆市环境空气质量功能区划分、大庆市地表水环境功能区划分的通知》（庆政发〔2019〕11号），古努泡子未划分水体功能，不执行《地表水环境质量标准》（GB3838-2002）中的标准限值。</w:t>
      </w:r>
    </w:p>
    <w:p w14:paraId="049C3B09">
      <w:pPr>
        <w:pStyle w:val="107"/>
        <w:tabs>
          <w:tab w:val="left" w:pos="1571"/>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4</w:t>
      </w:r>
      <w:r>
        <w:rPr>
          <w:rFonts w:ascii="Times New Roman" w:hAnsi="Times New Roman" w:cs="Times New Roman" w:eastAsiaTheme="minorEastAsia"/>
          <w:color w:val="000000" w:themeColor="text1"/>
          <w:w w:val="99"/>
          <w:sz w:val="24"/>
          <w:szCs w:val="24"/>
          <w14:textFill>
            <w14:solidFill>
              <w14:schemeClr w14:val="tx1"/>
            </w14:solidFill>
          </w14:textFill>
        </w:rPr>
        <w:t>）土壤</w:t>
      </w:r>
    </w:p>
    <w:p w14:paraId="66BA82D8">
      <w:pPr>
        <w:pStyle w:val="107"/>
        <w:tabs>
          <w:tab w:val="left" w:pos="1571"/>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建设用地执行《土壤环境质量 建设用地土壤污染风险管控标准（试行）》（GB36600-2018）</w:t>
      </w:r>
      <w:r>
        <w:rPr>
          <w:rFonts w:ascii="Times New Roman" w:hAnsi="Times New Roman" w:cs="Times New Roman" w:eastAsiaTheme="minorEastAsia"/>
          <w:color w:val="000000" w:themeColor="text1"/>
          <w:w w:val="99"/>
          <w:sz w:val="24"/>
          <w:szCs w:val="24"/>
          <w:lang w:val="en-US"/>
          <w14:textFill>
            <w14:solidFill>
              <w14:schemeClr w14:val="tx1"/>
            </w14:solidFill>
          </w14:textFill>
        </w:rPr>
        <w:t>表1（基本项目）中第二类用地筛选值标准，以及表2（其他项目）中第二类用地石油烃筛选值标准</w:t>
      </w:r>
      <w:r>
        <w:rPr>
          <w:rFonts w:ascii="Times New Roman" w:hAnsi="Times New Roman" w:cs="Times New Roman" w:eastAsiaTheme="minorEastAsia"/>
          <w:color w:val="000000" w:themeColor="text1"/>
          <w:w w:val="99"/>
          <w:sz w:val="24"/>
          <w:szCs w:val="24"/>
          <w14:textFill>
            <w14:solidFill>
              <w14:schemeClr w14:val="tx1"/>
            </w14:solidFill>
          </w14:textFill>
        </w:rPr>
        <w:t>，周边居住区内土壤</w:t>
      </w:r>
      <w:r>
        <w:rPr>
          <w:rFonts w:ascii="Times New Roman" w:hAnsi="Times New Roman" w:cs="Times New Roman" w:eastAsiaTheme="minorEastAsia"/>
          <w:color w:val="000000" w:themeColor="text1"/>
          <w:w w:val="99"/>
          <w:sz w:val="24"/>
          <w:szCs w:val="24"/>
          <w:lang w:val="en-US"/>
          <w14:textFill>
            <w14:solidFill>
              <w14:schemeClr w14:val="tx1"/>
            </w14:solidFill>
          </w14:textFill>
        </w:rPr>
        <w:t>执行《土壤环境质量 建设用地土壤污染风险管控标准（试行）》（GB36600-2018）表1（基本项目）中第一类用地筛选值标准，以及表2（其他项目）中第一类用地石油烃筛选值标准，</w:t>
      </w:r>
      <w:r>
        <w:rPr>
          <w:rFonts w:ascii="Times New Roman" w:hAnsi="Times New Roman" w:cs="Times New Roman" w:eastAsiaTheme="minorEastAsia"/>
          <w:color w:val="000000" w:themeColor="text1"/>
          <w:w w:val="99"/>
          <w:sz w:val="24"/>
          <w:szCs w:val="24"/>
          <w14:textFill>
            <w14:solidFill>
              <w14:schemeClr w14:val="tx1"/>
            </w14:solidFill>
          </w14:textFill>
        </w:rPr>
        <w:t>见表2.4-</w:t>
      </w:r>
      <w:r>
        <w:rPr>
          <w:rFonts w:ascii="Times New Roman" w:hAnsi="Times New Roman" w:cs="Times New Roman" w:eastAsiaTheme="minorEastAsia"/>
          <w:color w:val="000000" w:themeColor="text1"/>
          <w:w w:val="99"/>
          <w:sz w:val="24"/>
          <w:szCs w:val="24"/>
          <w:lang w:val="en-US"/>
          <w14:textFill>
            <w14:solidFill>
              <w14:schemeClr w14:val="tx1"/>
            </w14:solidFill>
          </w14:textFill>
        </w:rPr>
        <w:t>4</w:t>
      </w:r>
      <w:r>
        <w:rPr>
          <w:rFonts w:ascii="Times New Roman" w:hAnsi="Times New Roman" w:cs="Times New Roman" w:eastAsiaTheme="minorEastAsia"/>
          <w:color w:val="000000" w:themeColor="text1"/>
          <w:w w:val="99"/>
          <w:sz w:val="24"/>
          <w:szCs w:val="24"/>
          <w14:textFill>
            <w14:solidFill>
              <w14:schemeClr w14:val="tx1"/>
            </w14:solidFill>
          </w14:textFill>
        </w:rPr>
        <w:t>；耕地和草地等农用地执行《土壤环境质量农用地土壤污染风险管控标准（试行）》（GB15618-2018）表1农用地土壤污染风险筛选值，见表2.4-</w:t>
      </w:r>
      <w:r>
        <w:rPr>
          <w:rFonts w:ascii="Times New Roman" w:hAnsi="Times New Roman" w:cs="Times New Roman" w:eastAsiaTheme="minorEastAsia"/>
          <w:color w:val="000000" w:themeColor="text1"/>
          <w:w w:val="99"/>
          <w:sz w:val="24"/>
          <w:szCs w:val="24"/>
          <w:lang w:val="en-US"/>
          <w14:textFill>
            <w14:solidFill>
              <w14:schemeClr w14:val="tx1"/>
            </w14:solidFill>
          </w14:textFill>
        </w:rPr>
        <w:t>5</w:t>
      </w:r>
      <w:r>
        <w:rPr>
          <w:rFonts w:ascii="Times New Roman" w:hAnsi="Times New Roman" w:cs="Times New Roman" w:eastAsiaTheme="minorEastAsia"/>
          <w:color w:val="000000" w:themeColor="text1"/>
          <w:w w:val="99"/>
          <w:sz w:val="24"/>
          <w:szCs w:val="24"/>
          <w14:textFill>
            <w14:solidFill>
              <w14:schemeClr w14:val="tx1"/>
            </w14:solidFill>
          </w14:textFill>
        </w:rPr>
        <w:t>。</w:t>
      </w:r>
    </w:p>
    <w:p w14:paraId="1C3A98F9">
      <w:pPr>
        <w:pStyle w:val="107"/>
        <w:tabs>
          <w:tab w:val="left" w:pos="1571"/>
        </w:tabs>
        <w:spacing w:line="440" w:lineRule="exact"/>
        <w:ind w:left="0" w:firstLine="476" w:firstLineChars="200"/>
        <w:jc w:val="both"/>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r>
        <w:rPr>
          <w:rFonts w:ascii="Times New Roman" w:hAnsi="Times New Roman" w:cs="Times New Roman" w:eastAsiaTheme="minorEastAsia"/>
          <w:b/>
          <w:bCs/>
          <w:color w:val="000000" w:themeColor="text1"/>
          <w:w w:val="99"/>
          <w:sz w:val="24"/>
          <w:szCs w:val="24"/>
          <w14:textFill>
            <w14:solidFill>
              <w14:schemeClr w14:val="tx1"/>
            </w14:solidFill>
          </w14:textFill>
        </w:rPr>
        <w:t>表2.4-</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 xml:space="preserve">4        </w:t>
      </w:r>
      <w:r>
        <w:rPr>
          <w:rFonts w:ascii="Times New Roman" w:hAnsi="Times New Roman" w:cs="Times New Roman" w:eastAsiaTheme="minorEastAsia"/>
          <w:b/>
          <w:bCs/>
          <w:color w:val="000000" w:themeColor="text1"/>
          <w:w w:val="99"/>
          <w:sz w:val="24"/>
          <w:szCs w:val="24"/>
          <w14:textFill>
            <w14:solidFill>
              <w14:schemeClr w14:val="tx1"/>
            </w14:solidFill>
          </w14:textFill>
        </w:rPr>
        <w:t>建设用地土壤污染风险筛选值</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 xml:space="preserve">        单位：mg/kg</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2439"/>
        <w:gridCol w:w="1476"/>
        <w:gridCol w:w="1618"/>
        <w:gridCol w:w="2951"/>
      </w:tblGrid>
      <w:tr w14:paraId="5746B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Merge w:val="restart"/>
            <w:vAlign w:val="center"/>
          </w:tcPr>
          <w:p w14:paraId="0F0B4FA4">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序号</w:t>
            </w:r>
          </w:p>
        </w:tc>
        <w:tc>
          <w:tcPr>
            <w:tcW w:w="1313" w:type="pct"/>
            <w:vMerge w:val="restart"/>
            <w:vAlign w:val="center"/>
          </w:tcPr>
          <w:p w14:paraId="3FFB0F7C">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监测项目</w:t>
            </w:r>
          </w:p>
        </w:tc>
        <w:tc>
          <w:tcPr>
            <w:tcW w:w="795" w:type="pct"/>
            <w:vAlign w:val="center"/>
          </w:tcPr>
          <w:p w14:paraId="1D8DD7C6">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筛选值</w:t>
            </w:r>
          </w:p>
        </w:tc>
        <w:tc>
          <w:tcPr>
            <w:tcW w:w="871" w:type="pct"/>
            <w:vAlign w:val="center"/>
          </w:tcPr>
          <w:p w14:paraId="659B8498">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筛选值</w:t>
            </w:r>
          </w:p>
        </w:tc>
        <w:tc>
          <w:tcPr>
            <w:tcW w:w="1589" w:type="pct"/>
            <w:vMerge w:val="restart"/>
            <w:vAlign w:val="center"/>
          </w:tcPr>
          <w:p w14:paraId="1A3AA7DE">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标准名称</w:t>
            </w:r>
          </w:p>
        </w:tc>
      </w:tr>
      <w:tr w14:paraId="1B9C9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Merge w:val="continue"/>
            <w:vAlign w:val="center"/>
          </w:tcPr>
          <w:p w14:paraId="4E1A7B35">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c>
          <w:tcPr>
            <w:tcW w:w="1313" w:type="pct"/>
            <w:vMerge w:val="continue"/>
            <w:vAlign w:val="center"/>
          </w:tcPr>
          <w:p w14:paraId="68F57FC9">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c>
          <w:tcPr>
            <w:tcW w:w="795" w:type="pct"/>
            <w:vAlign w:val="center"/>
          </w:tcPr>
          <w:p w14:paraId="2D343290">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第一类用地</w:t>
            </w:r>
          </w:p>
        </w:tc>
        <w:tc>
          <w:tcPr>
            <w:tcW w:w="871" w:type="pct"/>
            <w:vAlign w:val="center"/>
          </w:tcPr>
          <w:p w14:paraId="46849168">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第二类用地</w:t>
            </w:r>
          </w:p>
        </w:tc>
        <w:tc>
          <w:tcPr>
            <w:tcW w:w="1589" w:type="pct"/>
            <w:vMerge w:val="continue"/>
            <w:vAlign w:val="center"/>
          </w:tcPr>
          <w:p w14:paraId="66CB2D7A">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35B59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60F37A1C">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w:t>
            </w:r>
          </w:p>
        </w:tc>
        <w:tc>
          <w:tcPr>
            <w:tcW w:w="1313" w:type="pct"/>
            <w:vAlign w:val="center"/>
          </w:tcPr>
          <w:p w14:paraId="77A08053">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As</w:t>
            </w:r>
          </w:p>
        </w:tc>
        <w:tc>
          <w:tcPr>
            <w:tcW w:w="795" w:type="pct"/>
            <w:vAlign w:val="center"/>
          </w:tcPr>
          <w:p w14:paraId="6367EF87">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20</w:t>
            </w:r>
          </w:p>
        </w:tc>
        <w:tc>
          <w:tcPr>
            <w:tcW w:w="871" w:type="pct"/>
            <w:vAlign w:val="center"/>
          </w:tcPr>
          <w:p w14:paraId="255D0628">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60</w:t>
            </w:r>
          </w:p>
        </w:tc>
        <w:tc>
          <w:tcPr>
            <w:tcW w:w="1589" w:type="pct"/>
            <w:vMerge w:val="restart"/>
            <w:vAlign w:val="center"/>
          </w:tcPr>
          <w:p w14:paraId="7CC1E686">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《土壤环境质量 建设用地土壤污染风险管控标准（试行）》（GB36600-2018）基本项目</w:t>
            </w:r>
          </w:p>
        </w:tc>
      </w:tr>
      <w:tr w14:paraId="07B23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11DAE503">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2</w:t>
            </w:r>
          </w:p>
        </w:tc>
        <w:tc>
          <w:tcPr>
            <w:tcW w:w="1313" w:type="pct"/>
            <w:vAlign w:val="center"/>
          </w:tcPr>
          <w:p w14:paraId="15904D27">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Cd</w:t>
            </w:r>
          </w:p>
        </w:tc>
        <w:tc>
          <w:tcPr>
            <w:tcW w:w="795" w:type="pct"/>
            <w:vAlign w:val="center"/>
          </w:tcPr>
          <w:p w14:paraId="5BEC9953">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20</w:t>
            </w:r>
          </w:p>
        </w:tc>
        <w:tc>
          <w:tcPr>
            <w:tcW w:w="871" w:type="pct"/>
            <w:vAlign w:val="center"/>
          </w:tcPr>
          <w:p w14:paraId="1EC2DBEC">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65</w:t>
            </w:r>
          </w:p>
        </w:tc>
        <w:tc>
          <w:tcPr>
            <w:tcW w:w="1589" w:type="pct"/>
            <w:vMerge w:val="continue"/>
            <w:vAlign w:val="center"/>
          </w:tcPr>
          <w:p w14:paraId="347BAD40">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142C8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5A532E3F">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3</w:t>
            </w:r>
          </w:p>
        </w:tc>
        <w:tc>
          <w:tcPr>
            <w:tcW w:w="1313" w:type="pct"/>
            <w:vAlign w:val="center"/>
          </w:tcPr>
          <w:p w14:paraId="44220FF0">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Cr（六价）</w:t>
            </w:r>
          </w:p>
        </w:tc>
        <w:tc>
          <w:tcPr>
            <w:tcW w:w="795" w:type="pct"/>
            <w:vAlign w:val="center"/>
          </w:tcPr>
          <w:p w14:paraId="69CA36FD">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3.0</w:t>
            </w:r>
          </w:p>
        </w:tc>
        <w:tc>
          <w:tcPr>
            <w:tcW w:w="871" w:type="pct"/>
            <w:vAlign w:val="center"/>
          </w:tcPr>
          <w:p w14:paraId="0DAC68B9">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5.7</w:t>
            </w:r>
          </w:p>
        </w:tc>
        <w:tc>
          <w:tcPr>
            <w:tcW w:w="1589" w:type="pct"/>
            <w:vMerge w:val="continue"/>
            <w:vAlign w:val="center"/>
          </w:tcPr>
          <w:p w14:paraId="2A3A2865">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0F6DB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0AE24736">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4</w:t>
            </w:r>
          </w:p>
        </w:tc>
        <w:tc>
          <w:tcPr>
            <w:tcW w:w="1313" w:type="pct"/>
            <w:vAlign w:val="center"/>
          </w:tcPr>
          <w:p w14:paraId="25D299C4">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Cu</w:t>
            </w:r>
          </w:p>
        </w:tc>
        <w:tc>
          <w:tcPr>
            <w:tcW w:w="795" w:type="pct"/>
            <w:vAlign w:val="center"/>
          </w:tcPr>
          <w:p w14:paraId="1B61C20E">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2000</w:t>
            </w:r>
          </w:p>
        </w:tc>
        <w:tc>
          <w:tcPr>
            <w:tcW w:w="871" w:type="pct"/>
            <w:vAlign w:val="center"/>
          </w:tcPr>
          <w:p w14:paraId="105E625D">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18000</w:t>
            </w:r>
          </w:p>
        </w:tc>
        <w:tc>
          <w:tcPr>
            <w:tcW w:w="1589" w:type="pct"/>
            <w:vMerge w:val="continue"/>
            <w:vAlign w:val="center"/>
          </w:tcPr>
          <w:p w14:paraId="0FF04402">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12284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7F6D57A3">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5</w:t>
            </w:r>
          </w:p>
        </w:tc>
        <w:tc>
          <w:tcPr>
            <w:tcW w:w="1313" w:type="pct"/>
            <w:vAlign w:val="center"/>
          </w:tcPr>
          <w:p w14:paraId="20C7F829">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Pb</w:t>
            </w:r>
          </w:p>
        </w:tc>
        <w:tc>
          <w:tcPr>
            <w:tcW w:w="795" w:type="pct"/>
            <w:vAlign w:val="center"/>
          </w:tcPr>
          <w:p w14:paraId="3287FEC2">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400</w:t>
            </w:r>
          </w:p>
        </w:tc>
        <w:tc>
          <w:tcPr>
            <w:tcW w:w="871" w:type="pct"/>
            <w:vAlign w:val="center"/>
          </w:tcPr>
          <w:p w14:paraId="2645255B">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800</w:t>
            </w:r>
          </w:p>
        </w:tc>
        <w:tc>
          <w:tcPr>
            <w:tcW w:w="1589" w:type="pct"/>
            <w:vMerge w:val="continue"/>
            <w:vAlign w:val="center"/>
          </w:tcPr>
          <w:p w14:paraId="45B6D579">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38657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2F074C1B">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6</w:t>
            </w:r>
          </w:p>
        </w:tc>
        <w:tc>
          <w:tcPr>
            <w:tcW w:w="1313" w:type="pct"/>
            <w:vAlign w:val="center"/>
          </w:tcPr>
          <w:p w14:paraId="45FF6EFE">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Hg</w:t>
            </w:r>
          </w:p>
        </w:tc>
        <w:tc>
          <w:tcPr>
            <w:tcW w:w="795" w:type="pct"/>
            <w:vAlign w:val="center"/>
          </w:tcPr>
          <w:p w14:paraId="7351CF2D">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8</w:t>
            </w:r>
          </w:p>
        </w:tc>
        <w:tc>
          <w:tcPr>
            <w:tcW w:w="871" w:type="pct"/>
            <w:vAlign w:val="center"/>
          </w:tcPr>
          <w:p w14:paraId="2485E770">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38</w:t>
            </w:r>
          </w:p>
        </w:tc>
        <w:tc>
          <w:tcPr>
            <w:tcW w:w="1589" w:type="pct"/>
            <w:vMerge w:val="continue"/>
            <w:vAlign w:val="center"/>
          </w:tcPr>
          <w:p w14:paraId="400C715B">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1E1E7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2779CFFB">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7</w:t>
            </w:r>
          </w:p>
        </w:tc>
        <w:tc>
          <w:tcPr>
            <w:tcW w:w="1313" w:type="pct"/>
            <w:vAlign w:val="center"/>
          </w:tcPr>
          <w:p w14:paraId="072CAB00">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Ni</w:t>
            </w:r>
          </w:p>
        </w:tc>
        <w:tc>
          <w:tcPr>
            <w:tcW w:w="795" w:type="pct"/>
            <w:vAlign w:val="center"/>
          </w:tcPr>
          <w:p w14:paraId="57A8D82B">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150</w:t>
            </w:r>
          </w:p>
        </w:tc>
        <w:tc>
          <w:tcPr>
            <w:tcW w:w="871" w:type="pct"/>
            <w:vAlign w:val="center"/>
          </w:tcPr>
          <w:p w14:paraId="0379DA2B">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900</w:t>
            </w:r>
          </w:p>
        </w:tc>
        <w:tc>
          <w:tcPr>
            <w:tcW w:w="1589" w:type="pct"/>
            <w:vMerge w:val="continue"/>
            <w:vAlign w:val="center"/>
          </w:tcPr>
          <w:p w14:paraId="74B3505A">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6E845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11D72A59">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8</w:t>
            </w:r>
          </w:p>
        </w:tc>
        <w:tc>
          <w:tcPr>
            <w:tcW w:w="1313" w:type="pct"/>
            <w:vAlign w:val="center"/>
          </w:tcPr>
          <w:p w14:paraId="068044D8">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四氯化碳</w:t>
            </w:r>
          </w:p>
        </w:tc>
        <w:tc>
          <w:tcPr>
            <w:tcW w:w="795" w:type="pct"/>
            <w:vAlign w:val="center"/>
          </w:tcPr>
          <w:p w14:paraId="01DDC1E7">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0.9</w:t>
            </w:r>
          </w:p>
        </w:tc>
        <w:tc>
          <w:tcPr>
            <w:tcW w:w="871" w:type="pct"/>
            <w:vAlign w:val="center"/>
          </w:tcPr>
          <w:p w14:paraId="33646D92">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2.8</w:t>
            </w:r>
          </w:p>
        </w:tc>
        <w:tc>
          <w:tcPr>
            <w:tcW w:w="1589" w:type="pct"/>
            <w:vMerge w:val="continue"/>
            <w:vAlign w:val="center"/>
          </w:tcPr>
          <w:p w14:paraId="2ECC4BCA">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275AF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65CC51A3">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9</w:t>
            </w:r>
          </w:p>
        </w:tc>
        <w:tc>
          <w:tcPr>
            <w:tcW w:w="1313" w:type="pct"/>
            <w:vAlign w:val="center"/>
          </w:tcPr>
          <w:p w14:paraId="6A64CD87">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氯仿</w:t>
            </w:r>
          </w:p>
        </w:tc>
        <w:tc>
          <w:tcPr>
            <w:tcW w:w="795" w:type="pct"/>
            <w:vAlign w:val="center"/>
          </w:tcPr>
          <w:p w14:paraId="382DA2CA">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0.3</w:t>
            </w:r>
          </w:p>
        </w:tc>
        <w:tc>
          <w:tcPr>
            <w:tcW w:w="871" w:type="pct"/>
            <w:vAlign w:val="center"/>
          </w:tcPr>
          <w:p w14:paraId="49CAE4B1">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0.9</w:t>
            </w:r>
          </w:p>
        </w:tc>
        <w:tc>
          <w:tcPr>
            <w:tcW w:w="1589" w:type="pct"/>
            <w:vMerge w:val="continue"/>
            <w:vAlign w:val="center"/>
          </w:tcPr>
          <w:p w14:paraId="07B434D1">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115CA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6825CA27">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10</w:t>
            </w:r>
          </w:p>
        </w:tc>
        <w:tc>
          <w:tcPr>
            <w:tcW w:w="1313" w:type="pct"/>
            <w:vAlign w:val="center"/>
          </w:tcPr>
          <w:p w14:paraId="0CC93222">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氯甲烷</w:t>
            </w:r>
          </w:p>
        </w:tc>
        <w:tc>
          <w:tcPr>
            <w:tcW w:w="795" w:type="pct"/>
            <w:vAlign w:val="center"/>
          </w:tcPr>
          <w:p w14:paraId="1D94EE69">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12</w:t>
            </w:r>
          </w:p>
        </w:tc>
        <w:tc>
          <w:tcPr>
            <w:tcW w:w="871" w:type="pct"/>
            <w:vAlign w:val="center"/>
          </w:tcPr>
          <w:p w14:paraId="758B047D">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37</w:t>
            </w:r>
          </w:p>
        </w:tc>
        <w:tc>
          <w:tcPr>
            <w:tcW w:w="1589" w:type="pct"/>
            <w:vMerge w:val="continue"/>
            <w:vAlign w:val="center"/>
          </w:tcPr>
          <w:p w14:paraId="71382126">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03C25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2A2BC310">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11</w:t>
            </w:r>
          </w:p>
        </w:tc>
        <w:tc>
          <w:tcPr>
            <w:tcW w:w="1313" w:type="pct"/>
            <w:vAlign w:val="center"/>
          </w:tcPr>
          <w:p w14:paraId="6BE70E2F">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1,1-二氯乙烷</w:t>
            </w:r>
          </w:p>
        </w:tc>
        <w:tc>
          <w:tcPr>
            <w:tcW w:w="795" w:type="pct"/>
            <w:vAlign w:val="center"/>
          </w:tcPr>
          <w:p w14:paraId="1A1804F5">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3</w:t>
            </w:r>
          </w:p>
        </w:tc>
        <w:tc>
          <w:tcPr>
            <w:tcW w:w="871" w:type="pct"/>
            <w:vAlign w:val="center"/>
          </w:tcPr>
          <w:p w14:paraId="2682E36D">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9</w:t>
            </w:r>
          </w:p>
        </w:tc>
        <w:tc>
          <w:tcPr>
            <w:tcW w:w="1589" w:type="pct"/>
            <w:vMerge w:val="continue"/>
            <w:vAlign w:val="center"/>
          </w:tcPr>
          <w:p w14:paraId="065B9DD3">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1B392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51995962">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12</w:t>
            </w:r>
          </w:p>
        </w:tc>
        <w:tc>
          <w:tcPr>
            <w:tcW w:w="1313" w:type="pct"/>
            <w:vAlign w:val="center"/>
          </w:tcPr>
          <w:p w14:paraId="0306F479">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1,2-二氯乙烷</w:t>
            </w:r>
          </w:p>
        </w:tc>
        <w:tc>
          <w:tcPr>
            <w:tcW w:w="795" w:type="pct"/>
            <w:vAlign w:val="center"/>
          </w:tcPr>
          <w:p w14:paraId="3CDD80B4">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0.52</w:t>
            </w:r>
          </w:p>
        </w:tc>
        <w:tc>
          <w:tcPr>
            <w:tcW w:w="871" w:type="pct"/>
            <w:vAlign w:val="center"/>
          </w:tcPr>
          <w:p w14:paraId="189F3C75">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5</w:t>
            </w:r>
          </w:p>
        </w:tc>
        <w:tc>
          <w:tcPr>
            <w:tcW w:w="1589" w:type="pct"/>
            <w:vMerge w:val="continue"/>
            <w:vAlign w:val="center"/>
          </w:tcPr>
          <w:p w14:paraId="2FDF0E6D">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77556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7BC2B28B">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13</w:t>
            </w:r>
          </w:p>
        </w:tc>
        <w:tc>
          <w:tcPr>
            <w:tcW w:w="1313" w:type="pct"/>
            <w:vAlign w:val="center"/>
          </w:tcPr>
          <w:p w14:paraId="77486CF0">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1,1-二氯乙烯</w:t>
            </w:r>
          </w:p>
        </w:tc>
        <w:tc>
          <w:tcPr>
            <w:tcW w:w="795" w:type="pct"/>
            <w:vAlign w:val="center"/>
          </w:tcPr>
          <w:p w14:paraId="30882980">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12</w:t>
            </w:r>
          </w:p>
        </w:tc>
        <w:tc>
          <w:tcPr>
            <w:tcW w:w="871" w:type="pct"/>
            <w:vAlign w:val="center"/>
          </w:tcPr>
          <w:p w14:paraId="72ACE625">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66</w:t>
            </w:r>
          </w:p>
        </w:tc>
        <w:tc>
          <w:tcPr>
            <w:tcW w:w="1589" w:type="pct"/>
            <w:vMerge w:val="continue"/>
            <w:vAlign w:val="center"/>
          </w:tcPr>
          <w:p w14:paraId="6E0600B1">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23A6D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231682A7">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14</w:t>
            </w:r>
          </w:p>
        </w:tc>
        <w:tc>
          <w:tcPr>
            <w:tcW w:w="1313" w:type="pct"/>
            <w:vAlign w:val="center"/>
          </w:tcPr>
          <w:p w14:paraId="319F0408">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顺-1,2-二氯乙烯</w:t>
            </w:r>
          </w:p>
        </w:tc>
        <w:tc>
          <w:tcPr>
            <w:tcW w:w="795" w:type="pct"/>
            <w:vAlign w:val="center"/>
          </w:tcPr>
          <w:p w14:paraId="3C6A65B2">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66</w:t>
            </w:r>
          </w:p>
        </w:tc>
        <w:tc>
          <w:tcPr>
            <w:tcW w:w="871" w:type="pct"/>
            <w:vAlign w:val="center"/>
          </w:tcPr>
          <w:p w14:paraId="58CC3FBE">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596</w:t>
            </w:r>
          </w:p>
        </w:tc>
        <w:tc>
          <w:tcPr>
            <w:tcW w:w="1589" w:type="pct"/>
            <w:vMerge w:val="continue"/>
            <w:vAlign w:val="center"/>
          </w:tcPr>
          <w:p w14:paraId="2EB65350">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78124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53A48F6C">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15</w:t>
            </w:r>
          </w:p>
        </w:tc>
        <w:tc>
          <w:tcPr>
            <w:tcW w:w="1313" w:type="pct"/>
            <w:vAlign w:val="center"/>
          </w:tcPr>
          <w:p w14:paraId="6B1F109A">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反-1,2-二氯乙烯</w:t>
            </w:r>
          </w:p>
        </w:tc>
        <w:tc>
          <w:tcPr>
            <w:tcW w:w="795" w:type="pct"/>
            <w:vAlign w:val="center"/>
          </w:tcPr>
          <w:p w14:paraId="21CCD324">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10</w:t>
            </w:r>
          </w:p>
        </w:tc>
        <w:tc>
          <w:tcPr>
            <w:tcW w:w="871" w:type="pct"/>
            <w:vAlign w:val="center"/>
          </w:tcPr>
          <w:p w14:paraId="49CCD4D5">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54</w:t>
            </w:r>
          </w:p>
        </w:tc>
        <w:tc>
          <w:tcPr>
            <w:tcW w:w="1589" w:type="pct"/>
            <w:vMerge w:val="continue"/>
            <w:vAlign w:val="center"/>
          </w:tcPr>
          <w:p w14:paraId="520DD787">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6E284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6F86E2F5">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16</w:t>
            </w:r>
          </w:p>
        </w:tc>
        <w:tc>
          <w:tcPr>
            <w:tcW w:w="1313" w:type="pct"/>
            <w:vAlign w:val="center"/>
          </w:tcPr>
          <w:p w14:paraId="24BDC06D">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二氯甲烷</w:t>
            </w:r>
          </w:p>
        </w:tc>
        <w:tc>
          <w:tcPr>
            <w:tcW w:w="795" w:type="pct"/>
            <w:vAlign w:val="center"/>
          </w:tcPr>
          <w:p w14:paraId="1E8BCCF9">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94</w:t>
            </w:r>
          </w:p>
        </w:tc>
        <w:tc>
          <w:tcPr>
            <w:tcW w:w="871" w:type="pct"/>
            <w:vAlign w:val="center"/>
          </w:tcPr>
          <w:p w14:paraId="744328D9">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616</w:t>
            </w:r>
          </w:p>
        </w:tc>
        <w:tc>
          <w:tcPr>
            <w:tcW w:w="1589" w:type="pct"/>
            <w:vMerge w:val="continue"/>
            <w:vAlign w:val="center"/>
          </w:tcPr>
          <w:p w14:paraId="4F82F61B">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651A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1AE8BB45">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17</w:t>
            </w:r>
          </w:p>
        </w:tc>
        <w:tc>
          <w:tcPr>
            <w:tcW w:w="1313" w:type="pct"/>
            <w:vAlign w:val="center"/>
          </w:tcPr>
          <w:p w14:paraId="6D65109E">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1,2-二氯丙烷</w:t>
            </w:r>
          </w:p>
        </w:tc>
        <w:tc>
          <w:tcPr>
            <w:tcW w:w="795" w:type="pct"/>
            <w:vAlign w:val="center"/>
          </w:tcPr>
          <w:p w14:paraId="593B7356">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w:t>
            </w:r>
          </w:p>
        </w:tc>
        <w:tc>
          <w:tcPr>
            <w:tcW w:w="871" w:type="pct"/>
            <w:vAlign w:val="center"/>
          </w:tcPr>
          <w:p w14:paraId="58C4807C">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5</w:t>
            </w:r>
          </w:p>
        </w:tc>
        <w:tc>
          <w:tcPr>
            <w:tcW w:w="1589" w:type="pct"/>
            <w:vMerge w:val="continue"/>
            <w:vAlign w:val="center"/>
          </w:tcPr>
          <w:p w14:paraId="0581F183">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52824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54342E47">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18</w:t>
            </w:r>
          </w:p>
        </w:tc>
        <w:tc>
          <w:tcPr>
            <w:tcW w:w="1313" w:type="pct"/>
            <w:vAlign w:val="center"/>
          </w:tcPr>
          <w:p w14:paraId="70E03521">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1,1,1,2-四氯乙烷</w:t>
            </w:r>
          </w:p>
        </w:tc>
        <w:tc>
          <w:tcPr>
            <w:tcW w:w="795" w:type="pct"/>
            <w:vAlign w:val="center"/>
          </w:tcPr>
          <w:p w14:paraId="64631CEF">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2.6</w:t>
            </w:r>
          </w:p>
        </w:tc>
        <w:tc>
          <w:tcPr>
            <w:tcW w:w="871" w:type="pct"/>
            <w:vAlign w:val="center"/>
          </w:tcPr>
          <w:p w14:paraId="4959F708">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10</w:t>
            </w:r>
          </w:p>
        </w:tc>
        <w:tc>
          <w:tcPr>
            <w:tcW w:w="1589" w:type="pct"/>
            <w:vMerge w:val="continue"/>
            <w:vAlign w:val="center"/>
          </w:tcPr>
          <w:p w14:paraId="1B66D190">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221D9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6B889483">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19</w:t>
            </w:r>
          </w:p>
        </w:tc>
        <w:tc>
          <w:tcPr>
            <w:tcW w:w="1313" w:type="pct"/>
            <w:vAlign w:val="center"/>
          </w:tcPr>
          <w:p w14:paraId="71B664E4">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1,1,2,2-四氯乙烷</w:t>
            </w:r>
          </w:p>
        </w:tc>
        <w:tc>
          <w:tcPr>
            <w:tcW w:w="795" w:type="pct"/>
            <w:vAlign w:val="center"/>
          </w:tcPr>
          <w:p w14:paraId="7D49700B">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1.6</w:t>
            </w:r>
          </w:p>
        </w:tc>
        <w:tc>
          <w:tcPr>
            <w:tcW w:w="871" w:type="pct"/>
            <w:vAlign w:val="center"/>
          </w:tcPr>
          <w:p w14:paraId="055C4186">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6.8</w:t>
            </w:r>
          </w:p>
        </w:tc>
        <w:tc>
          <w:tcPr>
            <w:tcW w:w="1589" w:type="pct"/>
            <w:vMerge w:val="continue"/>
            <w:vAlign w:val="center"/>
          </w:tcPr>
          <w:p w14:paraId="3F4A57F8">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617AE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645BB485">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20</w:t>
            </w:r>
          </w:p>
        </w:tc>
        <w:tc>
          <w:tcPr>
            <w:tcW w:w="1313" w:type="pct"/>
            <w:vAlign w:val="center"/>
          </w:tcPr>
          <w:p w14:paraId="2D2951B2">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四氯乙烯</w:t>
            </w:r>
          </w:p>
        </w:tc>
        <w:tc>
          <w:tcPr>
            <w:tcW w:w="795" w:type="pct"/>
            <w:vAlign w:val="center"/>
          </w:tcPr>
          <w:p w14:paraId="252FEB6A">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11</w:t>
            </w:r>
          </w:p>
        </w:tc>
        <w:tc>
          <w:tcPr>
            <w:tcW w:w="871" w:type="pct"/>
            <w:vAlign w:val="center"/>
          </w:tcPr>
          <w:p w14:paraId="3A66FB81">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53</w:t>
            </w:r>
          </w:p>
        </w:tc>
        <w:tc>
          <w:tcPr>
            <w:tcW w:w="1589" w:type="pct"/>
            <w:vMerge w:val="continue"/>
            <w:vAlign w:val="center"/>
          </w:tcPr>
          <w:p w14:paraId="1BCB4DF8">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7EAD8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4438262A">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21</w:t>
            </w:r>
          </w:p>
        </w:tc>
        <w:tc>
          <w:tcPr>
            <w:tcW w:w="1313" w:type="pct"/>
            <w:vAlign w:val="center"/>
          </w:tcPr>
          <w:p w14:paraId="391CE589">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1,1,1-三氯乙烷</w:t>
            </w:r>
          </w:p>
        </w:tc>
        <w:tc>
          <w:tcPr>
            <w:tcW w:w="795" w:type="pct"/>
            <w:vAlign w:val="center"/>
          </w:tcPr>
          <w:p w14:paraId="249E8F2A">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701</w:t>
            </w:r>
          </w:p>
        </w:tc>
        <w:tc>
          <w:tcPr>
            <w:tcW w:w="871" w:type="pct"/>
            <w:vAlign w:val="center"/>
          </w:tcPr>
          <w:p w14:paraId="71E7024A">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840</w:t>
            </w:r>
          </w:p>
        </w:tc>
        <w:tc>
          <w:tcPr>
            <w:tcW w:w="1589" w:type="pct"/>
            <w:vMerge w:val="continue"/>
            <w:vAlign w:val="center"/>
          </w:tcPr>
          <w:p w14:paraId="464FCE63">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4B271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6362F0F4">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22</w:t>
            </w:r>
          </w:p>
        </w:tc>
        <w:tc>
          <w:tcPr>
            <w:tcW w:w="1313" w:type="pct"/>
            <w:vAlign w:val="center"/>
          </w:tcPr>
          <w:p w14:paraId="65C2A3C5">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1,1,2-三氯乙烷</w:t>
            </w:r>
          </w:p>
        </w:tc>
        <w:tc>
          <w:tcPr>
            <w:tcW w:w="795" w:type="pct"/>
            <w:vAlign w:val="center"/>
          </w:tcPr>
          <w:p w14:paraId="7711A251">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0.6</w:t>
            </w:r>
          </w:p>
        </w:tc>
        <w:tc>
          <w:tcPr>
            <w:tcW w:w="871" w:type="pct"/>
            <w:vAlign w:val="center"/>
          </w:tcPr>
          <w:p w14:paraId="7A8CF0E3">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2.8</w:t>
            </w:r>
          </w:p>
        </w:tc>
        <w:tc>
          <w:tcPr>
            <w:tcW w:w="1589" w:type="pct"/>
            <w:vMerge w:val="continue"/>
            <w:vAlign w:val="center"/>
          </w:tcPr>
          <w:p w14:paraId="0C023139">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3B22F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3662FF09">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23</w:t>
            </w:r>
          </w:p>
        </w:tc>
        <w:tc>
          <w:tcPr>
            <w:tcW w:w="1313" w:type="pct"/>
            <w:vAlign w:val="center"/>
          </w:tcPr>
          <w:p w14:paraId="0EDEDB82">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三氯乙烯</w:t>
            </w:r>
          </w:p>
        </w:tc>
        <w:tc>
          <w:tcPr>
            <w:tcW w:w="795" w:type="pct"/>
            <w:vAlign w:val="center"/>
          </w:tcPr>
          <w:p w14:paraId="1697B889">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0.7</w:t>
            </w:r>
          </w:p>
        </w:tc>
        <w:tc>
          <w:tcPr>
            <w:tcW w:w="871" w:type="pct"/>
            <w:vAlign w:val="center"/>
          </w:tcPr>
          <w:p w14:paraId="558F1CFC">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2.8</w:t>
            </w:r>
          </w:p>
        </w:tc>
        <w:tc>
          <w:tcPr>
            <w:tcW w:w="1589" w:type="pct"/>
            <w:vMerge w:val="continue"/>
            <w:vAlign w:val="center"/>
          </w:tcPr>
          <w:p w14:paraId="6E57D8BE">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6EBC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46AF8E44">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24</w:t>
            </w:r>
          </w:p>
        </w:tc>
        <w:tc>
          <w:tcPr>
            <w:tcW w:w="1313" w:type="pct"/>
            <w:vAlign w:val="center"/>
          </w:tcPr>
          <w:p w14:paraId="57F19BF8">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1,2,3-三氯丙烷</w:t>
            </w:r>
          </w:p>
        </w:tc>
        <w:tc>
          <w:tcPr>
            <w:tcW w:w="795" w:type="pct"/>
            <w:vAlign w:val="center"/>
          </w:tcPr>
          <w:p w14:paraId="6AF96E0E">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0.05</w:t>
            </w:r>
          </w:p>
        </w:tc>
        <w:tc>
          <w:tcPr>
            <w:tcW w:w="871" w:type="pct"/>
            <w:vAlign w:val="center"/>
          </w:tcPr>
          <w:p w14:paraId="7DFFFDAD">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0.5</w:t>
            </w:r>
          </w:p>
        </w:tc>
        <w:tc>
          <w:tcPr>
            <w:tcW w:w="1589" w:type="pct"/>
            <w:vMerge w:val="continue"/>
            <w:vAlign w:val="center"/>
          </w:tcPr>
          <w:p w14:paraId="60B3D9F2">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2AC44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63129844">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25</w:t>
            </w:r>
          </w:p>
        </w:tc>
        <w:tc>
          <w:tcPr>
            <w:tcW w:w="1313" w:type="pct"/>
            <w:vAlign w:val="center"/>
          </w:tcPr>
          <w:p w14:paraId="5B684670">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氯乙烯</w:t>
            </w:r>
          </w:p>
        </w:tc>
        <w:tc>
          <w:tcPr>
            <w:tcW w:w="795" w:type="pct"/>
            <w:vAlign w:val="center"/>
          </w:tcPr>
          <w:p w14:paraId="4A631971">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0.12</w:t>
            </w:r>
          </w:p>
        </w:tc>
        <w:tc>
          <w:tcPr>
            <w:tcW w:w="871" w:type="pct"/>
            <w:vAlign w:val="center"/>
          </w:tcPr>
          <w:p w14:paraId="56D3ED53">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0.43</w:t>
            </w:r>
          </w:p>
        </w:tc>
        <w:tc>
          <w:tcPr>
            <w:tcW w:w="1589" w:type="pct"/>
            <w:vMerge w:val="continue"/>
            <w:vAlign w:val="center"/>
          </w:tcPr>
          <w:p w14:paraId="1B446ADD">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27869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47FF3AD3">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26</w:t>
            </w:r>
          </w:p>
        </w:tc>
        <w:tc>
          <w:tcPr>
            <w:tcW w:w="1313" w:type="pct"/>
            <w:vAlign w:val="center"/>
          </w:tcPr>
          <w:p w14:paraId="25807FDA">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苯</w:t>
            </w:r>
          </w:p>
        </w:tc>
        <w:tc>
          <w:tcPr>
            <w:tcW w:w="795" w:type="pct"/>
            <w:vAlign w:val="center"/>
          </w:tcPr>
          <w:p w14:paraId="4DB5A7CF">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w:t>
            </w:r>
          </w:p>
        </w:tc>
        <w:tc>
          <w:tcPr>
            <w:tcW w:w="871" w:type="pct"/>
            <w:vAlign w:val="center"/>
          </w:tcPr>
          <w:p w14:paraId="4CF39354">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4</w:t>
            </w:r>
          </w:p>
        </w:tc>
        <w:tc>
          <w:tcPr>
            <w:tcW w:w="1589" w:type="pct"/>
            <w:vMerge w:val="continue"/>
            <w:vAlign w:val="center"/>
          </w:tcPr>
          <w:p w14:paraId="3767E345">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5372A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71FB96F0">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27</w:t>
            </w:r>
          </w:p>
        </w:tc>
        <w:tc>
          <w:tcPr>
            <w:tcW w:w="1313" w:type="pct"/>
            <w:vAlign w:val="center"/>
          </w:tcPr>
          <w:p w14:paraId="5BDA589E">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氯苯</w:t>
            </w:r>
          </w:p>
        </w:tc>
        <w:tc>
          <w:tcPr>
            <w:tcW w:w="795" w:type="pct"/>
            <w:vAlign w:val="center"/>
          </w:tcPr>
          <w:p w14:paraId="628680BC">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68</w:t>
            </w:r>
          </w:p>
        </w:tc>
        <w:tc>
          <w:tcPr>
            <w:tcW w:w="871" w:type="pct"/>
            <w:vAlign w:val="center"/>
          </w:tcPr>
          <w:p w14:paraId="5D05963E">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270</w:t>
            </w:r>
          </w:p>
        </w:tc>
        <w:tc>
          <w:tcPr>
            <w:tcW w:w="1589" w:type="pct"/>
            <w:vMerge w:val="continue"/>
            <w:vAlign w:val="center"/>
          </w:tcPr>
          <w:p w14:paraId="3A61C295">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61C0B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70048DE0">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28</w:t>
            </w:r>
          </w:p>
        </w:tc>
        <w:tc>
          <w:tcPr>
            <w:tcW w:w="1313" w:type="pct"/>
            <w:vAlign w:val="center"/>
          </w:tcPr>
          <w:p w14:paraId="79C3C69A">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1,2-二氯苯</w:t>
            </w:r>
          </w:p>
        </w:tc>
        <w:tc>
          <w:tcPr>
            <w:tcW w:w="795" w:type="pct"/>
            <w:vAlign w:val="center"/>
          </w:tcPr>
          <w:p w14:paraId="66A70871">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560</w:t>
            </w:r>
          </w:p>
        </w:tc>
        <w:tc>
          <w:tcPr>
            <w:tcW w:w="871" w:type="pct"/>
            <w:vAlign w:val="center"/>
          </w:tcPr>
          <w:p w14:paraId="30FBB2B0">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560</w:t>
            </w:r>
          </w:p>
        </w:tc>
        <w:tc>
          <w:tcPr>
            <w:tcW w:w="1589" w:type="pct"/>
            <w:vMerge w:val="continue"/>
            <w:vAlign w:val="center"/>
          </w:tcPr>
          <w:p w14:paraId="4302E965">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5A1EA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385D54EC">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29</w:t>
            </w:r>
          </w:p>
        </w:tc>
        <w:tc>
          <w:tcPr>
            <w:tcW w:w="1313" w:type="pct"/>
            <w:vAlign w:val="center"/>
          </w:tcPr>
          <w:p w14:paraId="6F8FA5B1">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1,4-二氯苯</w:t>
            </w:r>
          </w:p>
        </w:tc>
        <w:tc>
          <w:tcPr>
            <w:tcW w:w="795" w:type="pct"/>
            <w:vAlign w:val="center"/>
          </w:tcPr>
          <w:p w14:paraId="74D46DD6">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5.6</w:t>
            </w:r>
          </w:p>
        </w:tc>
        <w:tc>
          <w:tcPr>
            <w:tcW w:w="871" w:type="pct"/>
            <w:vAlign w:val="center"/>
          </w:tcPr>
          <w:p w14:paraId="1486925F">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20</w:t>
            </w:r>
          </w:p>
        </w:tc>
        <w:tc>
          <w:tcPr>
            <w:tcW w:w="1589" w:type="pct"/>
            <w:vMerge w:val="continue"/>
            <w:vAlign w:val="center"/>
          </w:tcPr>
          <w:p w14:paraId="09AA0215">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4723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645149B5">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30</w:t>
            </w:r>
          </w:p>
        </w:tc>
        <w:tc>
          <w:tcPr>
            <w:tcW w:w="1313" w:type="pct"/>
            <w:vAlign w:val="center"/>
          </w:tcPr>
          <w:p w14:paraId="1D859B71">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乙苯</w:t>
            </w:r>
          </w:p>
        </w:tc>
        <w:tc>
          <w:tcPr>
            <w:tcW w:w="795" w:type="pct"/>
            <w:vAlign w:val="center"/>
          </w:tcPr>
          <w:p w14:paraId="29A90D1A">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7.2</w:t>
            </w:r>
          </w:p>
        </w:tc>
        <w:tc>
          <w:tcPr>
            <w:tcW w:w="871" w:type="pct"/>
            <w:vAlign w:val="center"/>
          </w:tcPr>
          <w:p w14:paraId="55686A1F">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28</w:t>
            </w:r>
          </w:p>
        </w:tc>
        <w:tc>
          <w:tcPr>
            <w:tcW w:w="1589" w:type="pct"/>
            <w:vMerge w:val="continue"/>
            <w:vAlign w:val="center"/>
          </w:tcPr>
          <w:p w14:paraId="21BC12A3">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76075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400466B4">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31</w:t>
            </w:r>
          </w:p>
        </w:tc>
        <w:tc>
          <w:tcPr>
            <w:tcW w:w="1313" w:type="pct"/>
            <w:vAlign w:val="center"/>
          </w:tcPr>
          <w:p w14:paraId="03E4E08F">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苯乙烯</w:t>
            </w:r>
          </w:p>
        </w:tc>
        <w:tc>
          <w:tcPr>
            <w:tcW w:w="795" w:type="pct"/>
            <w:vAlign w:val="center"/>
          </w:tcPr>
          <w:p w14:paraId="7E878744">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1290</w:t>
            </w:r>
          </w:p>
        </w:tc>
        <w:tc>
          <w:tcPr>
            <w:tcW w:w="871" w:type="pct"/>
            <w:vAlign w:val="center"/>
          </w:tcPr>
          <w:p w14:paraId="305D3A2F">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1290</w:t>
            </w:r>
          </w:p>
        </w:tc>
        <w:tc>
          <w:tcPr>
            <w:tcW w:w="1589" w:type="pct"/>
            <w:vMerge w:val="continue"/>
            <w:vAlign w:val="center"/>
          </w:tcPr>
          <w:p w14:paraId="038DE7EE">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45296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13297279">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32</w:t>
            </w:r>
          </w:p>
        </w:tc>
        <w:tc>
          <w:tcPr>
            <w:tcW w:w="1313" w:type="pct"/>
            <w:vAlign w:val="center"/>
          </w:tcPr>
          <w:p w14:paraId="381935B1">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甲苯</w:t>
            </w:r>
          </w:p>
        </w:tc>
        <w:tc>
          <w:tcPr>
            <w:tcW w:w="795" w:type="pct"/>
            <w:vAlign w:val="center"/>
          </w:tcPr>
          <w:p w14:paraId="3A2DA7CF">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1200</w:t>
            </w:r>
          </w:p>
        </w:tc>
        <w:tc>
          <w:tcPr>
            <w:tcW w:w="871" w:type="pct"/>
            <w:vAlign w:val="center"/>
          </w:tcPr>
          <w:p w14:paraId="048B883E">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1200</w:t>
            </w:r>
          </w:p>
        </w:tc>
        <w:tc>
          <w:tcPr>
            <w:tcW w:w="1589" w:type="pct"/>
            <w:vMerge w:val="continue"/>
            <w:vAlign w:val="center"/>
          </w:tcPr>
          <w:p w14:paraId="77F67668">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396FB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5FD53901">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33</w:t>
            </w:r>
          </w:p>
        </w:tc>
        <w:tc>
          <w:tcPr>
            <w:tcW w:w="1313" w:type="pct"/>
            <w:vAlign w:val="center"/>
          </w:tcPr>
          <w:p w14:paraId="11F8B5E1">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间二甲苯+对二甲苯</w:t>
            </w:r>
          </w:p>
        </w:tc>
        <w:tc>
          <w:tcPr>
            <w:tcW w:w="795" w:type="pct"/>
            <w:vAlign w:val="center"/>
          </w:tcPr>
          <w:p w14:paraId="0D663C67">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163</w:t>
            </w:r>
          </w:p>
        </w:tc>
        <w:tc>
          <w:tcPr>
            <w:tcW w:w="871" w:type="pct"/>
            <w:vAlign w:val="center"/>
          </w:tcPr>
          <w:p w14:paraId="2627EFB8">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570</w:t>
            </w:r>
          </w:p>
        </w:tc>
        <w:tc>
          <w:tcPr>
            <w:tcW w:w="1589" w:type="pct"/>
            <w:vMerge w:val="continue"/>
            <w:vAlign w:val="center"/>
          </w:tcPr>
          <w:p w14:paraId="65243770">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73541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0E9E404E">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34</w:t>
            </w:r>
          </w:p>
        </w:tc>
        <w:tc>
          <w:tcPr>
            <w:tcW w:w="1313" w:type="pct"/>
            <w:vAlign w:val="center"/>
          </w:tcPr>
          <w:p w14:paraId="6815BBB6">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邻二甲苯</w:t>
            </w:r>
          </w:p>
        </w:tc>
        <w:tc>
          <w:tcPr>
            <w:tcW w:w="795" w:type="pct"/>
            <w:vAlign w:val="center"/>
          </w:tcPr>
          <w:p w14:paraId="24CF2AFB">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222</w:t>
            </w:r>
          </w:p>
        </w:tc>
        <w:tc>
          <w:tcPr>
            <w:tcW w:w="871" w:type="pct"/>
            <w:vAlign w:val="center"/>
          </w:tcPr>
          <w:p w14:paraId="3AB0AE4F">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640</w:t>
            </w:r>
          </w:p>
        </w:tc>
        <w:tc>
          <w:tcPr>
            <w:tcW w:w="1589" w:type="pct"/>
            <w:vMerge w:val="continue"/>
            <w:vAlign w:val="center"/>
          </w:tcPr>
          <w:p w14:paraId="271BDF59">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6E6AF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7C7EBBB8">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35</w:t>
            </w:r>
          </w:p>
        </w:tc>
        <w:tc>
          <w:tcPr>
            <w:tcW w:w="1313" w:type="pct"/>
            <w:vAlign w:val="center"/>
          </w:tcPr>
          <w:p w14:paraId="24F478E8">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硝基苯</w:t>
            </w:r>
          </w:p>
        </w:tc>
        <w:tc>
          <w:tcPr>
            <w:tcW w:w="795" w:type="pct"/>
            <w:vAlign w:val="center"/>
          </w:tcPr>
          <w:p w14:paraId="51CF27E2">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34</w:t>
            </w:r>
          </w:p>
        </w:tc>
        <w:tc>
          <w:tcPr>
            <w:tcW w:w="871" w:type="pct"/>
            <w:vAlign w:val="center"/>
          </w:tcPr>
          <w:p w14:paraId="1339ED82">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76</w:t>
            </w:r>
          </w:p>
        </w:tc>
        <w:tc>
          <w:tcPr>
            <w:tcW w:w="1589" w:type="pct"/>
            <w:vMerge w:val="continue"/>
            <w:vAlign w:val="center"/>
          </w:tcPr>
          <w:p w14:paraId="305956FD">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63851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19461EE6">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36</w:t>
            </w:r>
          </w:p>
        </w:tc>
        <w:tc>
          <w:tcPr>
            <w:tcW w:w="1313" w:type="pct"/>
            <w:vAlign w:val="center"/>
          </w:tcPr>
          <w:p w14:paraId="321C2B8E">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苯胺</w:t>
            </w:r>
          </w:p>
        </w:tc>
        <w:tc>
          <w:tcPr>
            <w:tcW w:w="795" w:type="pct"/>
            <w:vAlign w:val="center"/>
          </w:tcPr>
          <w:p w14:paraId="7DBFC3CB">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92</w:t>
            </w:r>
          </w:p>
        </w:tc>
        <w:tc>
          <w:tcPr>
            <w:tcW w:w="871" w:type="pct"/>
            <w:vAlign w:val="center"/>
          </w:tcPr>
          <w:p w14:paraId="40C74173">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260</w:t>
            </w:r>
          </w:p>
        </w:tc>
        <w:tc>
          <w:tcPr>
            <w:tcW w:w="1589" w:type="pct"/>
            <w:vMerge w:val="continue"/>
            <w:vAlign w:val="center"/>
          </w:tcPr>
          <w:p w14:paraId="3726B89D">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6321A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04F8882F">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37</w:t>
            </w:r>
          </w:p>
        </w:tc>
        <w:tc>
          <w:tcPr>
            <w:tcW w:w="1313" w:type="pct"/>
            <w:vAlign w:val="center"/>
          </w:tcPr>
          <w:p w14:paraId="4D8D38E8">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2-氯酚</w:t>
            </w:r>
          </w:p>
        </w:tc>
        <w:tc>
          <w:tcPr>
            <w:tcW w:w="795" w:type="pct"/>
            <w:vAlign w:val="center"/>
          </w:tcPr>
          <w:p w14:paraId="3DCD0136">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250</w:t>
            </w:r>
          </w:p>
        </w:tc>
        <w:tc>
          <w:tcPr>
            <w:tcW w:w="871" w:type="pct"/>
            <w:vAlign w:val="center"/>
          </w:tcPr>
          <w:p w14:paraId="7CB441CA">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2256</w:t>
            </w:r>
          </w:p>
        </w:tc>
        <w:tc>
          <w:tcPr>
            <w:tcW w:w="1589" w:type="pct"/>
            <w:vMerge w:val="continue"/>
            <w:vAlign w:val="center"/>
          </w:tcPr>
          <w:p w14:paraId="2A4CE609">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5513C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1C0F197E">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38</w:t>
            </w:r>
          </w:p>
        </w:tc>
        <w:tc>
          <w:tcPr>
            <w:tcW w:w="1313" w:type="pct"/>
            <w:vAlign w:val="center"/>
          </w:tcPr>
          <w:p w14:paraId="0A51ABC0">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苯并［a］蒽</w:t>
            </w:r>
          </w:p>
        </w:tc>
        <w:tc>
          <w:tcPr>
            <w:tcW w:w="795" w:type="pct"/>
            <w:vAlign w:val="center"/>
          </w:tcPr>
          <w:p w14:paraId="7A36A855">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5.5</w:t>
            </w:r>
          </w:p>
        </w:tc>
        <w:tc>
          <w:tcPr>
            <w:tcW w:w="871" w:type="pct"/>
            <w:vAlign w:val="center"/>
          </w:tcPr>
          <w:p w14:paraId="1DE4BEF1">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15</w:t>
            </w:r>
          </w:p>
        </w:tc>
        <w:tc>
          <w:tcPr>
            <w:tcW w:w="1589" w:type="pct"/>
            <w:vMerge w:val="continue"/>
            <w:vAlign w:val="center"/>
          </w:tcPr>
          <w:p w14:paraId="6B7DD2FA">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54682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71C13645">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39</w:t>
            </w:r>
          </w:p>
        </w:tc>
        <w:tc>
          <w:tcPr>
            <w:tcW w:w="1313" w:type="pct"/>
            <w:vAlign w:val="center"/>
          </w:tcPr>
          <w:p w14:paraId="1C4BFBCA">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苯并［a］芘</w:t>
            </w:r>
          </w:p>
        </w:tc>
        <w:tc>
          <w:tcPr>
            <w:tcW w:w="795" w:type="pct"/>
            <w:vAlign w:val="center"/>
          </w:tcPr>
          <w:p w14:paraId="2A073EA3">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0.55</w:t>
            </w:r>
          </w:p>
        </w:tc>
        <w:tc>
          <w:tcPr>
            <w:tcW w:w="871" w:type="pct"/>
            <w:vAlign w:val="center"/>
          </w:tcPr>
          <w:p w14:paraId="72FACD47">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1.5</w:t>
            </w:r>
          </w:p>
        </w:tc>
        <w:tc>
          <w:tcPr>
            <w:tcW w:w="1589" w:type="pct"/>
            <w:vMerge w:val="continue"/>
            <w:vAlign w:val="center"/>
          </w:tcPr>
          <w:p w14:paraId="1AA2035F">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1AD2F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39B7FD5A">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40</w:t>
            </w:r>
          </w:p>
        </w:tc>
        <w:tc>
          <w:tcPr>
            <w:tcW w:w="1313" w:type="pct"/>
            <w:vAlign w:val="center"/>
          </w:tcPr>
          <w:p w14:paraId="627F4920">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苯并［b］荧蒽</w:t>
            </w:r>
          </w:p>
        </w:tc>
        <w:tc>
          <w:tcPr>
            <w:tcW w:w="795" w:type="pct"/>
            <w:vAlign w:val="center"/>
          </w:tcPr>
          <w:p w14:paraId="48252BE3">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5.5</w:t>
            </w:r>
          </w:p>
        </w:tc>
        <w:tc>
          <w:tcPr>
            <w:tcW w:w="871" w:type="pct"/>
            <w:vAlign w:val="center"/>
          </w:tcPr>
          <w:p w14:paraId="55118672">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15</w:t>
            </w:r>
          </w:p>
        </w:tc>
        <w:tc>
          <w:tcPr>
            <w:tcW w:w="1589" w:type="pct"/>
            <w:vMerge w:val="continue"/>
            <w:vAlign w:val="center"/>
          </w:tcPr>
          <w:p w14:paraId="1C5F9B3C">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4E2AC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2B11D6DD">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41</w:t>
            </w:r>
          </w:p>
        </w:tc>
        <w:tc>
          <w:tcPr>
            <w:tcW w:w="1313" w:type="pct"/>
            <w:vAlign w:val="center"/>
          </w:tcPr>
          <w:p w14:paraId="666CA065">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苯并［k］荧蒽</w:t>
            </w:r>
          </w:p>
        </w:tc>
        <w:tc>
          <w:tcPr>
            <w:tcW w:w="795" w:type="pct"/>
            <w:vAlign w:val="center"/>
          </w:tcPr>
          <w:p w14:paraId="705220CC">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55</w:t>
            </w:r>
          </w:p>
        </w:tc>
        <w:tc>
          <w:tcPr>
            <w:tcW w:w="871" w:type="pct"/>
            <w:vAlign w:val="center"/>
          </w:tcPr>
          <w:p w14:paraId="19C137B6">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151</w:t>
            </w:r>
          </w:p>
        </w:tc>
        <w:tc>
          <w:tcPr>
            <w:tcW w:w="1589" w:type="pct"/>
            <w:vMerge w:val="continue"/>
            <w:vAlign w:val="center"/>
          </w:tcPr>
          <w:p w14:paraId="2482EF80">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7604F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59EEAFA7">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42</w:t>
            </w:r>
          </w:p>
        </w:tc>
        <w:tc>
          <w:tcPr>
            <w:tcW w:w="1313" w:type="pct"/>
            <w:vAlign w:val="center"/>
          </w:tcPr>
          <w:p w14:paraId="34D574C8">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䓛</w:t>
            </w:r>
          </w:p>
        </w:tc>
        <w:tc>
          <w:tcPr>
            <w:tcW w:w="795" w:type="pct"/>
            <w:vAlign w:val="center"/>
          </w:tcPr>
          <w:p w14:paraId="7BEDF1B2">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490</w:t>
            </w:r>
          </w:p>
        </w:tc>
        <w:tc>
          <w:tcPr>
            <w:tcW w:w="871" w:type="pct"/>
            <w:vAlign w:val="center"/>
          </w:tcPr>
          <w:p w14:paraId="725E4015">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1293</w:t>
            </w:r>
          </w:p>
        </w:tc>
        <w:tc>
          <w:tcPr>
            <w:tcW w:w="1589" w:type="pct"/>
            <w:vMerge w:val="continue"/>
            <w:vAlign w:val="center"/>
          </w:tcPr>
          <w:p w14:paraId="24CD60BD">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3D6F9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3781816B">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43</w:t>
            </w:r>
          </w:p>
        </w:tc>
        <w:tc>
          <w:tcPr>
            <w:tcW w:w="1313" w:type="pct"/>
            <w:vAlign w:val="center"/>
          </w:tcPr>
          <w:p w14:paraId="7E4EBD02">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二苯并［a,h］蒽</w:t>
            </w:r>
          </w:p>
        </w:tc>
        <w:tc>
          <w:tcPr>
            <w:tcW w:w="795" w:type="pct"/>
            <w:vAlign w:val="center"/>
          </w:tcPr>
          <w:p w14:paraId="2DB5FF72">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0.55</w:t>
            </w:r>
          </w:p>
        </w:tc>
        <w:tc>
          <w:tcPr>
            <w:tcW w:w="871" w:type="pct"/>
            <w:vAlign w:val="center"/>
          </w:tcPr>
          <w:p w14:paraId="3A158CDC">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1.5</w:t>
            </w:r>
          </w:p>
        </w:tc>
        <w:tc>
          <w:tcPr>
            <w:tcW w:w="1589" w:type="pct"/>
            <w:vMerge w:val="continue"/>
            <w:vAlign w:val="center"/>
          </w:tcPr>
          <w:p w14:paraId="67C9A298">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09C74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 w:hRule="atLeast"/>
          <w:jc w:val="center"/>
        </w:trPr>
        <w:tc>
          <w:tcPr>
            <w:tcW w:w="432" w:type="pct"/>
            <w:vAlign w:val="center"/>
          </w:tcPr>
          <w:p w14:paraId="7CF85044">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44</w:t>
            </w:r>
          </w:p>
        </w:tc>
        <w:tc>
          <w:tcPr>
            <w:tcW w:w="1313" w:type="pct"/>
            <w:vAlign w:val="center"/>
          </w:tcPr>
          <w:p w14:paraId="5D2C4A32">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茚并［1,2,3-cd］芘</w:t>
            </w:r>
          </w:p>
        </w:tc>
        <w:tc>
          <w:tcPr>
            <w:tcW w:w="795" w:type="pct"/>
            <w:vAlign w:val="center"/>
          </w:tcPr>
          <w:p w14:paraId="072745FF">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5.5</w:t>
            </w:r>
          </w:p>
        </w:tc>
        <w:tc>
          <w:tcPr>
            <w:tcW w:w="871" w:type="pct"/>
            <w:vAlign w:val="center"/>
          </w:tcPr>
          <w:p w14:paraId="08B4F559">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15</w:t>
            </w:r>
          </w:p>
        </w:tc>
        <w:tc>
          <w:tcPr>
            <w:tcW w:w="1589" w:type="pct"/>
            <w:vMerge w:val="continue"/>
            <w:vAlign w:val="center"/>
          </w:tcPr>
          <w:p w14:paraId="2135032B">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17E10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3CD7AB8E">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45</w:t>
            </w:r>
          </w:p>
        </w:tc>
        <w:tc>
          <w:tcPr>
            <w:tcW w:w="1313" w:type="pct"/>
            <w:vAlign w:val="center"/>
          </w:tcPr>
          <w:p w14:paraId="38DD34F6">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萘</w:t>
            </w:r>
          </w:p>
        </w:tc>
        <w:tc>
          <w:tcPr>
            <w:tcW w:w="795" w:type="pct"/>
            <w:vAlign w:val="center"/>
          </w:tcPr>
          <w:p w14:paraId="19459B0F">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25</w:t>
            </w:r>
          </w:p>
        </w:tc>
        <w:tc>
          <w:tcPr>
            <w:tcW w:w="871" w:type="pct"/>
            <w:vAlign w:val="center"/>
          </w:tcPr>
          <w:p w14:paraId="1E5A5230">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70</w:t>
            </w:r>
          </w:p>
        </w:tc>
        <w:tc>
          <w:tcPr>
            <w:tcW w:w="1589" w:type="pct"/>
            <w:vMerge w:val="continue"/>
            <w:vAlign w:val="center"/>
          </w:tcPr>
          <w:p w14:paraId="0A0FB6B6">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p>
        </w:tc>
      </w:tr>
      <w:tr w14:paraId="7191F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jc w:val="center"/>
        </w:trPr>
        <w:tc>
          <w:tcPr>
            <w:tcW w:w="432" w:type="pct"/>
            <w:vAlign w:val="center"/>
          </w:tcPr>
          <w:p w14:paraId="2F78A93B">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46</w:t>
            </w:r>
          </w:p>
        </w:tc>
        <w:tc>
          <w:tcPr>
            <w:tcW w:w="1313" w:type="pct"/>
            <w:vAlign w:val="center"/>
          </w:tcPr>
          <w:p w14:paraId="43010B42">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石油烃（C</w:t>
            </w:r>
            <w:r>
              <w:rPr>
                <w:rFonts w:ascii="Times New Roman" w:hAnsi="Times New Roman" w:cs="Times New Roman" w:eastAsiaTheme="minorEastAsia"/>
                <w:color w:val="000000" w:themeColor="text1"/>
                <w:w w:val="99"/>
                <w:kern w:val="2"/>
                <w:sz w:val="21"/>
                <w:vertAlign w:val="subscript"/>
                <w:lang w:val="en-US" w:bidi="ar"/>
                <w14:textFill>
                  <w14:solidFill>
                    <w14:schemeClr w14:val="tx1"/>
                  </w14:solidFill>
                </w14:textFill>
              </w:rPr>
              <w:t>10</w:t>
            </w: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-C</w:t>
            </w:r>
            <w:r>
              <w:rPr>
                <w:rFonts w:ascii="Times New Roman" w:hAnsi="Times New Roman" w:cs="Times New Roman" w:eastAsiaTheme="minorEastAsia"/>
                <w:color w:val="000000" w:themeColor="text1"/>
                <w:w w:val="99"/>
                <w:kern w:val="2"/>
                <w:sz w:val="21"/>
                <w:vertAlign w:val="subscript"/>
                <w:lang w:val="en-US" w:bidi="ar"/>
                <w14:textFill>
                  <w14:solidFill>
                    <w14:schemeClr w14:val="tx1"/>
                  </w14:solidFill>
                </w14:textFill>
              </w:rPr>
              <w:t>40</w:t>
            </w: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w:t>
            </w:r>
          </w:p>
        </w:tc>
        <w:tc>
          <w:tcPr>
            <w:tcW w:w="795" w:type="pct"/>
            <w:vAlign w:val="center"/>
          </w:tcPr>
          <w:p w14:paraId="1A19C01D">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826</w:t>
            </w:r>
          </w:p>
        </w:tc>
        <w:tc>
          <w:tcPr>
            <w:tcW w:w="871" w:type="pct"/>
            <w:vAlign w:val="center"/>
          </w:tcPr>
          <w:p w14:paraId="68EBE9E8">
            <w:pPr>
              <w:autoSpaceDE/>
              <w:autoSpaceDN/>
              <w:spacing w:line="29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4500</w:t>
            </w:r>
          </w:p>
        </w:tc>
        <w:tc>
          <w:tcPr>
            <w:tcW w:w="1589" w:type="pct"/>
            <w:vAlign w:val="center"/>
          </w:tcPr>
          <w:p w14:paraId="3D794D29">
            <w:pPr>
              <w:autoSpaceDE/>
              <w:autoSpaceDN/>
              <w:spacing w:line="270" w:lineRule="exact"/>
              <w:jc w:val="center"/>
              <w:rPr>
                <w:rFonts w:ascii="Times New Roman" w:hAnsi="Times New Roman" w:cs="Times New Roman" w:eastAsiaTheme="minorEastAsia"/>
                <w:color w:val="000000" w:themeColor="text1"/>
                <w:w w:val="99"/>
                <w:kern w:val="2"/>
                <w:sz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lang w:val="en-US" w:bidi="ar"/>
                <w14:textFill>
                  <w14:solidFill>
                    <w14:schemeClr w14:val="tx1"/>
                  </w14:solidFill>
                </w14:textFill>
              </w:rPr>
              <w:t>《土壤环境质量 建设用地土壤污染风险管控标准（试行）》（GB36600-2018）其他项目</w:t>
            </w:r>
          </w:p>
        </w:tc>
      </w:tr>
    </w:tbl>
    <w:p w14:paraId="08949091">
      <w:pPr>
        <w:pStyle w:val="107"/>
        <w:tabs>
          <w:tab w:val="left" w:pos="1571"/>
        </w:tabs>
        <w:spacing w:line="440" w:lineRule="exact"/>
        <w:ind w:left="440" w:leftChars="200" w:firstLine="0"/>
        <w:jc w:val="both"/>
        <w:rPr>
          <w:rFonts w:ascii="Times New Roman" w:hAnsi="Times New Roman" w:cs="Times New Roman" w:eastAsiaTheme="minorEastAsia"/>
          <w:b/>
          <w:bCs/>
          <w:color w:val="000000" w:themeColor="text1"/>
          <w:w w:val="99"/>
          <w:sz w:val="24"/>
          <w:szCs w:val="24"/>
          <w14:textFill>
            <w14:solidFill>
              <w14:schemeClr w14:val="tx1"/>
            </w14:solidFill>
          </w14:textFill>
        </w:rPr>
      </w:pPr>
      <w:r>
        <w:rPr>
          <w:rFonts w:ascii="Times New Roman" w:hAnsi="Times New Roman" w:cs="Times New Roman" w:eastAsiaTheme="minorEastAsia"/>
          <w:b/>
          <w:bCs/>
          <w:color w:val="000000" w:themeColor="text1"/>
          <w:w w:val="99"/>
          <w:sz w:val="24"/>
          <w:szCs w:val="24"/>
          <w14:textFill>
            <w14:solidFill>
              <w14:schemeClr w14:val="tx1"/>
            </w14:solidFill>
          </w14:textFill>
        </w:rPr>
        <w:t>表2.4-</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 xml:space="preserve">5       </w:t>
      </w:r>
      <w:r>
        <w:rPr>
          <w:rFonts w:ascii="Times New Roman" w:hAnsi="Times New Roman" w:cs="Times New Roman" w:eastAsiaTheme="minorEastAsia"/>
          <w:b/>
          <w:bCs/>
          <w:color w:val="000000" w:themeColor="text1"/>
          <w:w w:val="99"/>
          <w:sz w:val="24"/>
          <w:szCs w:val="24"/>
          <w14:textFill>
            <w14:solidFill>
              <w14:schemeClr w14:val="tx1"/>
            </w14:solidFill>
          </w14:textFill>
        </w:rPr>
        <w:t>农用地土壤污染风险筛选值</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 xml:space="preserve">        单位：mg/kg</w:t>
      </w:r>
    </w:p>
    <w:tbl>
      <w:tblPr>
        <w:tblStyle w:val="8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2411"/>
        <w:gridCol w:w="2535"/>
        <w:gridCol w:w="3339"/>
      </w:tblGrid>
      <w:tr w14:paraId="27F17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Merge w:val="restart"/>
            <w:tcBorders>
              <w:tl2br w:val="nil"/>
              <w:tr2bl w:val="nil"/>
            </w:tcBorders>
            <w:vAlign w:val="center"/>
          </w:tcPr>
          <w:p w14:paraId="467ABE73">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序号</w:t>
            </w:r>
          </w:p>
        </w:tc>
        <w:tc>
          <w:tcPr>
            <w:tcW w:w="2411" w:type="dxa"/>
            <w:vMerge w:val="restart"/>
            <w:tcBorders>
              <w:tl2br w:val="nil"/>
              <w:tr2bl w:val="nil"/>
            </w:tcBorders>
            <w:vAlign w:val="center"/>
          </w:tcPr>
          <w:p w14:paraId="6DE92F52">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污染物项目</w:t>
            </w:r>
          </w:p>
        </w:tc>
        <w:tc>
          <w:tcPr>
            <w:tcW w:w="2535" w:type="dxa"/>
            <w:tcBorders>
              <w:tl2br w:val="nil"/>
              <w:tr2bl w:val="nil"/>
            </w:tcBorders>
            <w:vAlign w:val="center"/>
          </w:tcPr>
          <w:p w14:paraId="25C94C0F">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项目标准值（mg/kg）</w:t>
            </w:r>
          </w:p>
        </w:tc>
        <w:tc>
          <w:tcPr>
            <w:tcW w:w="3339" w:type="dxa"/>
            <w:vMerge w:val="restart"/>
            <w:tcBorders>
              <w:tl2br w:val="nil"/>
              <w:tr2bl w:val="nil"/>
            </w:tcBorders>
            <w:vAlign w:val="center"/>
          </w:tcPr>
          <w:p w14:paraId="3677AB40">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备注</w:t>
            </w:r>
          </w:p>
        </w:tc>
      </w:tr>
      <w:tr w14:paraId="57F21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vMerge w:val="continue"/>
            <w:tcBorders>
              <w:tl2br w:val="nil"/>
              <w:tr2bl w:val="nil"/>
            </w:tcBorders>
            <w:vAlign w:val="center"/>
          </w:tcPr>
          <w:p w14:paraId="760418A0">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2411" w:type="dxa"/>
            <w:vMerge w:val="continue"/>
            <w:tcBorders>
              <w:tl2br w:val="nil"/>
              <w:tr2bl w:val="nil"/>
            </w:tcBorders>
            <w:vAlign w:val="center"/>
          </w:tcPr>
          <w:p w14:paraId="16319AE1">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2535" w:type="dxa"/>
            <w:tcBorders>
              <w:tl2br w:val="nil"/>
              <w:tr2bl w:val="nil"/>
            </w:tcBorders>
            <w:vAlign w:val="center"/>
          </w:tcPr>
          <w:p w14:paraId="080F5AD2">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pH＞7.5</w:t>
            </w:r>
          </w:p>
        </w:tc>
        <w:tc>
          <w:tcPr>
            <w:tcW w:w="3339" w:type="dxa"/>
            <w:vMerge w:val="continue"/>
            <w:tcBorders>
              <w:tl2br w:val="nil"/>
              <w:tr2bl w:val="nil"/>
            </w:tcBorders>
            <w:vAlign w:val="center"/>
          </w:tcPr>
          <w:p w14:paraId="501BDCCA">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37CA7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tcBorders>
              <w:tl2br w:val="nil"/>
              <w:tr2bl w:val="nil"/>
            </w:tcBorders>
            <w:vAlign w:val="center"/>
          </w:tcPr>
          <w:p w14:paraId="7E17FF2F">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w:t>
            </w:r>
          </w:p>
        </w:tc>
        <w:tc>
          <w:tcPr>
            <w:tcW w:w="2411" w:type="dxa"/>
            <w:tcBorders>
              <w:tl2br w:val="nil"/>
              <w:tr2bl w:val="nil"/>
            </w:tcBorders>
            <w:vAlign w:val="center"/>
          </w:tcPr>
          <w:p w14:paraId="79A59DCA">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镉</w:t>
            </w:r>
          </w:p>
        </w:tc>
        <w:tc>
          <w:tcPr>
            <w:tcW w:w="2535" w:type="dxa"/>
            <w:tcBorders>
              <w:tl2br w:val="nil"/>
              <w:tr2bl w:val="nil"/>
            </w:tcBorders>
            <w:vAlign w:val="center"/>
          </w:tcPr>
          <w:p w14:paraId="61A347FD">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0.6</w:t>
            </w:r>
          </w:p>
        </w:tc>
        <w:tc>
          <w:tcPr>
            <w:tcW w:w="3339" w:type="dxa"/>
            <w:vMerge w:val="restart"/>
            <w:tcBorders>
              <w:tl2br w:val="nil"/>
              <w:tr2bl w:val="nil"/>
            </w:tcBorders>
            <w:vAlign w:val="center"/>
          </w:tcPr>
          <w:p w14:paraId="500DAD9E">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《土壤环境质量农用地土壤污染风险管控标准（试行）》（GB15618-2018）</w:t>
            </w:r>
          </w:p>
        </w:tc>
      </w:tr>
      <w:tr w14:paraId="404A1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tcBorders>
              <w:tl2br w:val="nil"/>
              <w:tr2bl w:val="nil"/>
            </w:tcBorders>
            <w:vAlign w:val="center"/>
          </w:tcPr>
          <w:p w14:paraId="6D6FCC93">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w:t>
            </w:r>
          </w:p>
        </w:tc>
        <w:tc>
          <w:tcPr>
            <w:tcW w:w="2411" w:type="dxa"/>
            <w:tcBorders>
              <w:tl2br w:val="nil"/>
              <w:tr2bl w:val="nil"/>
            </w:tcBorders>
            <w:vAlign w:val="center"/>
          </w:tcPr>
          <w:p w14:paraId="750818E3">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汞</w:t>
            </w:r>
          </w:p>
        </w:tc>
        <w:tc>
          <w:tcPr>
            <w:tcW w:w="2535" w:type="dxa"/>
            <w:tcBorders>
              <w:tl2br w:val="nil"/>
              <w:tr2bl w:val="nil"/>
            </w:tcBorders>
            <w:vAlign w:val="center"/>
          </w:tcPr>
          <w:p w14:paraId="52AFB579">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3.4</w:t>
            </w:r>
          </w:p>
        </w:tc>
        <w:tc>
          <w:tcPr>
            <w:tcW w:w="3339" w:type="dxa"/>
            <w:vMerge w:val="continue"/>
            <w:tcBorders>
              <w:tl2br w:val="nil"/>
              <w:tr2bl w:val="nil"/>
            </w:tcBorders>
            <w:vAlign w:val="center"/>
          </w:tcPr>
          <w:p w14:paraId="39D1CA49">
            <w:pPr>
              <w:widowControl/>
              <w:autoSpaceDE/>
              <w:autoSpaceDN/>
              <w:adjustRightInd w:val="0"/>
              <w:snapToGrid w:val="0"/>
              <w:spacing w:line="360" w:lineRule="exact"/>
              <w:jc w:val="center"/>
              <w:textAlignment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r>
      <w:tr w14:paraId="6B475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tcBorders>
              <w:tl2br w:val="nil"/>
              <w:tr2bl w:val="nil"/>
            </w:tcBorders>
            <w:vAlign w:val="center"/>
          </w:tcPr>
          <w:p w14:paraId="759AD95D">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3</w:t>
            </w:r>
          </w:p>
        </w:tc>
        <w:tc>
          <w:tcPr>
            <w:tcW w:w="2411" w:type="dxa"/>
            <w:tcBorders>
              <w:tl2br w:val="nil"/>
              <w:tr2bl w:val="nil"/>
            </w:tcBorders>
            <w:vAlign w:val="center"/>
          </w:tcPr>
          <w:p w14:paraId="5091B015">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砷</w:t>
            </w:r>
          </w:p>
        </w:tc>
        <w:tc>
          <w:tcPr>
            <w:tcW w:w="2535" w:type="dxa"/>
            <w:tcBorders>
              <w:tl2br w:val="nil"/>
              <w:tr2bl w:val="nil"/>
            </w:tcBorders>
            <w:vAlign w:val="center"/>
          </w:tcPr>
          <w:p w14:paraId="001CF3AB">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25</w:t>
            </w:r>
          </w:p>
        </w:tc>
        <w:tc>
          <w:tcPr>
            <w:tcW w:w="3339" w:type="dxa"/>
            <w:vMerge w:val="continue"/>
            <w:tcBorders>
              <w:tl2br w:val="nil"/>
              <w:tr2bl w:val="nil"/>
            </w:tcBorders>
            <w:vAlign w:val="center"/>
          </w:tcPr>
          <w:p w14:paraId="71BC9905">
            <w:pPr>
              <w:widowControl/>
              <w:autoSpaceDE/>
              <w:autoSpaceDN/>
              <w:adjustRightInd w:val="0"/>
              <w:snapToGrid w:val="0"/>
              <w:spacing w:line="360" w:lineRule="exact"/>
              <w:jc w:val="center"/>
              <w:textAlignment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r>
      <w:tr w14:paraId="2C325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tcBorders>
              <w:tl2br w:val="nil"/>
              <w:tr2bl w:val="nil"/>
            </w:tcBorders>
            <w:vAlign w:val="center"/>
          </w:tcPr>
          <w:p w14:paraId="2A6D42C3">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4</w:t>
            </w:r>
          </w:p>
        </w:tc>
        <w:tc>
          <w:tcPr>
            <w:tcW w:w="2411" w:type="dxa"/>
            <w:tcBorders>
              <w:tl2br w:val="nil"/>
              <w:tr2bl w:val="nil"/>
            </w:tcBorders>
            <w:vAlign w:val="center"/>
          </w:tcPr>
          <w:p w14:paraId="3CA6FB72">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铅</w:t>
            </w:r>
          </w:p>
        </w:tc>
        <w:tc>
          <w:tcPr>
            <w:tcW w:w="2535" w:type="dxa"/>
            <w:tcBorders>
              <w:tl2br w:val="nil"/>
              <w:tr2bl w:val="nil"/>
            </w:tcBorders>
            <w:vAlign w:val="center"/>
          </w:tcPr>
          <w:p w14:paraId="6D091EA0">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170</w:t>
            </w:r>
          </w:p>
        </w:tc>
        <w:tc>
          <w:tcPr>
            <w:tcW w:w="3339" w:type="dxa"/>
            <w:vMerge w:val="continue"/>
            <w:tcBorders>
              <w:tl2br w:val="nil"/>
              <w:tr2bl w:val="nil"/>
            </w:tcBorders>
            <w:vAlign w:val="center"/>
          </w:tcPr>
          <w:p w14:paraId="11E8D4A4">
            <w:pPr>
              <w:widowControl/>
              <w:autoSpaceDE/>
              <w:autoSpaceDN/>
              <w:adjustRightInd w:val="0"/>
              <w:snapToGrid w:val="0"/>
              <w:spacing w:line="360" w:lineRule="exact"/>
              <w:jc w:val="center"/>
              <w:textAlignment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r>
      <w:tr w14:paraId="653A5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tcBorders>
              <w:tl2br w:val="nil"/>
              <w:tr2bl w:val="nil"/>
            </w:tcBorders>
            <w:vAlign w:val="center"/>
          </w:tcPr>
          <w:p w14:paraId="23110BC2">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5</w:t>
            </w:r>
          </w:p>
        </w:tc>
        <w:tc>
          <w:tcPr>
            <w:tcW w:w="2411" w:type="dxa"/>
            <w:tcBorders>
              <w:tl2br w:val="nil"/>
              <w:tr2bl w:val="nil"/>
            </w:tcBorders>
            <w:vAlign w:val="center"/>
          </w:tcPr>
          <w:p w14:paraId="5FFCC780">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铬</w:t>
            </w:r>
          </w:p>
        </w:tc>
        <w:tc>
          <w:tcPr>
            <w:tcW w:w="2535" w:type="dxa"/>
            <w:tcBorders>
              <w:tl2br w:val="nil"/>
              <w:tr2bl w:val="nil"/>
            </w:tcBorders>
            <w:vAlign w:val="center"/>
          </w:tcPr>
          <w:p w14:paraId="7F7E51E9">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250</w:t>
            </w:r>
          </w:p>
        </w:tc>
        <w:tc>
          <w:tcPr>
            <w:tcW w:w="3339" w:type="dxa"/>
            <w:vMerge w:val="continue"/>
            <w:tcBorders>
              <w:tl2br w:val="nil"/>
              <w:tr2bl w:val="nil"/>
            </w:tcBorders>
            <w:vAlign w:val="center"/>
          </w:tcPr>
          <w:p w14:paraId="2C1964BC">
            <w:pPr>
              <w:widowControl/>
              <w:autoSpaceDE/>
              <w:autoSpaceDN/>
              <w:adjustRightInd w:val="0"/>
              <w:snapToGrid w:val="0"/>
              <w:spacing w:line="360" w:lineRule="exact"/>
              <w:jc w:val="center"/>
              <w:textAlignment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r>
      <w:tr w14:paraId="1BC14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tcBorders>
              <w:tl2br w:val="nil"/>
              <w:tr2bl w:val="nil"/>
            </w:tcBorders>
            <w:vAlign w:val="center"/>
          </w:tcPr>
          <w:p w14:paraId="0ACEC052">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6</w:t>
            </w:r>
          </w:p>
        </w:tc>
        <w:tc>
          <w:tcPr>
            <w:tcW w:w="2411" w:type="dxa"/>
            <w:tcBorders>
              <w:tl2br w:val="nil"/>
              <w:tr2bl w:val="nil"/>
            </w:tcBorders>
            <w:vAlign w:val="center"/>
          </w:tcPr>
          <w:p w14:paraId="38B4C79B">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铜</w:t>
            </w:r>
          </w:p>
        </w:tc>
        <w:tc>
          <w:tcPr>
            <w:tcW w:w="2535" w:type="dxa"/>
            <w:tcBorders>
              <w:tl2br w:val="nil"/>
              <w:tr2bl w:val="nil"/>
            </w:tcBorders>
            <w:vAlign w:val="center"/>
          </w:tcPr>
          <w:p w14:paraId="0A5A5988">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100</w:t>
            </w:r>
          </w:p>
        </w:tc>
        <w:tc>
          <w:tcPr>
            <w:tcW w:w="3339" w:type="dxa"/>
            <w:vMerge w:val="continue"/>
            <w:tcBorders>
              <w:tl2br w:val="nil"/>
              <w:tr2bl w:val="nil"/>
            </w:tcBorders>
            <w:vAlign w:val="center"/>
          </w:tcPr>
          <w:p w14:paraId="4729702D">
            <w:pPr>
              <w:widowControl/>
              <w:autoSpaceDE/>
              <w:autoSpaceDN/>
              <w:adjustRightInd w:val="0"/>
              <w:snapToGrid w:val="0"/>
              <w:spacing w:line="360" w:lineRule="exact"/>
              <w:jc w:val="center"/>
              <w:textAlignment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r>
      <w:tr w14:paraId="421F0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tcBorders>
              <w:tl2br w:val="nil"/>
              <w:tr2bl w:val="nil"/>
            </w:tcBorders>
            <w:vAlign w:val="center"/>
          </w:tcPr>
          <w:p w14:paraId="613D4822">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7</w:t>
            </w:r>
          </w:p>
        </w:tc>
        <w:tc>
          <w:tcPr>
            <w:tcW w:w="2411" w:type="dxa"/>
            <w:tcBorders>
              <w:tl2br w:val="nil"/>
              <w:tr2bl w:val="nil"/>
            </w:tcBorders>
            <w:vAlign w:val="center"/>
          </w:tcPr>
          <w:p w14:paraId="07052E0D">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镍</w:t>
            </w:r>
          </w:p>
        </w:tc>
        <w:tc>
          <w:tcPr>
            <w:tcW w:w="2535" w:type="dxa"/>
            <w:tcBorders>
              <w:tl2br w:val="nil"/>
              <w:tr2bl w:val="nil"/>
            </w:tcBorders>
            <w:vAlign w:val="center"/>
          </w:tcPr>
          <w:p w14:paraId="6CC45933">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190</w:t>
            </w:r>
          </w:p>
        </w:tc>
        <w:tc>
          <w:tcPr>
            <w:tcW w:w="3339" w:type="dxa"/>
            <w:vMerge w:val="continue"/>
            <w:tcBorders>
              <w:tl2br w:val="nil"/>
              <w:tr2bl w:val="nil"/>
            </w:tcBorders>
            <w:vAlign w:val="center"/>
          </w:tcPr>
          <w:p w14:paraId="439EE75F">
            <w:pPr>
              <w:widowControl/>
              <w:autoSpaceDE/>
              <w:autoSpaceDN/>
              <w:adjustRightInd w:val="0"/>
              <w:snapToGrid w:val="0"/>
              <w:spacing w:line="360" w:lineRule="exact"/>
              <w:jc w:val="center"/>
              <w:textAlignment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r>
      <w:tr w14:paraId="7958F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dxa"/>
            <w:tcBorders>
              <w:tl2br w:val="nil"/>
              <w:tr2bl w:val="nil"/>
            </w:tcBorders>
            <w:vAlign w:val="center"/>
          </w:tcPr>
          <w:p w14:paraId="3C2D183A">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8</w:t>
            </w:r>
          </w:p>
        </w:tc>
        <w:tc>
          <w:tcPr>
            <w:tcW w:w="2411" w:type="dxa"/>
            <w:tcBorders>
              <w:tl2br w:val="nil"/>
              <w:tr2bl w:val="nil"/>
            </w:tcBorders>
            <w:vAlign w:val="center"/>
          </w:tcPr>
          <w:p w14:paraId="2907465C">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锌</w:t>
            </w:r>
          </w:p>
        </w:tc>
        <w:tc>
          <w:tcPr>
            <w:tcW w:w="2535" w:type="dxa"/>
            <w:tcBorders>
              <w:tl2br w:val="nil"/>
              <w:tr2bl w:val="nil"/>
            </w:tcBorders>
            <w:vAlign w:val="center"/>
          </w:tcPr>
          <w:p w14:paraId="1722F05F">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300</w:t>
            </w:r>
          </w:p>
        </w:tc>
        <w:tc>
          <w:tcPr>
            <w:tcW w:w="3339" w:type="dxa"/>
            <w:vMerge w:val="continue"/>
            <w:tcBorders>
              <w:tl2br w:val="nil"/>
              <w:tr2bl w:val="nil"/>
            </w:tcBorders>
            <w:vAlign w:val="center"/>
          </w:tcPr>
          <w:p w14:paraId="326C21C9">
            <w:pPr>
              <w:widowControl/>
              <w:autoSpaceDE/>
              <w:autoSpaceDN/>
              <w:adjustRightInd w:val="0"/>
              <w:snapToGrid w:val="0"/>
              <w:spacing w:line="360" w:lineRule="exact"/>
              <w:jc w:val="center"/>
              <w:textAlignment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r>
    </w:tbl>
    <w:p w14:paraId="69E15833">
      <w:pPr>
        <w:pStyle w:val="107"/>
        <w:tabs>
          <w:tab w:val="left" w:pos="1571"/>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5</w:t>
      </w:r>
      <w:r>
        <w:rPr>
          <w:rFonts w:ascii="Times New Roman" w:hAnsi="Times New Roman" w:cs="Times New Roman" w:eastAsiaTheme="minorEastAsia"/>
          <w:color w:val="000000" w:themeColor="text1"/>
          <w:w w:val="99"/>
          <w:sz w:val="24"/>
          <w:szCs w:val="24"/>
          <w14:textFill>
            <w14:solidFill>
              <w14:schemeClr w14:val="tx1"/>
            </w14:solidFill>
          </w14:textFill>
        </w:rPr>
        <w:t>）地下水</w:t>
      </w:r>
    </w:p>
    <w:p w14:paraId="65B460E4">
      <w:pPr>
        <w:pStyle w:val="107"/>
        <w:tabs>
          <w:tab w:val="left" w:pos="1571"/>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kern w:val="2"/>
          <w:sz w:val="24"/>
          <w:szCs w:val="24"/>
          <w14:textFill>
            <w14:solidFill>
              <w14:schemeClr w14:val="tx1"/>
            </w14:solidFill>
          </w14:textFill>
        </w:rPr>
        <w:t>评价区域内地下水质量执行《地下水质量标准》（GB/T14848-2017）III类标准，石油类参考执行《地表水环境质量标准》（GB3838-2002）表1中的III类标准限值要求。</w:t>
      </w:r>
      <w:r>
        <w:rPr>
          <w:rFonts w:ascii="Times New Roman" w:hAnsi="Times New Roman" w:cs="Times New Roman" w:eastAsiaTheme="minorEastAsia"/>
          <w:color w:val="000000" w:themeColor="text1"/>
          <w:w w:val="99"/>
          <w:sz w:val="24"/>
          <w:szCs w:val="24"/>
          <w14:textFill>
            <w14:solidFill>
              <w14:schemeClr w14:val="tx1"/>
            </w14:solidFill>
          </w14:textFill>
        </w:rPr>
        <w:t>具体见表</w:t>
      </w:r>
      <w:r>
        <w:rPr>
          <w:rFonts w:ascii="Times New Roman" w:hAnsi="Times New Roman" w:cs="Times New Roman" w:eastAsiaTheme="minorEastAsia"/>
          <w:color w:val="000000" w:themeColor="text1"/>
          <w:w w:val="99"/>
          <w:sz w:val="24"/>
          <w:szCs w:val="24"/>
          <w:lang w:val="en-US"/>
          <w14:textFill>
            <w14:solidFill>
              <w14:schemeClr w14:val="tx1"/>
            </w14:solidFill>
          </w14:textFill>
        </w:rPr>
        <w:t>2.4-6。</w:t>
      </w:r>
    </w:p>
    <w:p w14:paraId="53F6087B">
      <w:pPr>
        <w:pStyle w:val="107"/>
        <w:tabs>
          <w:tab w:val="left" w:pos="1571"/>
        </w:tabs>
        <w:spacing w:line="440" w:lineRule="exact"/>
        <w:ind w:left="0" w:firstLine="476" w:firstLineChars="200"/>
        <w:jc w:val="both"/>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r>
        <w:rPr>
          <w:rFonts w:ascii="Times New Roman" w:hAnsi="Times New Roman" w:cs="Times New Roman" w:eastAsiaTheme="minorEastAsia"/>
          <w:b/>
          <w:bCs/>
          <w:color w:val="000000" w:themeColor="text1"/>
          <w:w w:val="99"/>
          <w:sz w:val="24"/>
          <w:szCs w:val="24"/>
          <w14:textFill>
            <w14:solidFill>
              <w14:schemeClr w14:val="tx1"/>
            </w14:solidFill>
          </w14:textFill>
        </w:rPr>
        <w:t>表</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 xml:space="preserve">2.4-6        </w:t>
      </w:r>
      <w:r>
        <w:rPr>
          <w:rFonts w:ascii="Times New Roman" w:hAnsi="Times New Roman" w:cs="Times New Roman" w:eastAsiaTheme="minorEastAsia"/>
          <w:b/>
          <w:bCs/>
          <w:color w:val="000000" w:themeColor="text1"/>
          <w:w w:val="99"/>
          <w:sz w:val="24"/>
          <w:szCs w:val="24"/>
          <w14:textFill>
            <w14:solidFill>
              <w14:schemeClr w14:val="tx1"/>
            </w14:solidFill>
          </w14:textFill>
        </w:rPr>
        <w:t>地下水环境质量标准</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 xml:space="preserve">        </w:t>
      </w:r>
      <w:r>
        <w:rPr>
          <w:rFonts w:ascii="Times New Roman" w:hAnsi="Times New Roman" w:cs="Times New Roman" w:eastAsiaTheme="minorEastAsia"/>
          <w:b/>
          <w:bCs/>
          <w:color w:val="000000" w:themeColor="text1"/>
          <w:w w:val="99"/>
          <w:sz w:val="24"/>
          <w:szCs w:val="24"/>
          <w14:textFill>
            <w14:solidFill>
              <w14:schemeClr w14:val="tx1"/>
            </w14:solidFill>
          </w14:textFill>
        </w:rPr>
        <w:t>单位：mg/L（pH除外）</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5"/>
        <w:gridCol w:w="2795"/>
        <w:gridCol w:w="3696"/>
      </w:tblGrid>
      <w:tr w14:paraId="32192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5" w:type="pct"/>
            <w:tcBorders>
              <w:tl2br w:val="single" w:color="auto" w:sz="4" w:space="0"/>
            </w:tcBorders>
            <w:vAlign w:val="center"/>
          </w:tcPr>
          <w:p w14:paraId="20B047FA">
            <w:pPr>
              <w:autoSpaceDE/>
              <w:autoSpaceDN/>
              <w:spacing w:line="360" w:lineRule="exact"/>
              <w:jc w:val="right"/>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类别</w:t>
            </w:r>
          </w:p>
          <w:p w14:paraId="25C60DE0">
            <w:pPr>
              <w:autoSpaceDE/>
              <w:autoSpaceDN/>
              <w:spacing w:line="360" w:lineRule="exact"/>
              <w:ind w:firstLine="414" w:firstLineChars="200"/>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项目</w:t>
            </w:r>
          </w:p>
        </w:tc>
        <w:tc>
          <w:tcPr>
            <w:tcW w:w="1505" w:type="pct"/>
            <w:vAlign w:val="center"/>
          </w:tcPr>
          <w:p w14:paraId="3A0F0BD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标准</w:t>
            </w:r>
          </w:p>
        </w:tc>
        <w:tc>
          <w:tcPr>
            <w:tcW w:w="1990" w:type="pct"/>
            <w:vAlign w:val="center"/>
          </w:tcPr>
          <w:p w14:paraId="6E46EDAE">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标准来源</w:t>
            </w:r>
          </w:p>
        </w:tc>
      </w:tr>
      <w:tr w14:paraId="07F5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5" w:type="pct"/>
            <w:vAlign w:val="center"/>
          </w:tcPr>
          <w:p w14:paraId="0A3716C7">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pH</w:t>
            </w:r>
          </w:p>
        </w:tc>
        <w:tc>
          <w:tcPr>
            <w:tcW w:w="1505" w:type="pct"/>
            <w:vAlign w:val="center"/>
          </w:tcPr>
          <w:p w14:paraId="7E7195AC">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6.5～8.5（无纲量）</w:t>
            </w:r>
          </w:p>
        </w:tc>
        <w:tc>
          <w:tcPr>
            <w:tcW w:w="1990" w:type="pct"/>
            <w:vMerge w:val="restart"/>
            <w:vAlign w:val="center"/>
          </w:tcPr>
          <w:p w14:paraId="6687EF54">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《地下水质量标准》（GB/T14848-2017）中III类标准</w:t>
            </w:r>
          </w:p>
        </w:tc>
      </w:tr>
      <w:tr w14:paraId="20523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5" w:type="pct"/>
            <w:vAlign w:val="center"/>
          </w:tcPr>
          <w:p w14:paraId="68F776C7">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氨氮（mg/L）</w:t>
            </w:r>
          </w:p>
        </w:tc>
        <w:tc>
          <w:tcPr>
            <w:tcW w:w="1505" w:type="pct"/>
            <w:vAlign w:val="center"/>
          </w:tcPr>
          <w:p w14:paraId="7894A09B">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≤0.5</w:t>
            </w:r>
          </w:p>
        </w:tc>
        <w:tc>
          <w:tcPr>
            <w:tcW w:w="1990" w:type="pct"/>
            <w:vMerge w:val="continue"/>
            <w:vAlign w:val="center"/>
          </w:tcPr>
          <w:p w14:paraId="78E26539">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4B195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5" w:type="pct"/>
            <w:vAlign w:val="center"/>
          </w:tcPr>
          <w:p w14:paraId="0C783AEA">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硝酸盐(以N计)（mg/L）</w:t>
            </w:r>
          </w:p>
        </w:tc>
        <w:tc>
          <w:tcPr>
            <w:tcW w:w="1505" w:type="pct"/>
            <w:vAlign w:val="center"/>
          </w:tcPr>
          <w:p w14:paraId="7B78D8CE">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≤20</w:t>
            </w:r>
          </w:p>
        </w:tc>
        <w:tc>
          <w:tcPr>
            <w:tcW w:w="1990" w:type="pct"/>
            <w:vMerge w:val="continue"/>
            <w:vAlign w:val="center"/>
          </w:tcPr>
          <w:p w14:paraId="662240B5">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1574D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5" w:type="pct"/>
            <w:vAlign w:val="center"/>
          </w:tcPr>
          <w:p w14:paraId="258EE22E">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亚硝酸盐(以N计)（mg/L）</w:t>
            </w:r>
          </w:p>
        </w:tc>
        <w:tc>
          <w:tcPr>
            <w:tcW w:w="1505" w:type="pct"/>
            <w:vAlign w:val="center"/>
          </w:tcPr>
          <w:p w14:paraId="7587CC42">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≤0.1</w:t>
            </w:r>
          </w:p>
        </w:tc>
        <w:tc>
          <w:tcPr>
            <w:tcW w:w="1990" w:type="pct"/>
            <w:vMerge w:val="continue"/>
            <w:vAlign w:val="center"/>
          </w:tcPr>
          <w:p w14:paraId="75B4001A">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1A8DA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5" w:type="pct"/>
            <w:vAlign w:val="center"/>
          </w:tcPr>
          <w:p w14:paraId="3E5BFCEB">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挥发性酚类（mg/L）</w:t>
            </w:r>
          </w:p>
        </w:tc>
        <w:tc>
          <w:tcPr>
            <w:tcW w:w="1505" w:type="pct"/>
            <w:vAlign w:val="center"/>
          </w:tcPr>
          <w:p w14:paraId="6A028FF2">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≤0.002</w:t>
            </w:r>
          </w:p>
        </w:tc>
        <w:tc>
          <w:tcPr>
            <w:tcW w:w="1990" w:type="pct"/>
            <w:vMerge w:val="continue"/>
            <w:vAlign w:val="center"/>
          </w:tcPr>
          <w:p w14:paraId="7F59292D">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41856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5" w:type="pct"/>
            <w:vAlign w:val="center"/>
          </w:tcPr>
          <w:p w14:paraId="46CB09C4">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氰化物（mg/L）</w:t>
            </w:r>
          </w:p>
        </w:tc>
        <w:tc>
          <w:tcPr>
            <w:tcW w:w="1505" w:type="pct"/>
            <w:vAlign w:val="center"/>
          </w:tcPr>
          <w:p w14:paraId="76427978">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≤0.05</w:t>
            </w:r>
          </w:p>
        </w:tc>
        <w:tc>
          <w:tcPr>
            <w:tcW w:w="1990" w:type="pct"/>
            <w:vMerge w:val="continue"/>
            <w:vAlign w:val="center"/>
          </w:tcPr>
          <w:p w14:paraId="6F3AE58E">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346CA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5" w:type="pct"/>
            <w:vAlign w:val="center"/>
          </w:tcPr>
          <w:p w14:paraId="35D70D65">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砷（mg/L）</w:t>
            </w:r>
          </w:p>
        </w:tc>
        <w:tc>
          <w:tcPr>
            <w:tcW w:w="1505" w:type="pct"/>
            <w:vAlign w:val="center"/>
          </w:tcPr>
          <w:p w14:paraId="16299AEF">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≤0.05</w:t>
            </w:r>
          </w:p>
        </w:tc>
        <w:tc>
          <w:tcPr>
            <w:tcW w:w="1990" w:type="pct"/>
            <w:vMerge w:val="continue"/>
            <w:vAlign w:val="center"/>
          </w:tcPr>
          <w:p w14:paraId="552981FD">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3B45C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5" w:type="pct"/>
            <w:vAlign w:val="center"/>
          </w:tcPr>
          <w:p w14:paraId="4714CF46">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汞（mg/L）</w:t>
            </w:r>
          </w:p>
        </w:tc>
        <w:tc>
          <w:tcPr>
            <w:tcW w:w="1505" w:type="pct"/>
            <w:vAlign w:val="center"/>
          </w:tcPr>
          <w:p w14:paraId="046092BD">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≤0.001</w:t>
            </w:r>
          </w:p>
        </w:tc>
        <w:tc>
          <w:tcPr>
            <w:tcW w:w="1990" w:type="pct"/>
            <w:vMerge w:val="continue"/>
            <w:vAlign w:val="center"/>
          </w:tcPr>
          <w:p w14:paraId="07EA1C21">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2F9A6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5" w:type="pct"/>
            <w:vAlign w:val="center"/>
          </w:tcPr>
          <w:p w14:paraId="7FA43DDB">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铬（六价）（mg/L）</w:t>
            </w:r>
          </w:p>
        </w:tc>
        <w:tc>
          <w:tcPr>
            <w:tcW w:w="1505" w:type="pct"/>
            <w:vAlign w:val="center"/>
          </w:tcPr>
          <w:p w14:paraId="5AE604BA">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≤0.05</w:t>
            </w:r>
          </w:p>
        </w:tc>
        <w:tc>
          <w:tcPr>
            <w:tcW w:w="1990" w:type="pct"/>
            <w:vMerge w:val="continue"/>
            <w:vAlign w:val="center"/>
          </w:tcPr>
          <w:p w14:paraId="45502B50">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051DC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5" w:type="pct"/>
            <w:vAlign w:val="center"/>
          </w:tcPr>
          <w:p w14:paraId="51F22460">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总硬度（mg/L）</w:t>
            </w:r>
          </w:p>
        </w:tc>
        <w:tc>
          <w:tcPr>
            <w:tcW w:w="1505" w:type="pct"/>
            <w:vAlign w:val="center"/>
          </w:tcPr>
          <w:p w14:paraId="516A60F9">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≤450</w:t>
            </w:r>
          </w:p>
        </w:tc>
        <w:tc>
          <w:tcPr>
            <w:tcW w:w="1990" w:type="pct"/>
            <w:vMerge w:val="continue"/>
            <w:vAlign w:val="center"/>
          </w:tcPr>
          <w:p w14:paraId="79171216">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1F0C1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5" w:type="pct"/>
            <w:vAlign w:val="center"/>
          </w:tcPr>
          <w:p w14:paraId="62D4C353">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铅（mg/L）</w:t>
            </w:r>
          </w:p>
        </w:tc>
        <w:tc>
          <w:tcPr>
            <w:tcW w:w="1505" w:type="pct"/>
            <w:vAlign w:val="center"/>
          </w:tcPr>
          <w:p w14:paraId="175623EB">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≤0.05</w:t>
            </w:r>
          </w:p>
        </w:tc>
        <w:tc>
          <w:tcPr>
            <w:tcW w:w="1990" w:type="pct"/>
            <w:vMerge w:val="continue"/>
            <w:vAlign w:val="center"/>
          </w:tcPr>
          <w:p w14:paraId="5EAC9CE6">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3A29E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5" w:type="pct"/>
            <w:vAlign w:val="center"/>
          </w:tcPr>
          <w:p w14:paraId="2E9C8878">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氟化物（mg/L）</w:t>
            </w:r>
          </w:p>
        </w:tc>
        <w:tc>
          <w:tcPr>
            <w:tcW w:w="1505" w:type="pct"/>
            <w:vAlign w:val="center"/>
          </w:tcPr>
          <w:p w14:paraId="462C3F75">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≤1.0</w:t>
            </w:r>
          </w:p>
        </w:tc>
        <w:tc>
          <w:tcPr>
            <w:tcW w:w="1990" w:type="pct"/>
            <w:vMerge w:val="continue"/>
            <w:vAlign w:val="center"/>
          </w:tcPr>
          <w:p w14:paraId="2A8B3982">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51F0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5" w:type="pct"/>
            <w:vAlign w:val="center"/>
          </w:tcPr>
          <w:p w14:paraId="74929C3D">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镉（mg/L）</w:t>
            </w:r>
          </w:p>
        </w:tc>
        <w:tc>
          <w:tcPr>
            <w:tcW w:w="1505" w:type="pct"/>
            <w:vAlign w:val="center"/>
          </w:tcPr>
          <w:p w14:paraId="3780D648">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≤0.01</w:t>
            </w:r>
          </w:p>
        </w:tc>
        <w:tc>
          <w:tcPr>
            <w:tcW w:w="1990" w:type="pct"/>
            <w:vMerge w:val="continue"/>
            <w:vAlign w:val="center"/>
          </w:tcPr>
          <w:p w14:paraId="64A96763">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2937C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5" w:type="pct"/>
            <w:vAlign w:val="center"/>
          </w:tcPr>
          <w:p w14:paraId="083A8938">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钠（mg/L）</w:t>
            </w:r>
          </w:p>
        </w:tc>
        <w:tc>
          <w:tcPr>
            <w:tcW w:w="1505" w:type="pct"/>
            <w:vAlign w:val="center"/>
          </w:tcPr>
          <w:p w14:paraId="48AEEC2E">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≤200</w:t>
            </w:r>
          </w:p>
        </w:tc>
        <w:tc>
          <w:tcPr>
            <w:tcW w:w="1990" w:type="pct"/>
            <w:vMerge w:val="continue"/>
            <w:vAlign w:val="center"/>
          </w:tcPr>
          <w:p w14:paraId="79A77B72">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7FA1B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5" w:type="pct"/>
            <w:vAlign w:val="center"/>
          </w:tcPr>
          <w:p w14:paraId="5B4DD56B">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铁（mg/L）</w:t>
            </w:r>
          </w:p>
        </w:tc>
        <w:tc>
          <w:tcPr>
            <w:tcW w:w="1505" w:type="pct"/>
            <w:vAlign w:val="center"/>
          </w:tcPr>
          <w:p w14:paraId="54014A87">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≤0.3</w:t>
            </w:r>
          </w:p>
        </w:tc>
        <w:tc>
          <w:tcPr>
            <w:tcW w:w="1990" w:type="pct"/>
            <w:vMerge w:val="continue"/>
            <w:vAlign w:val="center"/>
          </w:tcPr>
          <w:p w14:paraId="50950305">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4B2E1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5" w:type="pct"/>
            <w:vAlign w:val="center"/>
          </w:tcPr>
          <w:p w14:paraId="7A3C409A">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锰（mg/L）</w:t>
            </w:r>
          </w:p>
        </w:tc>
        <w:tc>
          <w:tcPr>
            <w:tcW w:w="1505" w:type="pct"/>
            <w:vAlign w:val="center"/>
          </w:tcPr>
          <w:p w14:paraId="74875EEF">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≤0.1</w:t>
            </w:r>
          </w:p>
        </w:tc>
        <w:tc>
          <w:tcPr>
            <w:tcW w:w="1990" w:type="pct"/>
            <w:vMerge w:val="continue"/>
            <w:vAlign w:val="center"/>
          </w:tcPr>
          <w:p w14:paraId="0851F4EF">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0BDA5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5" w:type="pct"/>
            <w:vAlign w:val="center"/>
          </w:tcPr>
          <w:p w14:paraId="4317F74D">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溶解性总固体（mg/L）</w:t>
            </w:r>
          </w:p>
        </w:tc>
        <w:tc>
          <w:tcPr>
            <w:tcW w:w="1505" w:type="pct"/>
            <w:vAlign w:val="center"/>
          </w:tcPr>
          <w:p w14:paraId="09772AF4">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≤1000</w:t>
            </w:r>
          </w:p>
        </w:tc>
        <w:tc>
          <w:tcPr>
            <w:tcW w:w="1990" w:type="pct"/>
            <w:vMerge w:val="continue"/>
            <w:vAlign w:val="center"/>
          </w:tcPr>
          <w:p w14:paraId="3BB78E49">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06AF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5" w:type="pct"/>
            <w:vAlign w:val="center"/>
          </w:tcPr>
          <w:p w14:paraId="514E1683">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耗氧量（mg/L）</w:t>
            </w:r>
          </w:p>
        </w:tc>
        <w:tc>
          <w:tcPr>
            <w:tcW w:w="1505" w:type="pct"/>
            <w:vAlign w:val="center"/>
          </w:tcPr>
          <w:p w14:paraId="3BC2704A">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≤3.0</w:t>
            </w:r>
          </w:p>
        </w:tc>
        <w:tc>
          <w:tcPr>
            <w:tcW w:w="1990" w:type="pct"/>
            <w:vMerge w:val="continue"/>
            <w:vAlign w:val="center"/>
          </w:tcPr>
          <w:p w14:paraId="2D5A9269">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1ABCB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5" w:type="pct"/>
            <w:vAlign w:val="center"/>
          </w:tcPr>
          <w:p w14:paraId="1B235203">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硫酸盐（mg/L）</w:t>
            </w:r>
          </w:p>
        </w:tc>
        <w:tc>
          <w:tcPr>
            <w:tcW w:w="1505" w:type="pct"/>
            <w:vAlign w:val="center"/>
          </w:tcPr>
          <w:p w14:paraId="350E107C">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≤250</w:t>
            </w:r>
          </w:p>
        </w:tc>
        <w:tc>
          <w:tcPr>
            <w:tcW w:w="1990" w:type="pct"/>
            <w:vMerge w:val="continue"/>
            <w:vAlign w:val="center"/>
          </w:tcPr>
          <w:p w14:paraId="779B4540">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08CE6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5" w:type="pct"/>
            <w:vAlign w:val="center"/>
          </w:tcPr>
          <w:p w14:paraId="53E4ACE2">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氯化物（mg/L）</w:t>
            </w:r>
          </w:p>
        </w:tc>
        <w:tc>
          <w:tcPr>
            <w:tcW w:w="1505" w:type="pct"/>
            <w:vAlign w:val="center"/>
          </w:tcPr>
          <w:p w14:paraId="06C94F25">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≤250</w:t>
            </w:r>
          </w:p>
        </w:tc>
        <w:tc>
          <w:tcPr>
            <w:tcW w:w="1990" w:type="pct"/>
            <w:vMerge w:val="continue"/>
            <w:vAlign w:val="center"/>
          </w:tcPr>
          <w:p w14:paraId="73EDE746">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5E542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5" w:type="pct"/>
            <w:vAlign w:val="center"/>
          </w:tcPr>
          <w:p w14:paraId="718840E9">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总大肠菌群（MPN/100mL）</w:t>
            </w:r>
          </w:p>
        </w:tc>
        <w:tc>
          <w:tcPr>
            <w:tcW w:w="1505" w:type="pct"/>
            <w:vAlign w:val="center"/>
          </w:tcPr>
          <w:p w14:paraId="132F1066">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≤3.0</w:t>
            </w:r>
          </w:p>
        </w:tc>
        <w:tc>
          <w:tcPr>
            <w:tcW w:w="1990" w:type="pct"/>
            <w:vMerge w:val="continue"/>
            <w:vAlign w:val="center"/>
          </w:tcPr>
          <w:p w14:paraId="0F94E64F">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662B1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5" w:type="pct"/>
            <w:vAlign w:val="center"/>
          </w:tcPr>
          <w:p w14:paraId="5CBFD60B">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菌落总数（CFU/mL）</w:t>
            </w:r>
          </w:p>
        </w:tc>
        <w:tc>
          <w:tcPr>
            <w:tcW w:w="1505" w:type="pct"/>
            <w:vAlign w:val="center"/>
          </w:tcPr>
          <w:p w14:paraId="46834002">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≤100</w:t>
            </w:r>
          </w:p>
        </w:tc>
        <w:tc>
          <w:tcPr>
            <w:tcW w:w="1990" w:type="pct"/>
            <w:vMerge w:val="continue"/>
            <w:vAlign w:val="center"/>
          </w:tcPr>
          <w:p w14:paraId="343B68AA">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4A69B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5" w:type="pct"/>
            <w:vAlign w:val="center"/>
          </w:tcPr>
          <w:p w14:paraId="1E13B6AA">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石油类</w:t>
            </w:r>
          </w:p>
        </w:tc>
        <w:tc>
          <w:tcPr>
            <w:tcW w:w="1505" w:type="pct"/>
            <w:vAlign w:val="center"/>
          </w:tcPr>
          <w:p w14:paraId="75534A1B">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≤0.05</w:t>
            </w:r>
          </w:p>
        </w:tc>
        <w:tc>
          <w:tcPr>
            <w:tcW w:w="1990" w:type="pct"/>
            <w:vAlign w:val="center"/>
          </w:tcPr>
          <w:p w14:paraId="174EF069">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《地表水环境质量标准》（GB3838-2002）表1中的III类标准限值要求</w:t>
            </w:r>
          </w:p>
        </w:tc>
      </w:tr>
    </w:tbl>
    <w:p w14:paraId="5492C09A">
      <w:pPr>
        <w:pStyle w:val="5"/>
        <w:keepNext/>
        <w:keepLines/>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65" w:name="_Toc117794528"/>
      <w:r>
        <w:rPr>
          <w:rFonts w:ascii="Times New Roman" w:hAnsi="Times New Roman" w:cs="Times New Roman" w:eastAsiaTheme="minorEastAsia"/>
          <w:color w:val="000000" w:themeColor="text1"/>
          <w:w w:val="99"/>
          <w:kern w:val="2"/>
          <w:lang w:val="en-US" w:bidi="ar-SA"/>
          <w14:textFill>
            <w14:solidFill>
              <w14:schemeClr w14:val="tx1"/>
            </w14:solidFill>
          </w14:textFill>
        </w:rPr>
        <w:t>2.4.2 污染物排放标准</w:t>
      </w:r>
      <w:bookmarkEnd w:id="65"/>
    </w:p>
    <w:p w14:paraId="6C88125A">
      <w:pPr>
        <w:pStyle w:val="107"/>
        <w:tabs>
          <w:tab w:val="left" w:pos="1571"/>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（1）废气</w:t>
      </w:r>
    </w:p>
    <w:p w14:paraId="1CF3AA0A">
      <w:pPr>
        <w:pStyle w:val="107"/>
        <w:tabs>
          <w:tab w:val="left" w:pos="1571"/>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施工期颗粒物执行《大气污染物综合排放标准》（GB16297-1996）中无组织排放监控浓度限值</w:t>
      </w:r>
      <w:r>
        <w:rPr>
          <w:rFonts w:hint="eastAsia" w:ascii="Times New Roman" w:hAnsi="Times New Roman" w:cs="Times New Roman" w:eastAsiaTheme="minorEastAsia"/>
          <w:color w:val="000000" w:themeColor="text1"/>
          <w:w w:val="99"/>
          <w:sz w:val="24"/>
          <w:szCs w:val="24"/>
          <w14:textFill>
            <w14:solidFill>
              <w14:schemeClr w14:val="tx1"/>
            </w14:solidFill>
          </w14:textFill>
        </w:rPr>
        <w:t>。</w:t>
      </w:r>
    </w:p>
    <w:p w14:paraId="4ACF1028">
      <w:pPr>
        <w:pStyle w:val="107"/>
        <w:tabs>
          <w:tab w:val="left" w:pos="1571"/>
        </w:tabs>
        <w:spacing w:line="440" w:lineRule="exact"/>
        <w:ind w:left="440" w:leftChars="200" w:firstLine="0"/>
        <w:jc w:val="both"/>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r>
        <w:rPr>
          <w:rFonts w:ascii="Times New Roman" w:hAnsi="Times New Roman" w:cs="Times New Roman" w:eastAsiaTheme="minorEastAsia"/>
          <w:b/>
          <w:bCs/>
          <w:color w:val="000000" w:themeColor="text1"/>
          <w:w w:val="99"/>
          <w:sz w:val="24"/>
          <w:szCs w:val="24"/>
          <w14:textFill>
            <w14:solidFill>
              <w14:schemeClr w14:val="tx1"/>
            </w14:solidFill>
          </w14:textFill>
        </w:rPr>
        <w:t>表</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 xml:space="preserve">2.4-7        </w:t>
      </w:r>
      <w:r>
        <w:rPr>
          <w:rFonts w:ascii="Times New Roman" w:hAnsi="Times New Roman" w:cs="Times New Roman" w:eastAsiaTheme="minorEastAsia"/>
          <w:b/>
          <w:bCs/>
          <w:color w:val="000000" w:themeColor="text1"/>
          <w:w w:val="99"/>
          <w:sz w:val="24"/>
          <w:szCs w:val="24"/>
          <w14:textFill>
            <w14:solidFill>
              <w14:schemeClr w14:val="tx1"/>
            </w14:solidFill>
          </w14:textFill>
        </w:rPr>
        <w:t>大气污染物综合排放标准</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 xml:space="preserve">        </w:t>
      </w:r>
      <w:r>
        <w:rPr>
          <w:rFonts w:ascii="Times New Roman" w:hAnsi="Times New Roman" w:cs="Times New Roman" w:eastAsiaTheme="minorEastAsia"/>
          <w:b/>
          <w:bCs/>
          <w:color w:val="000000" w:themeColor="text1"/>
          <w:w w:val="99"/>
          <w:sz w:val="24"/>
          <w:szCs w:val="24"/>
          <w14:textFill>
            <w14:solidFill>
              <w14:schemeClr w14:val="tx1"/>
            </w14:solidFill>
          </w14:textFill>
        </w:rPr>
        <w:t>单位：mg/m</w:t>
      </w:r>
      <w:r>
        <w:rPr>
          <w:rFonts w:ascii="Times New Roman" w:hAnsi="Times New Roman" w:cs="Times New Roman" w:eastAsiaTheme="minorEastAsia"/>
          <w:b/>
          <w:bCs/>
          <w:color w:val="000000" w:themeColor="text1"/>
          <w:w w:val="99"/>
          <w:sz w:val="24"/>
          <w:szCs w:val="24"/>
          <w:vertAlign w:val="superscript"/>
          <w14:textFill>
            <w14:solidFill>
              <w14:schemeClr w14:val="tx1"/>
            </w14:solidFill>
          </w14:textFill>
        </w:rPr>
        <w:t>3</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1"/>
        <w:gridCol w:w="3037"/>
        <w:gridCol w:w="3298"/>
      </w:tblGrid>
      <w:tr w14:paraId="7866F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9" w:type="pct"/>
            <w:vMerge w:val="restart"/>
            <w:tcBorders>
              <w:tl2br w:val="nil"/>
              <w:tr2bl w:val="nil"/>
            </w:tcBorders>
            <w:vAlign w:val="center"/>
          </w:tcPr>
          <w:p w14:paraId="04ABB629">
            <w:pPr>
              <w:snapToGrid w:val="0"/>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污染物</w:t>
            </w:r>
          </w:p>
        </w:tc>
        <w:tc>
          <w:tcPr>
            <w:tcW w:w="3411" w:type="pct"/>
            <w:gridSpan w:val="2"/>
            <w:tcBorders>
              <w:tl2br w:val="nil"/>
              <w:tr2bl w:val="nil"/>
            </w:tcBorders>
            <w:vAlign w:val="center"/>
          </w:tcPr>
          <w:p w14:paraId="4A77FE63">
            <w:pPr>
              <w:snapToGrid w:val="0"/>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无组织排放监控浓度限值</w:t>
            </w:r>
          </w:p>
        </w:tc>
      </w:tr>
      <w:tr w14:paraId="3DA8C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9" w:type="pct"/>
            <w:vMerge w:val="continue"/>
            <w:tcBorders>
              <w:tl2br w:val="nil"/>
              <w:tr2bl w:val="nil"/>
            </w:tcBorders>
            <w:vAlign w:val="center"/>
          </w:tcPr>
          <w:p w14:paraId="223862C4">
            <w:pPr>
              <w:snapToGrid w:val="0"/>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p>
        </w:tc>
        <w:tc>
          <w:tcPr>
            <w:tcW w:w="1635" w:type="pct"/>
            <w:tcBorders>
              <w:tl2br w:val="nil"/>
              <w:tr2bl w:val="nil"/>
            </w:tcBorders>
            <w:vAlign w:val="center"/>
          </w:tcPr>
          <w:p w14:paraId="6831C926">
            <w:pPr>
              <w:snapToGrid w:val="0"/>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监控点</w:t>
            </w:r>
          </w:p>
        </w:tc>
        <w:tc>
          <w:tcPr>
            <w:tcW w:w="1775" w:type="pct"/>
            <w:tcBorders>
              <w:tl2br w:val="nil"/>
              <w:tr2bl w:val="nil"/>
            </w:tcBorders>
            <w:vAlign w:val="center"/>
          </w:tcPr>
          <w:p w14:paraId="58FEAFBD">
            <w:pPr>
              <w:snapToGrid w:val="0"/>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浓度</w:t>
            </w:r>
          </w:p>
        </w:tc>
      </w:tr>
      <w:tr w14:paraId="462D7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9" w:type="pct"/>
            <w:tcBorders>
              <w:tl2br w:val="nil"/>
              <w:tr2bl w:val="nil"/>
            </w:tcBorders>
            <w:vAlign w:val="center"/>
          </w:tcPr>
          <w:p w14:paraId="0EBE980E">
            <w:pPr>
              <w:snapToGrid w:val="0"/>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颗粒物</w:t>
            </w:r>
          </w:p>
        </w:tc>
        <w:tc>
          <w:tcPr>
            <w:tcW w:w="1635" w:type="pct"/>
            <w:tcBorders>
              <w:tl2br w:val="nil"/>
              <w:tr2bl w:val="nil"/>
            </w:tcBorders>
            <w:vAlign w:val="center"/>
          </w:tcPr>
          <w:p w14:paraId="40DBFAF9">
            <w:pPr>
              <w:snapToGrid w:val="0"/>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周界外浓度最高点</w:t>
            </w:r>
          </w:p>
        </w:tc>
        <w:tc>
          <w:tcPr>
            <w:tcW w:w="1775" w:type="pct"/>
            <w:tcBorders>
              <w:tl2br w:val="nil"/>
              <w:tr2bl w:val="nil"/>
            </w:tcBorders>
            <w:vAlign w:val="center"/>
          </w:tcPr>
          <w:p w14:paraId="5237EA8A">
            <w:pPr>
              <w:snapToGrid w:val="0"/>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1.0</w:t>
            </w:r>
          </w:p>
        </w:tc>
      </w:tr>
    </w:tbl>
    <w:p w14:paraId="1EE8F8B0">
      <w:pPr>
        <w:pStyle w:val="107"/>
        <w:tabs>
          <w:tab w:val="left" w:pos="1571"/>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本项目</w:t>
      </w:r>
      <w:r>
        <w:rPr>
          <w:rFonts w:hint="eastAsia" w:ascii="Times New Roman" w:hAnsi="Times New Roman" w:cs="Times New Roman" w:eastAsiaTheme="minorEastAsia"/>
          <w:color w:val="000000" w:themeColor="text1"/>
          <w:w w:val="99"/>
          <w:sz w:val="24"/>
          <w:szCs w:val="24"/>
          <w:lang w:val="en-US"/>
          <w14:textFill>
            <w14:solidFill>
              <w14:schemeClr w14:val="tx1"/>
            </w14:solidFill>
          </w14:textFill>
        </w:rPr>
        <w:t>混输阀组间</w:t>
      </w:r>
      <w:r>
        <w:rPr>
          <w:rFonts w:ascii="Times New Roman" w:hAnsi="Times New Roman" w:cs="Times New Roman" w:eastAsiaTheme="minorEastAsia"/>
          <w:color w:val="000000" w:themeColor="text1"/>
          <w:w w:val="99"/>
          <w:sz w:val="24"/>
          <w:szCs w:val="24"/>
          <w:lang w:val="en-US"/>
          <w14:textFill>
            <w14:solidFill>
              <w14:schemeClr w14:val="tx1"/>
            </w14:solidFill>
          </w14:textFill>
        </w:rPr>
        <w:t>排放的VOCs（以非甲烷总烃计）边界执行《陆上石油天然气开采工业大气污染物排放标准》（GB39728-2020）5.9中规定要求，</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见</w:t>
      </w:r>
      <w:r>
        <w:rPr>
          <w:rFonts w:ascii="Times New Roman" w:hAnsi="Times New Roman" w:cs="Times New Roman" w:eastAsiaTheme="minorEastAsia"/>
          <w:color w:val="000000" w:themeColor="text1"/>
          <w:w w:val="99"/>
          <w:sz w:val="24"/>
          <w:szCs w:val="24"/>
          <w:lang w:val="en-US"/>
          <w14:textFill>
            <w14:solidFill>
              <w14:schemeClr w14:val="tx1"/>
            </w14:solidFill>
          </w14:textFill>
        </w:rPr>
        <w:t>表2.4-8</w:t>
      </w:r>
      <w:r>
        <w:rPr>
          <w:rFonts w:hint="eastAsia" w:ascii="Times New Roman" w:hAnsi="Times New Roman" w:cs="Times New Roman" w:eastAsiaTheme="minorEastAsia"/>
          <w:color w:val="000000" w:themeColor="text1"/>
          <w:w w:val="99"/>
          <w:sz w:val="24"/>
          <w:szCs w:val="24"/>
          <w:lang w:val="en-US"/>
          <w14:textFill>
            <w14:solidFill>
              <w14:schemeClr w14:val="tx1"/>
            </w14:solidFill>
          </w14:textFill>
        </w:rPr>
        <w:t>；混输</w:t>
      </w:r>
      <w:r>
        <w:rPr>
          <w:rFonts w:ascii="Times New Roman" w:hAnsi="Times New Roman" w:cs="Times New Roman" w:eastAsiaTheme="minorEastAsia"/>
          <w:color w:val="000000" w:themeColor="text1"/>
          <w:w w:val="99"/>
          <w:sz w:val="24"/>
          <w:szCs w:val="24"/>
          <w:lang w:val="en-US"/>
          <w14:textFill>
            <w14:solidFill>
              <w14:schemeClr w14:val="tx1"/>
            </w14:solidFill>
          </w14:textFill>
        </w:rPr>
        <w:t>阀组间厂区内执行《挥发性有机物无组织排放控制标准》（GB 37822-2019）附录A 中VOCs 无组织排放</w:t>
      </w:r>
      <w:r>
        <w:rPr>
          <w:rFonts w:hint="eastAsia" w:ascii="Times New Roman" w:hAnsi="Times New Roman" w:cs="Times New Roman" w:eastAsiaTheme="minorEastAsia"/>
          <w:color w:val="000000" w:themeColor="text1"/>
          <w:w w:val="99"/>
          <w:sz w:val="24"/>
          <w:szCs w:val="24"/>
          <w:lang w:val="en-US"/>
          <w14:textFill>
            <w14:solidFill>
              <w14:schemeClr w14:val="tx1"/>
            </w14:solidFill>
          </w14:textFill>
        </w:rPr>
        <w:t>一般</w:t>
      </w:r>
      <w:r>
        <w:rPr>
          <w:rFonts w:ascii="Times New Roman" w:hAnsi="Times New Roman" w:cs="Times New Roman" w:eastAsiaTheme="minorEastAsia"/>
          <w:color w:val="000000" w:themeColor="text1"/>
          <w:w w:val="99"/>
          <w:sz w:val="24"/>
          <w:szCs w:val="24"/>
          <w:lang w:val="en-US"/>
          <w14:textFill>
            <w14:solidFill>
              <w14:schemeClr w14:val="tx1"/>
            </w14:solidFill>
          </w14:textFill>
        </w:rPr>
        <w:t>限值要求，</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见</w:t>
      </w:r>
      <w:r>
        <w:rPr>
          <w:rFonts w:ascii="Times New Roman" w:hAnsi="Times New Roman" w:cs="Times New Roman" w:eastAsiaTheme="minorEastAsia"/>
          <w:color w:val="000000" w:themeColor="text1"/>
          <w:w w:val="99"/>
          <w:sz w:val="24"/>
          <w:szCs w:val="24"/>
          <w:lang w:val="en-US"/>
          <w14:textFill>
            <w14:solidFill>
              <w14:schemeClr w14:val="tx1"/>
            </w14:solidFill>
          </w14:textFill>
        </w:rPr>
        <w:t>表2.4-9。</w:t>
      </w:r>
    </w:p>
    <w:p w14:paraId="17AF5B55">
      <w:pPr>
        <w:tabs>
          <w:tab w:val="left" w:pos="5262"/>
        </w:tabs>
        <w:autoSpaceDE/>
        <w:autoSpaceDN/>
        <w:spacing w:line="440" w:lineRule="exact"/>
        <w:ind w:firstLine="476" w:firstLineChars="200"/>
        <w:jc w:val="both"/>
        <w:rPr>
          <w:rFonts w:ascii="Times New Roman" w:hAnsi="Times New Roman" w:cs="Times New Roman"/>
          <w:b/>
          <w:color w:val="000000" w:themeColor="text1"/>
          <w:w w:val="99"/>
          <w:kern w:val="2"/>
          <w:sz w:val="24"/>
          <w:szCs w:val="20"/>
          <w:lang w:val="en-US" w:bidi="ar-SA"/>
          <w14:textFill>
            <w14:solidFill>
              <w14:schemeClr w14:val="tx1"/>
            </w14:solidFill>
          </w14:textFill>
        </w:rPr>
      </w:pPr>
      <w:r>
        <w:rPr>
          <w:rFonts w:ascii="Times New Roman" w:hAnsi="Times New Roman" w:cs="Times New Roman"/>
          <w:b/>
          <w:color w:val="000000" w:themeColor="text1"/>
          <w:w w:val="99"/>
          <w:kern w:val="2"/>
          <w:sz w:val="24"/>
          <w:szCs w:val="20"/>
          <w:lang w:val="en-US" w:bidi="ar-SA"/>
          <w14:textFill>
            <w14:solidFill>
              <w14:schemeClr w14:val="tx1"/>
            </w14:solidFill>
          </w14:textFill>
        </w:rPr>
        <w:t>表2.4-8    陆上石油天然气开采工业大气污染物排放标准</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6"/>
        <w:gridCol w:w="6450"/>
      </w:tblGrid>
      <w:tr w14:paraId="3E7B8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7" w:type="pct"/>
            <w:vAlign w:val="center"/>
          </w:tcPr>
          <w:p w14:paraId="3D4F953C">
            <w:pPr>
              <w:widowControl/>
              <w:autoSpaceDE/>
              <w:autoSpaceDN/>
              <w:snapToGrid w:val="0"/>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标准</w:t>
            </w:r>
          </w:p>
        </w:tc>
        <w:tc>
          <w:tcPr>
            <w:tcW w:w="3473" w:type="pct"/>
            <w:vAlign w:val="center"/>
          </w:tcPr>
          <w:p w14:paraId="311CF1F8">
            <w:pPr>
              <w:widowControl/>
              <w:autoSpaceDE/>
              <w:autoSpaceDN/>
              <w:snapToGrid w:val="0"/>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规定要求</w:t>
            </w:r>
          </w:p>
        </w:tc>
      </w:tr>
      <w:tr w14:paraId="4823F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7" w:type="pct"/>
            <w:vAlign w:val="center"/>
          </w:tcPr>
          <w:p w14:paraId="23464B96">
            <w:pPr>
              <w:widowControl/>
              <w:autoSpaceDE/>
              <w:autoSpaceDN/>
              <w:snapToGrid w:val="0"/>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《陆上石油天然气开采工业大气污染物排放标准》（GB39728-2020）</w:t>
            </w:r>
          </w:p>
        </w:tc>
        <w:tc>
          <w:tcPr>
            <w:tcW w:w="3473" w:type="pct"/>
            <w:vAlign w:val="center"/>
          </w:tcPr>
          <w:p w14:paraId="5202953C">
            <w:pPr>
              <w:widowControl/>
              <w:autoSpaceDE/>
              <w:autoSpaceDN/>
              <w:snapToGrid w:val="0"/>
              <w:spacing w:line="360" w:lineRule="exact"/>
              <w:jc w:val="both"/>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油气集中处理站、涉及凝析油或天然气凝液的天然气处理厂、储油库边界非甲烷总烃浓度不应超过4.0 mg/m</w:t>
            </w:r>
            <w:r>
              <w:rPr>
                <w:rFonts w:ascii="Times New Roman" w:hAnsi="Times New Roman" w:cs="Times New Roman"/>
                <w:color w:val="000000" w:themeColor="text1"/>
                <w:w w:val="99"/>
                <w:sz w:val="21"/>
                <w:szCs w:val="21"/>
                <w:vertAlign w:val="superscript"/>
                <w:lang w:val="en-US" w:bidi="ar-SA"/>
                <w14:textFill>
                  <w14:solidFill>
                    <w14:schemeClr w14:val="tx1"/>
                  </w14:solidFill>
                </w14:textFill>
              </w:rPr>
              <w:t>3</w:t>
            </w:r>
            <w:r>
              <w:rPr>
                <w:rFonts w:ascii="Times New Roman" w:hAnsi="Times New Roman" w:cs="Times New Roman"/>
                <w:color w:val="000000" w:themeColor="text1"/>
                <w:w w:val="99"/>
                <w:sz w:val="21"/>
                <w:szCs w:val="21"/>
                <w:lang w:val="en-US" w:bidi="ar-SA"/>
                <w14:textFill>
                  <w14:solidFill>
                    <w14:schemeClr w14:val="tx1"/>
                  </w14:solidFill>
                </w14:textFill>
              </w:rPr>
              <w:t>。</w:t>
            </w:r>
          </w:p>
        </w:tc>
      </w:tr>
    </w:tbl>
    <w:p w14:paraId="7A307312">
      <w:pPr>
        <w:tabs>
          <w:tab w:val="left" w:pos="5262"/>
        </w:tabs>
        <w:autoSpaceDE/>
        <w:autoSpaceDN/>
        <w:spacing w:line="440" w:lineRule="exact"/>
        <w:ind w:firstLine="476" w:firstLineChars="200"/>
        <w:jc w:val="both"/>
        <w:rPr>
          <w:rFonts w:ascii="Times New Roman" w:hAnsi="Times New Roman" w:cs="Times New Roman"/>
          <w:b/>
          <w:color w:val="000000" w:themeColor="text1"/>
          <w:w w:val="99"/>
          <w:kern w:val="2"/>
          <w:sz w:val="24"/>
          <w:szCs w:val="20"/>
          <w:lang w:val="en-US" w:bidi="ar-SA"/>
          <w14:textFill>
            <w14:solidFill>
              <w14:schemeClr w14:val="tx1"/>
            </w14:solidFill>
          </w14:textFill>
        </w:rPr>
      </w:pPr>
      <w:r>
        <w:rPr>
          <w:rFonts w:ascii="Times New Roman" w:hAnsi="Times New Roman" w:cs="Times New Roman"/>
          <w:b/>
          <w:color w:val="000000" w:themeColor="text1"/>
          <w:w w:val="99"/>
          <w:kern w:val="2"/>
          <w:sz w:val="24"/>
          <w:szCs w:val="20"/>
          <w:lang w:val="en-US" w:bidi="ar-SA"/>
          <w14:textFill>
            <w14:solidFill>
              <w14:schemeClr w14:val="tx1"/>
            </w14:solidFill>
          </w14:textFill>
        </w:rPr>
        <w:t>表2.4-9    站内非甲烷总烃排放浓度限值    单位：mg/m</w:t>
      </w:r>
      <w:r>
        <w:rPr>
          <w:rFonts w:ascii="Times New Roman" w:hAnsi="Times New Roman" w:cs="Times New Roman"/>
          <w:b/>
          <w:color w:val="000000" w:themeColor="text1"/>
          <w:w w:val="99"/>
          <w:kern w:val="2"/>
          <w:sz w:val="24"/>
          <w:szCs w:val="20"/>
          <w:vertAlign w:val="superscript"/>
          <w:lang w:val="en-US" w:bidi="ar-SA"/>
          <w14:textFill>
            <w14:solidFill>
              <w14:schemeClr w14:val="tx1"/>
            </w14:solidFill>
          </w14:textFill>
        </w:rPr>
        <w:t>3</w:t>
      </w:r>
    </w:p>
    <w:tbl>
      <w:tblPr>
        <w:tblStyle w:val="8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5"/>
        <w:gridCol w:w="1495"/>
        <w:gridCol w:w="1330"/>
        <w:gridCol w:w="2381"/>
        <w:gridCol w:w="1595"/>
      </w:tblGrid>
      <w:tr w14:paraId="5A3DE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pct"/>
            <w:vAlign w:val="center"/>
          </w:tcPr>
          <w:p w14:paraId="2FBB607E">
            <w:pPr>
              <w:widowControl/>
              <w:autoSpaceDE/>
              <w:autoSpaceDN/>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lang w:val="en-US" w:bidi="ar-SA"/>
                <w14:textFill>
                  <w14:solidFill>
                    <w14:schemeClr w14:val="tx1"/>
                  </w14:solidFill>
                </w14:textFill>
              </w:rPr>
              <w:t>标准</w:t>
            </w:r>
            <w:r>
              <w:rPr>
                <w:rFonts w:ascii="Times New Roman" w:hAnsi="Times New Roman" w:cs="Times New Roman"/>
                <w:color w:val="000000" w:themeColor="text1"/>
                <w:w w:val="99"/>
                <w:kern w:val="2"/>
                <w:sz w:val="21"/>
                <w:szCs w:val="21"/>
                <w:lang w:val="en-US" w:bidi="ar-SA"/>
                <w14:textFill>
                  <w14:solidFill>
                    <w14:schemeClr w14:val="tx1"/>
                  </w14:solidFill>
                </w14:textFill>
              </w:rPr>
              <w:t>来源</w:t>
            </w:r>
          </w:p>
        </w:tc>
        <w:tc>
          <w:tcPr>
            <w:tcW w:w="805" w:type="pct"/>
            <w:vAlign w:val="center"/>
          </w:tcPr>
          <w:p w14:paraId="42718B6E">
            <w:pPr>
              <w:widowControl/>
              <w:autoSpaceDE/>
              <w:autoSpaceDN/>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污染物项目</w:t>
            </w:r>
          </w:p>
        </w:tc>
        <w:tc>
          <w:tcPr>
            <w:tcW w:w="716" w:type="pct"/>
            <w:vAlign w:val="center"/>
          </w:tcPr>
          <w:p w14:paraId="18FEC3A5">
            <w:pPr>
              <w:widowControl/>
              <w:autoSpaceDE/>
              <w:autoSpaceDN/>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排放限值</w:t>
            </w:r>
          </w:p>
        </w:tc>
        <w:tc>
          <w:tcPr>
            <w:tcW w:w="1282" w:type="pct"/>
            <w:vAlign w:val="center"/>
          </w:tcPr>
          <w:p w14:paraId="39FB41DF">
            <w:pPr>
              <w:widowControl/>
              <w:autoSpaceDE/>
              <w:autoSpaceDN/>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限值含义</w:t>
            </w:r>
          </w:p>
        </w:tc>
        <w:tc>
          <w:tcPr>
            <w:tcW w:w="859" w:type="pct"/>
            <w:vAlign w:val="center"/>
          </w:tcPr>
          <w:p w14:paraId="771ACD2B">
            <w:pPr>
              <w:widowControl/>
              <w:autoSpaceDE/>
              <w:autoSpaceDN/>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无组织排放监控位置</w:t>
            </w:r>
          </w:p>
        </w:tc>
      </w:tr>
      <w:tr w14:paraId="1FD29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pct"/>
            <w:vMerge w:val="restart"/>
            <w:vAlign w:val="center"/>
          </w:tcPr>
          <w:p w14:paraId="14217582">
            <w:pPr>
              <w:widowControl/>
              <w:autoSpaceDE/>
              <w:autoSpaceDN/>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《挥发性有机物无组织排放控制标准》（GB 37822-2019）</w:t>
            </w:r>
          </w:p>
        </w:tc>
        <w:tc>
          <w:tcPr>
            <w:tcW w:w="805" w:type="pct"/>
            <w:vMerge w:val="restart"/>
            <w:vAlign w:val="center"/>
          </w:tcPr>
          <w:p w14:paraId="62A5A609">
            <w:pPr>
              <w:widowControl/>
              <w:autoSpaceDE/>
              <w:autoSpaceDN/>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非甲烷总烃</w:t>
            </w:r>
          </w:p>
        </w:tc>
        <w:tc>
          <w:tcPr>
            <w:tcW w:w="716" w:type="pct"/>
            <w:vAlign w:val="center"/>
          </w:tcPr>
          <w:p w14:paraId="07DF8EC0">
            <w:pPr>
              <w:widowControl/>
              <w:autoSpaceDE/>
              <w:autoSpaceDN/>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10</w:t>
            </w:r>
          </w:p>
        </w:tc>
        <w:tc>
          <w:tcPr>
            <w:tcW w:w="1282" w:type="pct"/>
            <w:vAlign w:val="center"/>
          </w:tcPr>
          <w:p w14:paraId="4C95DFF5">
            <w:pPr>
              <w:widowControl/>
              <w:autoSpaceDE/>
              <w:autoSpaceDN/>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监控点处 1 h 平均浓度值</w:t>
            </w:r>
          </w:p>
        </w:tc>
        <w:tc>
          <w:tcPr>
            <w:tcW w:w="859" w:type="pct"/>
            <w:vMerge w:val="restart"/>
            <w:vAlign w:val="center"/>
          </w:tcPr>
          <w:p w14:paraId="2CBDA60D">
            <w:pPr>
              <w:widowControl/>
              <w:autoSpaceDE/>
              <w:autoSpaceDN/>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在厂房外设置</w:t>
            </w:r>
          </w:p>
          <w:p w14:paraId="029817B8">
            <w:pPr>
              <w:widowControl/>
              <w:autoSpaceDE/>
              <w:autoSpaceDN/>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监控点</w:t>
            </w:r>
          </w:p>
        </w:tc>
      </w:tr>
      <w:tr w14:paraId="4DA5F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pct"/>
            <w:vMerge w:val="continue"/>
            <w:vAlign w:val="center"/>
          </w:tcPr>
          <w:p w14:paraId="6DDA0017">
            <w:pPr>
              <w:widowControl/>
              <w:autoSpaceDE/>
              <w:autoSpaceDN/>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p>
        </w:tc>
        <w:tc>
          <w:tcPr>
            <w:tcW w:w="805" w:type="pct"/>
            <w:vMerge w:val="continue"/>
            <w:vAlign w:val="center"/>
          </w:tcPr>
          <w:p w14:paraId="5F426FB5">
            <w:pPr>
              <w:widowControl/>
              <w:autoSpaceDE/>
              <w:autoSpaceDN/>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p>
        </w:tc>
        <w:tc>
          <w:tcPr>
            <w:tcW w:w="716" w:type="pct"/>
            <w:vAlign w:val="center"/>
          </w:tcPr>
          <w:p w14:paraId="12C46E9D">
            <w:pPr>
              <w:widowControl/>
              <w:autoSpaceDE/>
              <w:autoSpaceDN/>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30</w:t>
            </w:r>
          </w:p>
        </w:tc>
        <w:tc>
          <w:tcPr>
            <w:tcW w:w="1282" w:type="pct"/>
            <w:vAlign w:val="center"/>
          </w:tcPr>
          <w:p w14:paraId="2CC8B295">
            <w:pPr>
              <w:widowControl/>
              <w:autoSpaceDE/>
              <w:autoSpaceDN/>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监控点处任意一次浓度值</w:t>
            </w:r>
          </w:p>
        </w:tc>
        <w:tc>
          <w:tcPr>
            <w:tcW w:w="859" w:type="pct"/>
            <w:vMerge w:val="continue"/>
            <w:vAlign w:val="center"/>
          </w:tcPr>
          <w:p w14:paraId="2A77B6A0">
            <w:pPr>
              <w:widowControl/>
              <w:autoSpaceDE/>
              <w:autoSpaceDN/>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p>
        </w:tc>
      </w:tr>
    </w:tbl>
    <w:p w14:paraId="70DEAEA4">
      <w:pPr>
        <w:pStyle w:val="107"/>
        <w:tabs>
          <w:tab w:val="left" w:pos="1571"/>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2</w:t>
      </w:r>
      <w:r>
        <w:rPr>
          <w:rFonts w:ascii="Times New Roman" w:hAnsi="Times New Roman" w:cs="Times New Roman" w:eastAsiaTheme="minorEastAsia"/>
          <w:color w:val="000000" w:themeColor="text1"/>
          <w:w w:val="99"/>
          <w:sz w:val="24"/>
          <w:szCs w:val="24"/>
          <w14:textFill>
            <w14:solidFill>
              <w14:schemeClr w14:val="tx1"/>
            </w14:solidFill>
          </w14:textFill>
        </w:rPr>
        <w:t>）废水</w:t>
      </w:r>
    </w:p>
    <w:p w14:paraId="5A91B875">
      <w:pPr>
        <w:pStyle w:val="107"/>
        <w:tabs>
          <w:tab w:val="left" w:pos="1571"/>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本工程产生的管线试压废水由罐车拉运至龙一联含油污水处理站处理，处理后的水质执行《大庆油田地面工程建设设计规定》（Q/SYDQ0639-2015）限值要求：</w:t>
      </w:r>
      <w:r>
        <w:rPr>
          <w:rFonts w:ascii="Times New Roman" w:hAnsi="Times New Roman" w:cs="Times New Roman" w:eastAsiaTheme="minorEastAsia"/>
          <w:color w:val="000000" w:themeColor="text1"/>
          <w:w w:val="99"/>
          <w:sz w:val="24"/>
          <w:szCs w:val="24"/>
          <w:lang w:val="en-US"/>
          <w14:textFill>
            <w14:solidFill>
              <w14:schemeClr w14:val="tx1"/>
            </w14:solidFill>
          </w14:textFill>
        </w:rPr>
        <w:t>含油量≤8mg/L、悬浮固体含量≤3mg/L、粒径中值≤2μm”</w:t>
      </w:r>
      <w:r>
        <w:rPr>
          <w:rFonts w:ascii="Times New Roman" w:hAnsi="Times New Roman" w:cs="Times New Roman" w:eastAsiaTheme="minorEastAsia"/>
          <w:color w:val="000000" w:themeColor="text1"/>
          <w:w w:val="99"/>
          <w:sz w:val="24"/>
          <w:szCs w:val="24"/>
          <w14:textFill>
            <w14:solidFill>
              <w14:schemeClr w14:val="tx1"/>
            </w14:solidFill>
          </w14:textFill>
        </w:rPr>
        <w:t>。</w:t>
      </w:r>
    </w:p>
    <w:p w14:paraId="333DA814">
      <w:pPr>
        <w:pStyle w:val="107"/>
        <w:tabs>
          <w:tab w:val="left" w:pos="1571"/>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3</w:t>
      </w:r>
      <w:r>
        <w:rPr>
          <w:rFonts w:ascii="Times New Roman" w:hAnsi="Times New Roman" w:cs="Times New Roman" w:eastAsiaTheme="minorEastAsia"/>
          <w:color w:val="000000" w:themeColor="text1"/>
          <w:w w:val="99"/>
          <w:sz w:val="24"/>
          <w:szCs w:val="24"/>
          <w14:textFill>
            <w14:solidFill>
              <w14:schemeClr w14:val="tx1"/>
            </w14:solidFill>
          </w14:textFill>
        </w:rPr>
        <w:t>）噪声</w:t>
      </w:r>
    </w:p>
    <w:p w14:paraId="235E4908">
      <w:pPr>
        <w:pStyle w:val="107"/>
        <w:tabs>
          <w:tab w:val="left" w:pos="1571"/>
        </w:tabs>
        <w:spacing w:line="440" w:lineRule="exact"/>
        <w:ind w:left="0" w:firstLine="474" w:firstLineChars="200"/>
        <w:jc w:val="both"/>
        <w:rPr>
          <w:rFonts w:ascii="Times New Roman" w:hAnsi="Times New Roman" w:cs="Times New Roman" w:eastAsiaTheme="minorEastAsia"/>
          <w:color w:val="000000" w:themeColor="text1"/>
          <w:spacing w:val="-19"/>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施工期噪声执行《建筑施工场界环境噪声排放标准》（GB12523-2011）中规定的排放限值，具体见表</w:t>
      </w:r>
      <w:r>
        <w:rPr>
          <w:rFonts w:ascii="Times New Roman" w:hAnsi="Times New Roman" w:cs="Times New Roman" w:eastAsiaTheme="minorEastAsia"/>
          <w:color w:val="000000" w:themeColor="text1"/>
          <w:w w:val="99"/>
          <w:sz w:val="24"/>
          <w:szCs w:val="24"/>
          <w:lang w:val="en-US"/>
          <w14:textFill>
            <w14:solidFill>
              <w14:schemeClr w14:val="tx1"/>
            </w14:solidFill>
          </w14:textFill>
        </w:rPr>
        <w:t>2.4-10。</w:t>
      </w:r>
    </w:p>
    <w:p w14:paraId="73247A4A">
      <w:pPr>
        <w:pStyle w:val="107"/>
        <w:tabs>
          <w:tab w:val="left" w:pos="1571"/>
        </w:tabs>
        <w:spacing w:line="440" w:lineRule="exact"/>
        <w:ind w:left="440" w:leftChars="200" w:firstLine="0"/>
        <w:jc w:val="both"/>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r>
        <w:rPr>
          <w:rFonts w:ascii="Times New Roman" w:hAnsi="Times New Roman" w:cs="Times New Roman" w:eastAsiaTheme="minorEastAsia"/>
          <w:b/>
          <w:bCs/>
          <w:color w:val="000000" w:themeColor="text1"/>
          <w:w w:val="99"/>
          <w:sz w:val="24"/>
          <w:szCs w:val="24"/>
          <w14:textFill>
            <w14:solidFill>
              <w14:schemeClr w14:val="tx1"/>
            </w14:solidFill>
          </w14:textFill>
        </w:rPr>
        <w:t>表</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 xml:space="preserve">2.4-10        </w:t>
      </w:r>
      <w:r>
        <w:rPr>
          <w:rFonts w:ascii="Times New Roman" w:hAnsi="Times New Roman" w:cs="Times New Roman" w:eastAsiaTheme="minorEastAsia"/>
          <w:b/>
          <w:bCs/>
          <w:color w:val="000000" w:themeColor="text1"/>
          <w:w w:val="99"/>
          <w:sz w:val="24"/>
          <w:szCs w:val="24"/>
          <w14:textFill>
            <w14:solidFill>
              <w14:schemeClr w14:val="tx1"/>
            </w14:solidFill>
          </w14:textFill>
        </w:rPr>
        <w:t>建筑施工场界环境噪声排放标准</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 xml:space="preserve">        </w:t>
      </w:r>
      <w:r>
        <w:rPr>
          <w:rFonts w:ascii="Times New Roman" w:hAnsi="Times New Roman" w:cs="Times New Roman" w:eastAsiaTheme="minorEastAsia"/>
          <w:b/>
          <w:bCs/>
          <w:color w:val="000000" w:themeColor="text1"/>
          <w:w w:val="99"/>
          <w:sz w:val="24"/>
          <w:szCs w:val="24"/>
          <w14:textFill>
            <w14:solidFill>
              <w14:schemeClr w14:val="tx1"/>
            </w14:solidFill>
          </w14:textFill>
        </w:rPr>
        <w:t>单位：dB（A）</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563"/>
        <w:gridCol w:w="4563"/>
      </w:tblGrid>
      <w:tr w14:paraId="33E31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2500" w:type="pct"/>
            <w:tcBorders>
              <w:tl2br w:val="nil"/>
              <w:tr2bl w:val="nil"/>
            </w:tcBorders>
            <w:vAlign w:val="center"/>
          </w:tcPr>
          <w:p w14:paraId="59746689">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昼  间</w:t>
            </w:r>
          </w:p>
        </w:tc>
        <w:tc>
          <w:tcPr>
            <w:tcW w:w="2500" w:type="pct"/>
            <w:tcBorders>
              <w:tl2br w:val="nil"/>
              <w:tr2bl w:val="nil"/>
            </w:tcBorders>
            <w:vAlign w:val="center"/>
          </w:tcPr>
          <w:p w14:paraId="618E8722">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夜  间</w:t>
            </w:r>
          </w:p>
        </w:tc>
      </w:tr>
      <w:tr w14:paraId="174D5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2500" w:type="pct"/>
            <w:tcBorders>
              <w:tl2br w:val="nil"/>
              <w:tr2bl w:val="nil"/>
            </w:tcBorders>
            <w:vAlign w:val="center"/>
          </w:tcPr>
          <w:p w14:paraId="2AD23C07">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70</w:t>
            </w:r>
          </w:p>
        </w:tc>
        <w:tc>
          <w:tcPr>
            <w:tcW w:w="2500" w:type="pct"/>
            <w:tcBorders>
              <w:tl2br w:val="nil"/>
              <w:tr2bl w:val="nil"/>
            </w:tcBorders>
            <w:vAlign w:val="center"/>
          </w:tcPr>
          <w:p w14:paraId="5E55A950">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55</w:t>
            </w:r>
          </w:p>
        </w:tc>
      </w:tr>
    </w:tbl>
    <w:p w14:paraId="0DA5E90D">
      <w:pPr>
        <w:tabs>
          <w:tab w:val="left" w:pos="1571"/>
        </w:tabs>
        <w:autoSpaceDE/>
        <w:autoSpaceDN/>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运营期混输阀组间厂界噪声执行《工业企业厂界环境噪声排放标准》（GB12348-2008）中2类标准，具体见表</w:t>
      </w:r>
      <w:r>
        <w:rPr>
          <w:rFonts w:ascii="Times New Roman" w:hAnsi="Times New Roman" w:cs="Times New Roman" w:eastAsiaTheme="minorEastAsia"/>
          <w:snapToGrid w:val="0"/>
          <w:color w:val="000000" w:themeColor="text1"/>
          <w:w w:val="99"/>
          <w:sz w:val="24"/>
          <w:szCs w:val="24"/>
          <w14:textFill>
            <w14:solidFill>
              <w14:schemeClr w14:val="tx1"/>
            </w14:solidFill>
          </w14:textFill>
        </w:rPr>
        <w:t>2.4-10</w:t>
      </w:r>
      <w:r>
        <w:rPr>
          <w:rFonts w:ascii="Times New Roman" w:hAnsi="Times New Roman" w:cs="Times New Roman" w:eastAsiaTheme="minorEastAsia"/>
          <w:color w:val="000000" w:themeColor="text1"/>
          <w:w w:val="99"/>
          <w:sz w:val="24"/>
          <w:szCs w:val="24"/>
          <w14:textFill>
            <w14:solidFill>
              <w14:schemeClr w14:val="tx1"/>
            </w14:solidFill>
          </w14:textFill>
        </w:rPr>
        <w:t>。</w:t>
      </w:r>
    </w:p>
    <w:p w14:paraId="30EA5EFB">
      <w:pPr>
        <w:autoSpaceDE/>
        <w:autoSpaceDN/>
        <w:spacing w:line="440" w:lineRule="exact"/>
        <w:ind w:firstLine="476" w:firstLineChars="200"/>
        <w:jc w:val="both"/>
        <w:rPr>
          <w:rFonts w:ascii="Times New Roman" w:hAnsi="Times New Roman" w:cs="Times New Roman" w:eastAsiaTheme="minorEastAsia"/>
          <w:b/>
          <w:snapToGrid w:val="0"/>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
          <w:snapToGrid w:val="0"/>
          <w:color w:val="000000" w:themeColor="text1"/>
          <w:w w:val="99"/>
          <w:sz w:val="24"/>
          <w:szCs w:val="24"/>
          <w:lang w:val="en-US"/>
          <w14:textFill>
            <w14:solidFill>
              <w14:schemeClr w14:val="tx1"/>
            </w14:solidFill>
          </w14:textFill>
        </w:rPr>
        <w:t>表2.4-10</w:t>
      </w:r>
      <w:r>
        <w:rPr>
          <w:rFonts w:ascii="Times New Roman" w:hAnsi="Times New Roman" w:cs="Times New Roman" w:eastAsiaTheme="minorEastAsia"/>
          <w:b/>
          <w:snapToGrid w:val="0"/>
          <w:color w:val="000000" w:themeColor="text1"/>
          <w:w w:val="99"/>
          <w:sz w:val="24"/>
          <w:szCs w:val="24"/>
          <w:lang w:val="en-US" w:bidi="ar-SA"/>
          <w14:textFill>
            <w14:solidFill>
              <w14:schemeClr w14:val="tx1"/>
            </w14:solidFill>
          </w14:textFill>
        </w:rPr>
        <w:t xml:space="preserve">    工业企业厂界环境噪声排放标准    单位：dB（A）</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563"/>
        <w:gridCol w:w="4563"/>
      </w:tblGrid>
      <w:tr w14:paraId="1B3C4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2500" w:type="pct"/>
            <w:vAlign w:val="center"/>
          </w:tcPr>
          <w:p w14:paraId="2A4A930F">
            <w:pPr>
              <w:widowControl/>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昼  间</w:t>
            </w:r>
          </w:p>
        </w:tc>
        <w:tc>
          <w:tcPr>
            <w:tcW w:w="2500" w:type="pct"/>
            <w:vAlign w:val="center"/>
          </w:tcPr>
          <w:p w14:paraId="09F8720E">
            <w:pPr>
              <w:widowControl/>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夜  间</w:t>
            </w:r>
          </w:p>
        </w:tc>
      </w:tr>
      <w:tr w14:paraId="72B2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2500" w:type="pct"/>
            <w:vAlign w:val="center"/>
          </w:tcPr>
          <w:p w14:paraId="719B51BF">
            <w:pPr>
              <w:widowControl/>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60</w:t>
            </w:r>
          </w:p>
        </w:tc>
        <w:tc>
          <w:tcPr>
            <w:tcW w:w="2500" w:type="pct"/>
            <w:vAlign w:val="center"/>
          </w:tcPr>
          <w:p w14:paraId="6E9C0684">
            <w:pPr>
              <w:widowControl/>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50</w:t>
            </w:r>
          </w:p>
        </w:tc>
      </w:tr>
    </w:tbl>
    <w:p w14:paraId="5EB75596">
      <w:pPr>
        <w:pStyle w:val="107"/>
        <w:tabs>
          <w:tab w:val="left" w:pos="1571"/>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bookmarkStart w:id="66" w:name="_Toc117794529"/>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3</w:t>
      </w: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hint="eastAsia" w:ascii="Times New Roman" w:hAnsi="Times New Roman" w:cs="Times New Roman" w:eastAsiaTheme="minorEastAsia"/>
          <w:color w:val="000000" w:themeColor="text1"/>
          <w:w w:val="99"/>
          <w:sz w:val="24"/>
          <w:szCs w:val="24"/>
          <w14:textFill>
            <w14:solidFill>
              <w14:schemeClr w14:val="tx1"/>
            </w14:solidFill>
          </w14:textFill>
        </w:rPr>
        <w:t>固体废物</w:t>
      </w:r>
    </w:p>
    <w:p w14:paraId="60C9A251">
      <w:pPr>
        <w:tabs>
          <w:tab w:val="left" w:pos="1571"/>
        </w:tabs>
        <w:autoSpaceDE/>
        <w:autoSpaceDN/>
        <w:spacing w:line="440" w:lineRule="exact"/>
        <w:ind w:firstLine="474" w:firstLineChars="200"/>
        <w:jc w:val="both"/>
        <w:rPr>
          <w:rFonts w:ascii="Times New Roman" w:hAnsi="Times New Roman" w:cs="Times New Roman"/>
          <w:color w:val="000000" w:themeColor="text1"/>
          <w:w w:val="99"/>
          <w:sz w:val="24"/>
          <w:szCs w:val="24"/>
          <w14:textFill>
            <w14:solidFill>
              <w14:schemeClr w14:val="tx1"/>
            </w14:solidFill>
          </w14:textFill>
        </w:rPr>
      </w:pPr>
      <w:r>
        <w:rPr>
          <w:rFonts w:ascii="Times New Roman" w:hAnsi="Times New Roman" w:cs="Times New Roman"/>
          <w:color w:val="000000" w:themeColor="text1"/>
          <w:w w:val="99"/>
          <w:sz w:val="24"/>
          <w:szCs w:val="24"/>
          <w14:textFill>
            <w14:solidFill>
              <w14:schemeClr w14:val="tx1"/>
            </w14:solidFill>
          </w14:textFill>
        </w:rPr>
        <w:t>（</w:t>
      </w:r>
      <w:r>
        <w:rPr>
          <w:rFonts w:ascii="Times New Roman" w:hAnsi="Times New Roman" w:cs="Times New Roman"/>
          <w:color w:val="000000" w:themeColor="text1"/>
          <w:w w:val="99"/>
          <w:sz w:val="24"/>
          <w:szCs w:val="24"/>
          <w:lang w:val="en-US"/>
          <w14:textFill>
            <w14:solidFill>
              <w14:schemeClr w14:val="tx1"/>
            </w14:solidFill>
          </w14:textFill>
        </w:rPr>
        <w:t>1</w:t>
      </w:r>
      <w:r>
        <w:rPr>
          <w:rFonts w:ascii="Times New Roman" w:hAnsi="Times New Roman" w:cs="Times New Roman"/>
          <w:color w:val="000000" w:themeColor="text1"/>
          <w:w w:val="99"/>
          <w:sz w:val="24"/>
          <w:szCs w:val="24"/>
          <w14:textFill>
            <w14:solidFill>
              <w14:schemeClr w14:val="tx1"/>
            </w14:solidFill>
          </w14:textFill>
        </w:rPr>
        <w:t>）施工期施工废料执行《一般工业固体废物贮存和填埋污染控制标准》（GB18599-20</w:t>
      </w:r>
      <w:r>
        <w:rPr>
          <w:rFonts w:ascii="Times New Roman" w:hAnsi="Times New Roman" w:cs="Times New Roman"/>
          <w:color w:val="000000" w:themeColor="text1"/>
          <w:w w:val="99"/>
          <w:sz w:val="24"/>
          <w:szCs w:val="24"/>
          <w:lang w:val="en-US"/>
          <w14:textFill>
            <w14:solidFill>
              <w14:schemeClr w14:val="tx1"/>
            </w14:solidFill>
          </w14:textFill>
        </w:rPr>
        <w:t>20</w:t>
      </w:r>
      <w:r>
        <w:rPr>
          <w:rFonts w:ascii="Times New Roman" w:hAnsi="Times New Roman" w:cs="Times New Roman"/>
          <w:color w:val="000000" w:themeColor="text1"/>
          <w:w w:val="99"/>
          <w:sz w:val="24"/>
          <w:szCs w:val="24"/>
          <w14:textFill>
            <w14:solidFill>
              <w14:schemeClr w14:val="tx1"/>
            </w14:solidFill>
          </w14:textFill>
        </w:rPr>
        <w:t>）中I类场标准。</w:t>
      </w:r>
    </w:p>
    <w:p w14:paraId="3264DAF0">
      <w:pPr>
        <w:tabs>
          <w:tab w:val="left" w:pos="1571"/>
        </w:tabs>
        <w:autoSpaceDE/>
        <w:autoSpaceDN/>
        <w:spacing w:line="440" w:lineRule="exact"/>
        <w:ind w:firstLine="474" w:firstLineChars="200"/>
        <w:jc w:val="both"/>
        <w:rPr>
          <w:rFonts w:ascii="Times New Roman" w:hAnsi="Times New Roman" w:cs="Times New Roman"/>
          <w:color w:val="000000" w:themeColor="text1"/>
          <w:w w:val="99"/>
          <w:sz w:val="24"/>
          <w:szCs w:val="24"/>
          <w14:textFill>
            <w14:solidFill>
              <w14:schemeClr w14:val="tx1"/>
            </w14:solidFill>
          </w14:textFill>
        </w:rPr>
      </w:pPr>
      <w:r>
        <w:rPr>
          <w:rFonts w:ascii="Times New Roman" w:hAnsi="Times New Roman" w:cs="Times New Roman"/>
          <w:color w:val="000000" w:themeColor="text1"/>
          <w:w w:val="99"/>
          <w:sz w:val="24"/>
          <w:szCs w:val="24"/>
          <w14:textFill>
            <w14:solidFill>
              <w14:schemeClr w14:val="tx1"/>
            </w14:solidFill>
          </w14:textFill>
        </w:rPr>
        <w:t>（2）</w:t>
      </w:r>
      <w:r>
        <w:rPr>
          <w:rFonts w:ascii="Times New Roman" w:hAnsi="Times New Roman" w:cs="Times New Roman"/>
          <w:color w:val="000000" w:themeColor="text1"/>
          <w:w w:val="99"/>
          <w:sz w:val="24"/>
          <w:szCs w:val="24"/>
          <w:lang w:val="en-US"/>
          <w14:textFill>
            <w14:solidFill>
              <w14:schemeClr w14:val="tx1"/>
            </w14:solidFill>
          </w14:textFill>
        </w:rPr>
        <w:t>施工期产生的生活垃圾执行《城市生活垃圾管理办法》</w:t>
      </w:r>
      <w:r>
        <w:rPr>
          <w:rFonts w:hint="eastAsia" w:ascii="Times New Roman" w:hAnsi="Times New Roman" w:cs="Times New Roman"/>
          <w:color w:val="000000" w:themeColor="text1"/>
          <w:w w:val="99"/>
          <w:sz w:val="24"/>
          <w:szCs w:val="24"/>
          <w:lang w:val="en-US"/>
          <w14:textFill>
            <w14:solidFill>
              <w14:schemeClr w14:val="tx1"/>
            </w14:solidFill>
          </w14:textFill>
        </w:rPr>
        <w:t>（</w:t>
      </w:r>
      <w:r>
        <w:rPr>
          <w:rFonts w:ascii="Times New Roman" w:hAnsi="Times New Roman" w:cs="Times New Roman"/>
          <w:color w:val="000000" w:themeColor="text1"/>
          <w:w w:val="99"/>
          <w:sz w:val="24"/>
          <w:szCs w:val="24"/>
          <w:lang w:val="en-US"/>
          <w14:textFill>
            <w14:solidFill>
              <w14:schemeClr w14:val="tx1"/>
            </w14:solidFill>
          </w14:textFill>
        </w:rPr>
        <w:t>中华人民共和国建设部令第157号令）中的相关规定。</w:t>
      </w:r>
    </w:p>
    <w:p w14:paraId="622FF709">
      <w:pPr>
        <w:tabs>
          <w:tab w:val="left" w:pos="1571"/>
        </w:tabs>
        <w:autoSpaceDE/>
        <w:autoSpaceDN/>
        <w:spacing w:line="440" w:lineRule="exact"/>
        <w:ind w:firstLine="474" w:firstLineChars="200"/>
        <w:jc w:val="both"/>
        <w:rPr>
          <w:rFonts w:ascii="Times New Roman" w:hAnsi="Times New Roman" w:cs="Times New Roman"/>
          <w:color w:val="000000" w:themeColor="text1"/>
          <w:w w:val="99"/>
          <w:sz w:val="24"/>
          <w:szCs w:val="24"/>
          <w:lang w:val="en-US"/>
          <w14:textFill>
            <w14:solidFill>
              <w14:schemeClr w14:val="tx1"/>
            </w14:solidFill>
          </w14:textFill>
        </w:rPr>
      </w:pPr>
      <w:r>
        <w:rPr>
          <w:rFonts w:ascii="Times New Roman" w:hAnsi="Times New Roman" w:cs="Times New Roman"/>
          <w:color w:val="000000" w:themeColor="text1"/>
          <w:w w:val="99"/>
          <w:sz w:val="24"/>
          <w:szCs w:val="24"/>
          <w14:textFill>
            <w14:solidFill>
              <w14:schemeClr w14:val="tx1"/>
            </w14:solidFill>
          </w14:textFill>
        </w:rPr>
        <w:t>（</w:t>
      </w:r>
      <w:r>
        <w:rPr>
          <w:rFonts w:ascii="Times New Roman" w:hAnsi="Times New Roman" w:cs="Times New Roman"/>
          <w:color w:val="000000" w:themeColor="text1"/>
          <w:w w:val="99"/>
          <w:sz w:val="24"/>
          <w:szCs w:val="24"/>
          <w:lang w:val="en-US"/>
          <w14:textFill>
            <w14:solidFill>
              <w14:schemeClr w14:val="tx1"/>
            </w14:solidFill>
          </w14:textFill>
        </w:rPr>
        <w:t>3</w:t>
      </w:r>
      <w:r>
        <w:rPr>
          <w:rFonts w:ascii="Times New Roman" w:hAnsi="Times New Roman" w:cs="Times New Roman"/>
          <w:color w:val="000000" w:themeColor="text1"/>
          <w:w w:val="99"/>
          <w:sz w:val="24"/>
          <w:szCs w:val="24"/>
          <w14:textFill>
            <w14:solidFill>
              <w14:schemeClr w14:val="tx1"/>
            </w14:solidFill>
          </w14:textFill>
        </w:rPr>
        <w:t>）</w:t>
      </w:r>
      <w:r>
        <w:rPr>
          <w:rFonts w:ascii="Times New Roman" w:hAnsi="Times New Roman" w:cs="Times New Roman"/>
          <w:color w:val="000000" w:themeColor="text1"/>
          <w:w w:val="99"/>
          <w:sz w:val="24"/>
          <w:szCs w:val="24"/>
          <w:lang w:val="en-US"/>
          <w14:textFill>
            <w14:solidFill>
              <w14:schemeClr w14:val="tx1"/>
            </w14:solidFill>
          </w14:textFill>
        </w:rPr>
        <w:t>施工期</w:t>
      </w:r>
      <w:r>
        <w:rPr>
          <w:rFonts w:ascii="Times New Roman" w:hAnsi="Times New Roman" w:cs="Times New Roman"/>
          <w:color w:val="000000" w:themeColor="text1"/>
          <w:w w:val="99"/>
          <w:sz w:val="24"/>
          <w:szCs w:val="24"/>
          <w14:textFill>
            <w14:solidFill>
              <w14:schemeClr w14:val="tx1"/>
            </w14:solidFill>
          </w14:textFill>
        </w:rPr>
        <w:t>产生的的</w:t>
      </w:r>
      <w:r>
        <w:rPr>
          <w:rFonts w:hint="eastAsia" w:ascii="Times New Roman" w:hAnsi="Times New Roman" w:cs="Times New Roman"/>
          <w:color w:val="000000" w:themeColor="text1"/>
          <w:w w:val="99"/>
          <w:sz w:val="24"/>
          <w:szCs w:val="24"/>
          <w14:textFill>
            <w14:solidFill>
              <w14:schemeClr w14:val="tx1"/>
            </w14:solidFill>
          </w14:textFill>
        </w:rPr>
        <w:t>清淤油泥</w:t>
      </w:r>
      <w:r>
        <w:rPr>
          <w:rFonts w:ascii="Times New Roman" w:hAnsi="Times New Roman" w:cs="Times New Roman"/>
          <w:bCs/>
          <w:color w:val="000000" w:themeColor="text1"/>
          <w:w w:val="99"/>
          <w:sz w:val="24"/>
          <w:szCs w:val="24"/>
          <w:lang w:val="en-US"/>
          <w14:textFill>
            <w14:solidFill>
              <w14:schemeClr w14:val="tx1"/>
            </w14:solidFill>
          </w14:textFill>
        </w:rPr>
        <w:t>由罐车拉运</w:t>
      </w:r>
      <w:r>
        <w:rPr>
          <w:rFonts w:hint="eastAsia" w:ascii="Times New Roman" w:hAnsi="Times New Roman" w:cs="Times New Roman"/>
          <w:bCs/>
          <w:color w:val="000000" w:themeColor="text1"/>
          <w:w w:val="99"/>
          <w:sz w:val="24"/>
          <w:szCs w:val="24"/>
          <w:lang w:val="en-US" w:eastAsia="zh-CN"/>
          <w14:textFill>
            <w14:solidFill>
              <w14:schemeClr w14:val="tx1"/>
            </w14:solidFill>
          </w14:textFill>
        </w:rPr>
        <w:t>第五采油厂</w:t>
      </w:r>
      <w:r>
        <w:rPr>
          <w:rFonts w:ascii="Times New Roman" w:hAnsi="Times New Roman" w:cs="Times New Roman"/>
          <w:bCs/>
          <w:color w:val="000000" w:themeColor="text1"/>
          <w:w w:val="99"/>
          <w:sz w:val="24"/>
          <w:szCs w:val="24"/>
          <w:lang w:val="en-US"/>
          <w14:textFill>
            <w14:solidFill>
              <w14:schemeClr w14:val="tx1"/>
            </w14:solidFill>
          </w14:textFill>
        </w:rPr>
        <w:t>含油污泥处理站处理满足《油田含油污泥处置与利用污染控制要求》（DB23/T 3104-2022）表1中油田含油污泥经处置后泥渣利用污染物控制限值后用作油田垫井场和通井路</w:t>
      </w:r>
      <w:r>
        <w:rPr>
          <w:rFonts w:ascii="Times New Roman" w:hAnsi="Times New Roman" w:cs="Times New Roman"/>
          <w:color w:val="000000" w:themeColor="text1"/>
          <w:w w:val="99"/>
          <w:sz w:val="24"/>
          <w:szCs w:val="24"/>
          <w14:textFill>
            <w14:solidFill>
              <w14:schemeClr w14:val="tx1"/>
            </w14:solidFill>
          </w14:textFill>
        </w:rPr>
        <w:t>，具体标准值见表</w:t>
      </w:r>
      <w:r>
        <w:rPr>
          <w:rFonts w:ascii="Times New Roman" w:hAnsi="Times New Roman" w:cs="Times New Roman"/>
          <w:snapToGrid w:val="0"/>
          <w:color w:val="000000" w:themeColor="text1"/>
          <w:w w:val="99"/>
          <w:sz w:val="24"/>
          <w:szCs w:val="24"/>
          <w:lang w:val="en-US" w:bidi="ar-SA"/>
          <w14:textFill>
            <w14:solidFill>
              <w14:schemeClr w14:val="tx1"/>
            </w14:solidFill>
          </w14:textFill>
        </w:rPr>
        <w:t>2.4-11</w:t>
      </w:r>
      <w:r>
        <w:rPr>
          <w:rFonts w:ascii="Times New Roman" w:hAnsi="Times New Roman" w:cs="Times New Roman"/>
          <w:color w:val="000000" w:themeColor="text1"/>
          <w:w w:val="99"/>
          <w:sz w:val="24"/>
          <w:szCs w:val="24"/>
          <w:lang w:val="en-US"/>
          <w14:textFill>
            <w14:solidFill>
              <w14:schemeClr w14:val="tx1"/>
            </w14:solidFill>
          </w14:textFill>
        </w:rPr>
        <w:t>。</w:t>
      </w:r>
    </w:p>
    <w:p w14:paraId="652509E8">
      <w:pPr>
        <w:autoSpaceDE/>
        <w:autoSpaceDN/>
        <w:spacing w:line="440" w:lineRule="exact"/>
        <w:ind w:firstLine="476" w:firstLineChars="200"/>
        <w:jc w:val="both"/>
        <w:rPr>
          <w:rFonts w:ascii="Times New Roman" w:hAnsi="Times New Roman" w:cs="Times New Roman"/>
          <w:b/>
          <w:snapToGrid w:val="0"/>
          <w:color w:val="000000" w:themeColor="text1"/>
          <w:w w:val="99"/>
          <w:sz w:val="24"/>
          <w:szCs w:val="24"/>
          <w:lang w:val="en-US" w:bidi="ar-SA"/>
          <w14:textFill>
            <w14:solidFill>
              <w14:schemeClr w14:val="tx1"/>
            </w14:solidFill>
          </w14:textFill>
        </w:rPr>
      </w:pPr>
      <w:r>
        <w:rPr>
          <w:rFonts w:ascii="Times New Roman" w:hAnsi="Times New Roman" w:cs="Times New Roman"/>
          <w:b/>
          <w:snapToGrid w:val="0"/>
          <w:color w:val="000000" w:themeColor="text1"/>
          <w:w w:val="99"/>
          <w:sz w:val="24"/>
          <w:szCs w:val="24"/>
          <w:lang w:val="en-US" w:bidi="ar-SA"/>
          <w14:textFill>
            <w14:solidFill>
              <w14:schemeClr w14:val="tx1"/>
            </w14:solidFill>
          </w14:textFill>
        </w:rPr>
        <w:t>表2.4-11    油田含油污泥经处置后泥渣利用污染物控制限值</w:t>
      </w:r>
    </w:p>
    <w:tbl>
      <w:tblPr>
        <w:tblStyle w:val="8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9"/>
        <w:gridCol w:w="4207"/>
        <w:gridCol w:w="3480"/>
      </w:tblGrid>
      <w:tr w14:paraId="1BE01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61" w:type="pct"/>
            <w:vAlign w:val="center"/>
          </w:tcPr>
          <w:p w14:paraId="58F9E9DD">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序号</w:t>
            </w:r>
          </w:p>
        </w:tc>
        <w:tc>
          <w:tcPr>
            <w:tcW w:w="2265" w:type="pct"/>
            <w:vAlign w:val="center"/>
          </w:tcPr>
          <w:p w14:paraId="068DA24C">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控制项目</w:t>
            </w:r>
          </w:p>
        </w:tc>
        <w:tc>
          <w:tcPr>
            <w:tcW w:w="1874" w:type="pct"/>
            <w:vAlign w:val="center"/>
          </w:tcPr>
          <w:p w14:paraId="0297FD61">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控制限值</w:t>
            </w:r>
          </w:p>
        </w:tc>
      </w:tr>
      <w:tr w14:paraId="6BFD0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61" w:type="pct"/>
            <w:vAlign w:val="center"/>
          </w:tcPr>
          <w:p w14:paraId="7EA3EB37">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1</w:t>
            </w:r>
          </w:p>
        </w:tc>
        <w:tc>
          <w:tcPr>
            <w:tcW w:w="2265" w:type="pct"/>
            <w:vAlign w:val="center"/>
          </w:tcPr>
          <w:p w14:paraId="71839949">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As（以干基计）（mg/kg）</w:t>
            </w:r>
          </w:p>
        </w:tc>
        <w:tc>
          <w:tcPr>
            <w:tcW w:w="1874" w:type="pct"/>
            <w:vAlign w:val="center"/>
          </w:tcPr>
          <w:p w14:paraId="609C6C8B">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≤30</w:t>
            </w:r>
          </w:p>
        </w:tc>
      </w:tr>
      <w:tr w14:paraId="7A2B7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61" w:type="pct"/>
            <w:vAlign w:val="center"/>
          </w:tcPr>
          <w:p w14:paraId="651204BC">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2</w:t>
            </w:r>
          </w:p>
        </w:tc>
        <w:tc>
          <w:tcPr>
            <w:tcW w:w="2265" w:type="pct"/>
            <w:vAlign w:val="center"/>
          </w:tcPr>
          <w:p w14:paraId="7F4C861F">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Hg（以干基计）（mg/kg）</w:t>
            </w:r>
          </w:p>
        </w:tc>
        <w:tc>
          <w:tcPr>
            <w:tcW w:w="1874" w:type="pct"/>
            <w:vAlign w:val="center"/>
          </w:tcPr>
          <w:p w14:paraId="35C24DB2">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≤0.8</w:t>
            </w:r>
          </w:p>
        </w:tc>
      </w:tr>
      <w:tr w14:paraId="6C7F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61" w:type="pct"/>
            <w:vAlign w:val="center"/>
          </w:tcPr>
          <w:p w14:paraId="70A7D677">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3</w:t>
            </w:r>
          </w:p>
        </w:tc>
        <w:tc>
          <w:tcPr>
            <w:tcW w:w="2265" w:type="pct"/>
            <w:vAlign w:val="center"/>
          </w:tcPr>
          <w:p w14:paraId="71DB893D">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Cr</w:t>
            </w:r>
            <w:r>
              <w:rPr>
                <w:rFonts w:ascii="Times New Roman" w:hAnsi="Times New Roman" w:cs="Times New Roman"/>
                <w:color w:val="000000" w:themeColor="text1"/>
                <w:w w:val="99"/>
                <w:kern w:val="2"/>
                <w:sz w:val="21"/>
                <w:szCs w:val="21"/>
                <w:vertAlign w:val="superscript"/>
                <w:lang w:val="en-US" w:bidi="ar-SA"/>
                <w14:textFill>
                  <w14:solidFill>
                    <w14:schemeClr w14:val="tx1"/>
                  </w14:solidFill>
                </w14:textFill>
              </w:rPr>
              <w:t>6+</w:t>
            </w:r>
            <w:r>
              <w:rPr>
                <w:rFonts w:ascii="Times New Roman" w:hAnsi="Times New Roman" w:cs="Times New Roman"/>
                <w:color w:val="000000" w:themeColor="text1"/>
                <w:w w:val="99"/>
                <w:kern w:val="2"/>
                <w:sz w:val="21"/>
                <w:szCs w:val="21"/>
                <w:lang w:val="en-US" w:bidi="ar-SA"/>
                <w14:textFill>
                  <w14:solidFill>
                    <w14:schemeClr w14:val="tx1"/>
                  </w14:solidFill>
                </w14:textFill>
              </w:rPr>
              <w:t>（以干基计）（mg/kg）</w:t>
            </w:r>
          </w:p>
        </w:tc>
        <w:tc>
          <w:tcPr>
            <w:tcW w:w="1874" w:type="pct"/>
            <w:vAlign w:val="center"/>
          </w:tcPr>
          <w:p w14:paraId="0E2CECAA">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≤5</w:t>
            </w:r>
          </w:p>
        </w:tc>
      </w:tr>
      <w:tr w14:paraId="07478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61" w:type="pct"/>
            <w:vAlign w:val="center"/>
          </w:tcPr>
          <w:p w14:paraId="00E182F5">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4</w:t>
            </w:r>
          </w:p>
        </w:tc>
        <w:tc>
          <w:tcPr>
            <w:tcW w:w="2265" w:type="pct"/>
            <w:vAlign w:val="center"/>
          </w:tcPr>
          <w:p w14:paraId="6669A560">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Cu（以干基计）（mg/kg）</w:t>
            </w:r>
          </w:p>
        </w:tc>
        <w:tc>
          <w:tcPr>
            <w:tcW w:w="1874" w:type="pct"/>
            <w:vAlign w:val="center"/>
          </w:tcPr>
          <w:p w14:paraId="7DFA52CD">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≤150</w:t>
            </w:r>
          </w:p>
        </w:tc>
      </w:tr>
      <w:tr w14:paraId="3B616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61" w:type="pct"/>
            <w:vAlign w:val="center"/>
          </w:tcPr>
          <w:p w14:paraId="5D6A18CC">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5</w:t>
            </w:r>
          </w:p>
        </w:tc>
        <w:tc>
          <w:tcPr>
            <w:tcW w:w="2265" w:type="pct"/>
            <w:vAlign w:val="center"/>
          </w:tcPr>
          <w:p w14:paraId="4A46358E">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Zn（以干基计）（mg/kg）</w:t>
            </w:r>
          </w:p>
        </w:tc>
        <w:tc>
          <w:tcPr>
            <w:tcW w:w="1874" w:type="pct"/>
            <w:vAlign w:val="center"/>
          </w:tcPr>
          <w:p w14:paraId="02817490">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≤600</w:t>
            </w:r>
          </w:p>
        </w:tc>
      </w:tr>
      <w:tr w14:paraId="759E5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61" w:type="pct"/>
            <w:vAlign w:val="center"/>
          </w:tcPr>
          <w:p w14:paraId="21F86700">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6</w:t>
            </w:r>
          </w:p>
        </w:tc>
        <w:tc>
          <w:tcPr>
            <w:tcW w:w="2265" w:type="pct"/>
            <w:vAlign w:val="center"/>
          </w:tcPr>
          <w:p w14:paraId="519437CD">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Ni（以干基计）（mg/kg）</w:t>
            </w:r>
          </w:p>
        </w:tc>
        <w:tc>
          <w:tcPr>
            <w:tcW w:w="1874" w:type="pct"/>
            <w:vAlign w:val="center"/>
          </w:tcPr>
          <w:p w14:paraId="3E2D9448">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≤150</w:t>
            </w:r>
          </w:p>
        </w:tc>
      </w:tr>
      <w:tr w14:paraId="6761A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61" w:type="pct"/>
            <w:vAlign w:val="center"/>
          </w:tcPr>
          <w:p w14:paraId="57310884">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7</w:t>
            </w:r>
          </w:p>
        </w:tc>
        <w:tc>
          <w:tcPr>
            <w:tcW w:w="2265" w:type="pct"/>
            <w:vAlign w:val="center"/>
          </w:tcPr>
          <w:p w14:paraId="0F20A12C">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Pb（以干基计）（mg/kg）</w:t>
            </w:r>
          </w:p>
        </w:tc>
        <w:tc>
          <w:tcPr>
            <w:tcW w:w="1874" w:type="pct"/>
            <w:vAlign w:val="center"/>
          </w:tcPr>
          <w:p w14:paraId="71D3DA11">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≤375</w:t>
            </w:r>
          </w:p>
        </w:tc>
      </w:tr>
      <w:tr w14:paraId="7502E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61" w:type="pct"/>
            <w:vAlign w:val="center"/>
          </w:tcPr>
          <w:p w14:paraId="28C943E8">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8</w:t>
            </w:r>
          </w:p>
        </w:tc>
        <w:tc>
          <w:tcPr>
            <w:tcW w:w="2265" w:type="pct"/>
            <w:vAlign w:val="center"/>
          </w:tcPr>
          <w:p w14:paraId="4C3ED56D">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Cd（以干基计）（mg/kg）</w:t>
            </w:r>
          </w:p>
        </w:tc>
        <w:tc>
          <w:tcPr>
            <w:tcW w:w="1874" w:type="pct"/>
            <w:vAlign w:val="center"/>
          </w:tcPr>
          <w:p w14:paraId="218E8EA4">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≤3</w:t>
            </w:r>
          </w:p>
        </w:tc>
      </w:tr>
      <w:tr w14:paraId="613A1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61" w:type="pct"/>
            <w:vAlign w:val="center"/>
          </w:tcPr>
          <w:p w14:paraId="0C5CB770">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9</w:t>
            </w:r>
          </w:p>
        </w:tc>
        <w:tc>
          <w:tcPr>
            <w:tcW w:w="2265" w:type="pct"/>
            <w:vAlign w:val="center"/>
          </w:tcPr>
          <w:p w14:paraId="5BF608FF">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石油类（以干基计）（mg/kg）</w:t>
            </w:r>
          </w:p>
        </w:tc>
        <w:tc>
          <w:tcPr>
            <w:tcW w:w="1874" w:type="pct"/>
            <w:vAlign w:val="center"/>
          </w:tcPr>
          <w:p w14:paraId="08C3F927">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≤3000</w:t>
            </w:r>
          </w:p>
        </w:tc>
      </w:tr>
      <w:tr w14:paraId="4DC6F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61" w:type="pct"/>
            <w:vAlign w:val="center"/>
          </w:tcPr>
          <w:p w14:paraId="0BA46FAF">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10</w:t>
            </w:r>
          </w:p>
        </w:tc>
        <w:tc>
          <w:tcPr>
            <w:tcW w:w="2265" w:type="pct"/>
            <w:vAlign w:val="center"/>
          </w:tcPr>
          <w:p w14:paraId="3E5D37CF">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pH值</w:t>
            </w:r>
          </w:p>
        </w:tc>
        <w:tc>
          <w:tcPr>
            <w:tcW w:w="1874" w:type="pct"/>
            <w:vAlign w:val="center"/>
          </w:tcPr>
          <w:p w14:paraId="1932D29F">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6.5~9</w:t>
            </w:r>
          </w:p>
        </w:tc>
      </w:tr>
      <w:tr w14:paraId="46CF4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61" w:type="pct"/>
            <w:vAlign w:val="center"/>
          </w:tcPr>
          <w:p w14:paraId="63F62D8C">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11</w:t>
            </w:r>
          </w:p>
        </w:tc>
        <w:tc>
          <w:tcPr>
            <w:tcW w:w="2265" w:type="pct"/>
            <w:vAlign w:val="center"/>
          </w:tcPr>
          <w:p w14:paraId="763E49B8">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含水率（质量百分比）</w:t>
            </w:r>
          </w:p>
        </w:tc>
        <w:tc>
          <w:tcPr>
            <w:tcW w:w="1874" w:type="pct"/>
            <w:vAlign w:val="center"/>
          </w:tcPr>
          <w:p w14:paraId="4E9F0D55">
            <w:pPr>
              <w:autoSpaceDE/>
              <w:autoSpaceDN/>
              <w:snapToGrid w:val="0"/>
              <w:spacing w:line="32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≤40%</w:t>
            </w:r>
          </w:p>
        </w:tc>
      </w:tr>
    </w:tbl>
    <w:p w14:paraId="570D291B">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2.5 评价工作等级</w:t>
      </w:r>
      <w:bookmarkEnd w:id="66"/>
    </w:p>
    <w:p w14:paraId="2EEEC5DB">
      <w:pPr>
        <w:pStyle w:val="5"/>
        <w:keepNext/>
        <w:keepLines/>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67" w:name="_Toc117794530"/>
      <w:r>
        <w:rPr>
          <w:rFonts w:ascii="Times New Roman" w:hAnsi="Times New Roman" w:cs="Times New Roman" w:eastAsiaTheme="minorEastAsia"/>
          <w:color w:val="000000" w:themeColor="text1"/>
          <w:w w:val="99"/>
          <w:kern w:val="2"/>
          <w:lang w:val="en-US" w:bidi="ar-SA"/>
          <w14:textFill>
            <w14:solidFill>
              <w14:schemeClr w14:val="tx1"/>
            </w14:solidFill>
          </w14:textFill>
        </w:rPr>
        <w:t>2.5.1 大气环境</w:t>
      </w:r>
      <w:bookmarkEnd w:id="67"/>
    </w:p>
    <w:p w14:paraId="01EA164B">
      <w:pPr>
        <w:autoSpaceDE/>
        <w:autoSpaceDN/>
        <w:spacing w:line="440" w:lineRule="exact"/>
        <w:ind w:firstLine="474" w:firstLineChars="200"/>
        <w:jc w:val="both"/>
        <w:rPr>
          <w:rFonts w:ascii="Times New Roman" w:hAnsi="Times New Roman" w:cs="Times New Roman"/>
          <w:color w:val="000000" w:themeColor="text1"/>
          <w:w w:val="99"/>
          <w:sz w:val="24"/>
          <w:szCs w:val="24"/>
          <w:lang w:val="en-US"/>
          <w14:textFill>
            <w14:solidFill>
              <w14:schemeClr w14:val="tx1"/>
            </w14:solidFill>
          </w14:textFill>
        </w:rPr>
      </w:pPr>
      <w:r>
        <w:rPr>
          <w:rFonts w:hint="eastAsia" w:ascii="Times New Roman" w:hAnsi="Times New Roman" w:cs="Times New Roman"/>
          <w:color w:val="000000" w:themeColor="text1"/>
          <w:w w:val="99"/>
          <w:sz w:val="24"/>
          <w:szCs w:val="24"/>
          <w14:textFill>
            <w14:solidFill>
              <w14:schemeClr w14:val="tx1"/>
            </w14:solidFill>
          </w14:textFill>
        </w:rPr>
        <w:t>本工程运行期大气污染源主要为混输阀组间内阀门、泵等密封垫无组织排放的非甲烷总烃。</w:t>
      </w:r>
    </w:p>
    <w:p w14:paraId="167957C8">
      <w:pPr>
        <w:autoSpaceDE/>
        <w:autoSpaceDN/>
        <w:spacing w:line="440" w:lineRule="exact"/>
        <w:ind w:firstLine="494"/>
        <w:jc w:val="both"/>
        <w:rPr>
          <w:rFonts w:ascii="Times New Roman" w:hAnsi="Times New Roman" w:cs="Times New Roman"/>
          <w:color w:val="000000" w:themeColor="text1"/>
          <w:w w:val="99"/>
          <w:sz w:val="24"/>
          <w:szCs w:val="24"/>
          <w:lang w:val="en-US" w:bidi="ar-SA"/>
          <w14:textFill>
            <w14:solidFill>
              <w14:schemeClr w14:val="tx1"/>
            </w14:solidFill>
          </w14:textFill>
        </w:rPr>
      </w:pPr>
      <w:r>
        <w:rPr>
          <w:rFonts w:hint="eastAsia" w:ascii="Times New Roman" w:hAnsi="Times New Roman" w:cs="Times New Roman"/>
          <w:color w:val="000000" w:themeColor="text1"/>
          <w:w w:val="99"/>
          <w:sz w:val="24"/>
          <w:szCs w:val="24"/>
          <w:lang w:val="en-US" w:bidi="ar-SA"/>
          <w14:textFill>
            <w14:solidFill>
              <w14:schemeClr w14:val="tx1"/>
            </w14:solidFill>
          </w14:textFill>
        </w:rPr>
        <w:t>本工程排放的无组织挥发非甲烷总烃为面源形式排放，油气集输全部采用密闭集输工艺流程</w:t>
      </w:r>
      <w:r>
        <w:rPr>
          <w:rFonts w:hint="eastAsia" w:ascii="Times New Roman" w:hAnsi="Times New Roman" w:cs="Times New Roman"/>
          <w:color w:val="000000" w:themeColor="text1"/>
          <w:w w:val="99"/>
          <w:sz w:val="24"/>
          <w:szCs w:val="24"/>
          <w:lang w:val="en-US"/>
          <w14:textFill>
            <w14:solidFill>
              <w14:schemeClr w14:val="tx1"/>
            </w14:solidFill>
          </w14:textFill>
        </w:rPr>
        <w:t>，阀门、泵等密封点安装密封垫，</w:t>
      </w:r>
      <w:r>
        <w:rPr>
          <w:rFonts w:hint="eastAsia" w:ascii="Times New Roman" w:hAnsi="Times New Roman" w:cs="Times New Roman"/>
          <w:color w:val="000000" w:themeColor="text1"/>
          <w:w w:val="99"/>
          <w:sz w:val="24"/>
          <w:szCs w:val="24"/>
          <w:lang w:val="en-US" w:bidi="ar-SA"/>
          <w14:textFill>
            <w14:solidFill>
              <w14:schemeClr w14:val="tx1"/>
            </w14:solidFill>
          </w14:textFill>
        </w:rPr>
        <w:t>定期对设备和管道进行维修保养，保证油气集输设施的平稳运行，控制烃类气体的无组织挥发，根据工程分析可知，非甲烷总烃挥发量为</w:t>
      </w:r>
      <w:r>
        <w:rPr>
          <w:rFonts w:ascii="Times New Roman" w:hAnsi="Times New Roman" w:cs="Times New Roman"/>
          <w:color w:val="000000" w:themeColor="text1"/>
          <w:w w:val="99"/>
          <w:sz w:val="24"/>
          <w:szCs w:val="24"/>
          <w:lang w:val="en-US" w:bidi="ar-SA"/>
          <w14:textFill>
            <w14:solidFill>
              <w14:schemeClr w14:val="tx1"/>
            </w14:solidFill>
          </w14:textFill>
        </w:rPr>
        <w:t>0.002t/a</w:t>
      </w:r>
      <w:r>
        <w:rPr>
          <w:rFonts w:hint="eastAsia" w:ascii="Times New Roman" w:hAnsi="Times New Roman" w:cs="Times New Roman"/>
          <w:color w:val="000000" w:themeColor="text1"/>
          <w:w w:val="99"/>
          <w:sz w:val="24"/>
          <w:szCs w:val="24"/>
          <w:lang w:val="en-US" w:bidi="ar-SA"/>
          <w14:textFill>
            <w14:solidFill>
              <w14:schemeClr w14:val="tx1"/>
            </w14:solidFill>
          </w14:textFill>
        </w:rPr>
        <w:t>，排放速率为</w:t>
      </w:r>
      <w:r>
        <w:rPr>
          <w:rFonts w:ascii="Times New Roman" w:hAnsi="Times New Roman" w:cs="Times New Roman"/>
          <w:color w:val="000000" w:themeColor="text1"/>
          <w:w w:val="99"/>
          <w:sz w:val="24"/>
          <w:szCs w:val="24"/>
          <w:lang w:val="en-US" w:bidi="ar-SA"/>
          <w14:textFill>
            <w14:solidFill>
              <w14:schemeClr w14:val="tx1"/>
            </w14:solidFill>
          </w14:textFill>
        </w:rPr>
        <w:t>0.00023kg/h</w:t>
      </w:r>
      <w:r>
        <w:rPr>
          <w:rFonts w:hint="eastAsia" w:ascii="Times New Roman" w:hAnsi="Times New Roman" w:cs="Times New Roman"/>
          <w:color w:val="000000" w:themeColor="text1"/>
          <w:w w:val="99"/>
          <w:sz w:val="24"/>
          <w:szCs w:val="24"/>
          <w:lang w:val="en-US" w:bidi="ar-SA"/>
          <w14:textFill>
            <w14:solidFill>
              <w14:schemeClr w14:val="tx1"/>
            </w14:solidFill>
          </w14:textFill>
        </w:rPr>
        <w:t>，排放面源为混输阀组间，混输阀组间规格为8m×5m。</w:t>
      </w:r>
    </w:p>
    <w:p w14:paraId="4CD7DFF0">
      <w:pPr>
        <w:autoSpaceDE/>
        <w:autoSpaceDN/>
        <w:spacing w:line="440" w:lineRule="exact"/>
        <w:ind w:firstLine="494"/>
        <w:jc w:val="both"/>
        <w:rPr>
          <w:rFonts w:ascii="Times New Roman" w:hAnsi="Times New Roman" w:cs="Times New Roman"/>
          <w:color w:val="000000" w:themeColor="text1"/>
          <w:w w:val="99"/>
          <w:sz w:val="24"/>
          <w:szCs w:val="24"/>
          <w:lang w:val="en-US"/>
          <w14:textFill>
            <w14:solidFill>
              <w14:schemeClr w14:val="tx1"/>
            </w14:solidFill>
          </w14:textFill>
        </w:rPr>
      </w:pPr>
      <w:r>
        <w:rPr>
          <w:rFonts w:hint="eastAsia" w:ascii="Times New Roman" w:hAnsi="Times New Roman" w:cs="Times New Roman"/>
          <w:color w:val="000000" w:themeColor="text1"/>
          <w:w w:val="99"/>
          <w:sz w:val="24"/>
          <w:szCs w:val="24"/>
          <w:lang w:val="en-US" w:bidi="ar-SA"/>
          <w14:textFill>
            <w14:solidFill>
              <w14:schemeClr w14:val="tx1"/>
            </w14:solidFill>
          </w14:textFill>
        </w:rPr>
        <w:t>污染物面源参数调查清单见表</w:t>
      </w:r>
      <w:r>
        <w:rPr>
          <w:rFonts w:ascii="Times New Roman" w:hAnsi="Times New Roman" w:cs="Times New Roman"/>
          <w:color w:val="000000" w:themeColor="text1"/>
          <w:w w:val="99"/>
          <w:sz w:val="24"/>
          <w:szCs w:val="24"/>
          <w:lang w:val="en-US" w:bidi="ar-SA"/>
          <w14:textFill>
            <w14:solidFill>
              <w14:schemeClr w14:val="tx1"/>
            </w14:solidFill>
          </w14:textFill>
        </w:rPr>
        <w:t>2.5-1</w:t>
      </w:r>
      <w:r>
        <w:rPr>
          <w:rFonts w:hint="eastAsia" w:ascii="Times New Roman" w:hAnsi="Times New Roman" w:cs="Times New Roman"/>
          <w:color w:val="000000" w:themeColor="text1"/>
          <w:w w:val="99"/>
          <w:sz w:val="24"/>
          <w:szCs w:val="24"/>
          <w:lang w:val="en-US" w:bidi="ar-SA"/>
          <w14:textFill>
            <w14:solidFill>
              <w14:schemeClr w14:val="tx1"/>
            </w14:solidFill>
          </w14:textFill>
        </w:rPr>
        <w:t>。</w:t>
      </w:r>
    </w:p>
    <w:p w14:paraId="10B6E783">
      <w:pPr>
        <w:tabs>
          <w:tab w:val="left" w:pos="1571"/>
        </w:tabs>
        <w:autoSpaceDE/>
        <w:autoSpaceDN/>
        <w:spacing w:line="440" w:lineRule="exact"/>
        <w:ind w:left="440" w:leftChars="200"/>
        <w:jc w:val="both"/>
        <w:rPr>
          <w:rFonts w:ascii="Times New Roman" w:hAnsi="Times New Roman" w:cs="Times New Roman"/>
          <w:b/>
          <w:color w:val="000000" w:themeColor="text1"/>
          <w:w w:val="99"/>
          <w:sz w:val="24"/>
          <w:szCs w:val="24"/>
          <w:lang w:val="en-US"/>
          <w14:textFill>
            <w14:solidFill>
              <w14:schemeClr w14:val="tx1"/>
            </w14:solidFill>
          </w14:textFill>
        </w:rPr>
      </w:pPr>
      <w:r>
        <w:rPr>
          <w:rFonts w:hint="eastAsia" w:ascii="Times New Roman" w:hAnsi="Times New Roman" w:cs="Times New Roman"/>
          <w:b/>
          <w:color w:val="000000" w:themeColor="text1"/>
          <w:w w:val="99"/>
          <w:sz w:val="24"/>
          <w:szCs w:val="24"/>
          <w:lang w:val="en-US"/>
          <w14:textFill>
            <w14:solidFill>
              <w14:schemeClr w14:val="tx1"/>
            </w14:solidFill>
          </w14:textFill>
        </w:rPr>
        <w:t>表</w:t>
      </w:r>
      <w:r>
        <w:rPr>
          <w:rFonts w:ascii="Times New Roman" w:hAnsi="Times New Roman" w:cs="Times New Roman"/>
          <w:b/>
          <w:color w:val="000000" w:themeColor="text1"/>
          <w:w w:val="99"/>
          <w:sz w:val="24"/>
          <w:szCs w:val="24"/>
          <w:lang w:val="en-US"/>
          <w14:textFill>
            <w14:solidFill>
              <w14:schemeClr w14:val="tx1"/>
            </w14:solidFill>
          </w14:textFill>
        </w:rPr>
        <w:t xml:space="preserve">2.5-1    </w:t>
      </w:r>
      <w:r>
        <w:rPr>
          <w:rFonts w:hint="eastAsia" w:ascii="Times New Roman" w:hAnsi="Times New Roman" w:cs="Times New Roman"/>
          <w:b/>
          <w:color w:val="000000" w:themeColor="text1"/>
          <w:w w:val="99"/>
          <w:sz w:val="24"/>
          <w:szCs w:val="24"/>
          <w:lang w:val="en-US"/>
          <w14:textFill>
            <w14:solidFill>
              <w14:schemeClr w14:val="tx1"/>
            </w14:solidFill>
          </w14:textFill>
        </w:rPr>
        <w:t>污染物面源参数调查清单</w:t>
      </w:r>
    </w:p>
    <w:tbl>
      <w:tblPr>
        <w:tblStyle w:val="8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9"/>
        <w:gridCol w:w="851"/>
        <w:gridCol w:w="709"/>
        <w:gridCol w:w="708"/>
        <w:gridCol w:w="993"/>
        <w:gridCol w:w="708"/>
        <w:gridCol w:w="709"/>
        <w:gridCol w:w="808"/>
        <w:gridCol w:w="688"/>
        <w:gridCol w:w="759"/>
        <w:gridCol w:w="999"/>
      </w:tblGrid>
      <w:tr w14:paraId="115DE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0" w:hRule="atLeast"/>
        </w:trPr>
        <w:tc>
          <w:tcPr>
            <w:tcW w:w="1129" w:type="dxa"/>
            <w:vMerge w:val="restart"/>
            <w:vAlign w:val="center"/>
          </w:tcPr>
          <w:p w14:paraId="53DC4097">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lang w:val="en-US" w:bidi="ar-SA"/>
                <w14:textFill>
                  <w14:solidFill>
                    <w14:schemeClr w14:val="tx1"/>
                  </w14:solidFill>
                </w14:textFill>
              </w:rPr>
              <w:t>污染源名称</w:t>
            </w:r>
          </w:p>
        </w:tc>
        <w:tc>
          <w:tcPr>
            <w:tcW w:w="1560" w:type="dxa"/>
            <w:gridSpan w:val="2"/>
            <w:vAlign w:val="center"/>
          </w:tcPr>
          <w:p w14:paraId="43A6BCF1">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lang w:val="en-US" w:bidi="ar-SA"/>
                <w14:textFill>
                  <w14:solidFill>
                    <w14:schemeClr w14:val="tx1"/>
                  </w14:solidFill>
                </w14:textFill>
              </w:rPr>
              <w:t>面源起点坐标</w:t>
            </w:r>
          </w:p>
        </w:tc>
        <w:tc>
          <w:tcPr>
            <w:tcW w:w="708" w:type="dxa"/>
            <w:vMerge w:val="restart"/>
            <w:vAlign w:val="center"/>
          </w:tcPr>
          <w:p w14:paraId="6EAB4C74">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lang w:val="en-US" w:bidi="ar-SA"/>
                <w14:textFill>
                  <w14:solidFill>
                    <w14:schemeClr w14:val="tx1"/>
                  </w14:solidFill>
                </w14:textFill>
              </w:rPr>
              <w:t>海拔高度</w:t>
            </w:r>
            <w:r>
              <w:rPr>
                <w:rFonts w:ascii="Times New Roman" w:hAnsi="Times New Roman" w:cs="Times New Roman"/>
                <w:color w:val="000000" w:themeColor="text1"/>
                <w:w w:val="99"/>
                <w:kern w:val="2"/>
                <w:sz w:val="21"/>
                <w:szCs w:val="21"/>
                <w:lang w:val="en-US" w:bidi="ar-SA"/>
                <w14:textFill>
                  <w14:solidFill>
                    <w14:schemeClr w14:val="tx1"/>
                  </w14:solidFill>
                </w14:textFill>
              </w:rPr>
              <w:t>/m</w:t>
            </w:r>
          </w:p>
        </w:tc>
        <w:tc>
          <w:tcPr>
            <w:tcW w:w="993" w:type="dxa"/>
            <w:vMerge w:val="restart"/>
            <w:vAlign w:val="center"/>
          </w:tcPr>
          <w:p w14:paraId="3CA0F55A">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lang w:val="en-US" w:bidi="ar-SA"/>
                <w14:textFill>
                  <w14:solidFill>
                    <w14:schemeClr w14:val="tx1"/>
                  </w14:solidFill>
                </w14:textFill>
              </w:rPr>
              <w:t>与正北方向夹角</w:t>
            </w:r>
            <w:r>
              <w:rPr>
                <w:rFonts w:ascii="Times New Roman" w:hAnsi="Times New Roman" w:cs="Times New Roman"/>
                <w:color w:val="000000" w:themeColor="text1"/>
                <w:w w:val="99"/>
                <w:kern w:val="2"/>
                <w:sz w:val="21"/>
                <w:szCs w:val="21"/>
                <w:lang w:val="en-US" w:bidi="ar-SA"/>
                <w14:textFill>
                  <w14:solidFill>
                    <w14:schemeClr w14:val="tx1"/>
                  </w14:solidFill>
                </w14:textFill>
              </w:rPr>
              <w:t>/°</w:t>
            </w:r>
          </w:p>
        </w:tc>
        <w:tc>
          <w:tcPr>
            <w:tcW w:w="708" w:type="dxa"/>
            <w:vMerge w:val="restart"/>
            <w:vAlign w:val="center"/>
          </w:tcPr>
          <w:p w14:paraId="05F1573D">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lang w:val="en-US" w:bidi="ar-SA"/>
                <w14:textFill>
                  <w14:solidFill>
                    <w14:schemeClr w14:val="tx1"/>
                  </w14:solidFill>
                </w14:textFill>
              </w:rPr>
              <w:t>面源长度</w:t>
            </w:r>
            <w:r>
              <w:rPr>
                <w:rFonts w:ascii="Times New Roman" w:hAnsi="Times New Roman" w:cs="Times New Roman"/>
                <w:color w:val="000000" w:themeColor="text1"/>
                <w:w w:val="99"/>
                <w:kern w:val="2"/>
                <w:sz w:val="21"/>
                <w:szCs w:val="21"/>
                <w:lang w:val="en-US" w:bidi="ar-SA"/>
                <w14:textFill>
                  <w14:solidFill>
                    <w14:schemeClr w14:val="tx1"/>
                  </w14:solidFill>
                </w14:textFill>
              </w:rPr>
              <w:t>/m</w:t>
            </w:r>
          </w:p>
        </w:tc>
        <w:tc>
          <w:tcPr>
            <w:tcW w:w="709" w:type="dxa"/>
            <w:vMerge w:val="restart"/>
            <w:vAlign w:val="center"/>
          </w:tcPr>
          <w:p w14:paraId="16AC74F6">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lang w:val="en-US" w:bidi="ar-SA"/>
                <w14:textFill>
                  <w14:solidFill>
                    <w14:schemeClr w14:val="tx1"/>
                  </w14:solidFill>
                </w14:textFill>
              </w:rPr>
              <w:t>面源宽度</w:t>
            </w:r>
            <w:r>
              <w:rPr>
                <w:rFonts w:ascii="Times New Roman" w:hAnsi="Times New Roman" w:cs="Times New Roman"/>
                <w:color w:val="000000" w:themeColor="text1"/>
                <w:w w:val="99"/>
                <w:kern w:val="2"/>
                <w:sz w:val="21"/>
                <w:szCs w:val="21"/>
                <w:lang w:val="en-US" w:bidi="ar-SA"/>
                <w14:textFill>
                  <w14:solidFill>
                    <w14:schemeClr w14:val="tx1"/>
                  </w14:solidFill>
                </w14:textFill>
              </w:rPr>
              <w:t>/m</w:t>
            </w:r>
          </w:p>
        </w:tc>
        <w:tc>
          <w:tcPr>
            <w:tcW w:w="808" w:type="dxa"/>
            <w:vMerge w:val="restart"/>
            <w:vAlign w:val="center"/>
          </w:tcPr>
          <w:p w14:paraId="710FC4E0">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lang w:val="en-US" w:bidi="ar-SA"/>
                <w14:textFill>
                  <w14:solidFill>
                    <w14:schemeClr w14:val="tx1"/>
                  </w14:solidFill>
                </w14:textFill>
              </w:rPr>
              <w:t>面源有效排放高度</w:t>
            </w:r>
            <w:r>
              <w:rPr>
                <w:rFonts w:ascii="Times New Roman" w:hAnsi="Times New Roman" w:cs="Times New Roman"/>
                <w:color w:val="000000" w:themeColor="text1"/>
                <w:w w:val="99"/>
                <w:kern w:val="2"/>
                <w:sz w:val="21"/>
                <w:szCs w:val="21"/>
                <w:lang w:val="en-US" w:bidi="ar-SA"/>
                <w14:textFill>
                  <w14:solidFill>
                    <w14:schemeClr w14:val="tx1"/>
                  </w14:solidFill>
                </w14:textFill>
              </w:rPr>
              <w:t>/m</w:t>
            </w:r>
          </w:p>
        </w:tc>
        <w:tc>
          <w:tcPr>
            <w:tcW w:w="688" w:type="dxa"/>
            <w:vMerge w:val="restart"/>
            <w:vAlign w:val="center"/>
          </w:tcPr>
          <w:p w14:paraId="0500B878">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lang w:val="en-US" w:bidi="ar-SA"/>
                <w14:textFill>
                  <w14:solidFill>
                    <w14:schemeClr w14:val="tx1"/>
                  </w14:solidFill>
                </w14:textFill>
              </w:rPr>
              <w:t>年排放小时数</w:t>
            </w:r>
            <w:r>
              <w:rPr>
                <w:rFonts w:ascii="Times New Roman" w:hAnsi="Times New Roman" w:cs="Times New Roman"/>
                <w:color w:val="000000" w:themeColor="text1"/>
                <w:w w:val="99"/>
                <w:kern w:val="2"/>
                <w:sz w:val="21"/>
                <w:szCs w:val="21"/>
                <w:lang w:val="en-US" w:bidi="ar-SA"/>
                <w14:textFill>
                  <w14:solidFill>
                    <w14:schemeClr w14:val="tx1"/>
                  </w14:solidFill>
                </w14:textFill>
              </w:rPr>
              <w:t>/h</w:t>
            </w:r>
          </w:p>
        </w:tc>
        <w:tc>
          <w:tcPr>
            <w:tcW w:w="759" w:type="dxa"/>
            <w:vMerge w:val="restart"/>
            <w:vAlign w:val="center"/>
          </w:tcPr>
          <w:p w14:paraId="07B18713">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lang w:val="en-US" w:bidi="ar-SA"/>
                <w14:textFill>
                  <w14:solidFill>
                    <w14:schemeClr w14:val="tx1"/>
                  </w14:solidFill>
                </w14:textFill>
              </w:rPr>
              <w:t>排放工况</w:t>
            </w:r>
          </w:p>
        </w:tc>
        <w:tc>
          <w:tcPr>
            <w:tcW w:w="999" w:type="dxa"/>
            <w:vAlign w:val="center"/>
          </w:tcPr>
          <w:p w14:paraId="40978F36">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lang w:val="en-US" w:bidi="ar-SA"/>
                <w14:textFill>
                  <w14:solidFill>
                    <w14:schemeClr w14:val="tx1"/>
                  </w14:solidFill>
                </w14:textFill>
              </w:rPr>
              <w:t>污染物排放速率（</w:t>
            </w:r>
            <w:r>
              <w:rPr>
                <w:rFonts w:ascii="Times New Roman" w:hAnsi="Times New Roman" w:cs="Times New Roman"/>
                <w:color w:val="000000" w:themeColor="text1"/>
                <w:w w:val="99"/>
                <w:kern w:val="2"/>
                <w:sz w:val="21"/>
                <w:szCs w:val="21"/>
                <w:lang w:val="en-US" w:bidi="ar-SA"/>
                <w14:textFill>
                  <w14:solidFill>
                    <w14:schemeClr w14:val="tx1"/>
                  </w14:solidFill>
                </w14:textFill>
              </w:rPr>
              <w:t>kg/h</w:t>
            </w:r>
            <w:r>
              <w:rPr>
                <w:rFonts w:hint="eastAsia" w:ascii="Times New Roman" w:hAnsi="Times New Roman" w:cs="Times New Roman"/>
                <w:color w:val="000000" w:themeColor="text1"/>
                <w:w w:val="99"/>
                <w:kern w:val="2"/>
                <w:sz w:val="21"/>
                <w:szCs w:val="21"/>
                <w:lang w:val="en-US" w:bidi="ar-SA"/>
                <w14:textFill>
                  <w14:solidFill>
                    <w14:schemeClr w14:val="tx1"/>
                  </w14:solidFill>
                </w14:textFill>
              </w:rPr>
              <w:t>）</w:t>
            </w:r>
          </w:p>
        </w:tc>
      </w:tr>
      <w:tr w14:paraId="7D3FD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29" w:type="dxa"/>
            <w:vMerge w:val="continue"/>
            <w:vAlign w:val="center"/>
          </w:tcPr>
          <w:p w14:paraId="5A00EEF3">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p>
        </w:tc>
        <w:tc>
          <w:tcPr>
            <w:tcW w:w="851" w:type="dxa"/>
            <w:vAlign w:val="center"/>
          </w:tcPr>
          <w:p w14:paraId="70DBD264">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lang w:val="en-US" w:bidi="ar-SA"/>
                <w14:textFill>
                  <w14:solidFill>
                    <w14:schemeClr w14:val="tx1"/>
                  </w14:solidFill>
                </w14:textFill>
              </w:rPr>
              <w:t>经度</w:t>
            </w:r>
          </w:p>
        </w:tc>
        <w:tc>
          <w:tcPr>
            <w:tcW w:w="709" w:type="dxa"/>
            <w:vAlign w:val="center"/>
          </w:tcPr>
          <w:p w14:paraId="3C2338AB">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lang w:val="en-US" w:bidi="ar-SA"/>
                <w14:textFill>
                  <w14:solidFill>
                    <w14:schemeClr w14:val="tx1"/>
                  </w14:solidFill>
                </w14:textFill>
              </w:rPr>
              <w:t>纬度</w:t>
            </w:r>
          </w:p>
        </w:tc>
        <w:tc>
          <w:tcPr>
            <w:tcW w:w="708" w:type="dxa"/>
            <w:vMerge w:val="continue"/>
            <w:vAlign w:val="center"/>
          </w:tcPr>
          <w:p w14:paraId="2E41D928">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p>
        </w:tc>
        <w:tc>
          <w:tcPr>
            <w:tcW w:w="993" w:type="dxa"/>
            <w:vMerge w:val="continue"/>
            <w:vAlign w:val="center"/>
          </w:tcPr>
          <w:p w14:paraId="2F348FA0">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p>
        </w:tc>
        <w:tc>
          <w:tcPr>
            <w:tcW w:w="708" w:type="dxa"/>
            <w:vMerge w:val="continue"/>
            <w:vAlign w:val="center"/>
          </w:tcPr>
          <w:p w14:paraId="0E76BA87">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p>
        </w:tc>
        <w:tc>
          <w:tcPr>
            <w:tcW w:w="709" w:type="dxa"/>
            <w:vMerge w:val="continue"/>
            <w:vAlign w:val="center"/>
          </w:tcPr>
          <w:p w14:paraId="7BDE98DE">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p>
        </w:tc>
        <w:tc>
          <w:tcPr>
            <w:tcW w:w="808" w:type="dxa"/>
            <w:vMerge w:val="continue"/>
            <w:vAlign w:val="center"/>
          </w:tcPr>
          <w:p w14:paraId="259B75F6">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p>
        </w:tc>
        <w:tc>
          <w:tcPr>
            <w:tcW w:w="688" w:type="dxa"/>
            <w:vMerge w:val="continue"/>
            <w:vAlign w:val="center"/>
          </w:tcPr>
          <w:p w14:paraId="580914D7">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p>
        </w:tc>
        <w:tc>
          <w:tcPr>
            <w:tcW w:w="759" w:type="dxa"/>
            <w:vMerge w:val="continue"/>
            <w:vAlign w:val="center"/>
          </w:tcPr>
          <w:p w14:paraId="6F7157F7">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p>
        </w:tc>
        <w:tc>
          <w:tcPr>
            <w:tcW w:w="999" w:type="dxa"/>
            <w:vAlign w:val="center"/>
          </w:tcPr>
          <w:p w14:paraId="6A489318">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NMHC</w:t>
            </w:r>
          </w:p>
        </w:tc>
      </w:tr>
      <w:tr w14:paraId="7709C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29" w:type="dxa"/>
            <w:vAlign w:val="center"/>
          </w:tcPr>
          <w:p w14:paraId="160E4EAD">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hint="eastAsia" w:ascii="Times New Roman" w:hAnsi="Times New Roman" w:cs="Times New Roman"/>
                <w:color w:val="000000" w:themeColor="text1"/>
                <w:w w:val="99"/>
                <w:kern w:val="24"/>
                <w:sz w:val="21"/>
                <w:szCs w:val="21"/>
                <w:lang w:val="en-US" w:bidi="ar-SA"/>
                <w14:textFill>
                  <w14:solidFill>
                    <w14:schemeClr w14:val="tx1"/>
                  </w14:solidFill>
                </w14:textFill>
              </w:rPr>
              <w:t>混输阀组间</w:t>
            </w:r>
          </w:p>
        </w:tc>
        <w:tc>
          <w:tcPr>
            <w:tcW w:w="851" w:type="dxa"/>
            <w:vAlign w:val="center"/>
          </w:tcPr>
          <w:p w14:paraId="3DECF81F">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124.40461</w:t>
            </w:r>
          </w:p>
        </w:tc>
        <w:tc>
          <w:tcPr>
            <w:tcW w:w="709" w:type="dxa"/>
            <w:vAlign w:val="center"/>
          </w:tcPr>
          <w:p w14:paraId="46F79CB8">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46.31708</w:t>
            </w:r>
          </w:p>
        </w:tc>
        <w:tc>
          <w:tcPr>
            <w:tcW w:w="708" w:type="dxa"/>
            <w:vAlign w:val="center"/>
          </w:tcPr>
          <w:p w14:paraId="2444286B">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139</w:t>
            </w:r>
          </w:p>
        </w:tc>
        <w:tc>
          <w:tcPr>
            <w:tcW w:w="993" w:type="dxa"/>
            <w:vAlign w:val="center"/>
          </w:tcPr>
          <w:p w14:paraId="65CF6816">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0</w:t>
            </w:r>
          </w:p>
        </w:tc>
        <w:tc>
          <w:tcPr>
            <w:tcW w:w="708" w:type="dxa"/>
            <w:vAlign w:val="center"/>
          </w:tcPr>
          <w:p w14:paraId="60D8FE50">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8</w:t>
            </w:r>
          </w:p>
        </w:tc>
        <w:tc>
          <w:tcPr>
            <w:tcW w:w="709" w:type="dxa"/>
            <w:vAlign w:val="center"/>
          </w:tcPr>
          <w:p w14:paraId="7FA13998">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5</w:t>
            </w:r>
          </w:p>
        </w:tc>
        <w:tc>
          <w:tcPr>
            <w:tcW w:w="808" w:type="dxa"/>
            <w:vAlign w:val="center"/>
          </w:tcPr>
          <w:p w14:paraId="672B8A0E">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3</w:t>
            </w:r>
          </w:p>
        </w:tc>
        <w:tc>
          <w:tcPr>
            <w:tcW w:w="688" w:type="dxa"/>
            <w:vAlign w:val="center"/>
          </w:tcPr>
          <w:p w14:paraId="0C5C3573">
            <w:pPr>
              <w:widowControl/>
              <w:autoSpaceDE/>
              <w:autoSpaceDN/>
              <w:adjustRightInd w:val="0"/>
              <w:snapToGrid w:val="0"/>
              <w:spacing w:line="360" w:lineRule="exact"/>
              <w:jc w:val="center"/>
              <w:rPr>
                <w:rFonts w:ascii="Times New Roman" w:hAnsi="Times New Roman" w:cs="Times New Roman"/>
                <w:bCs/>
                <w:color w:val="000000" w:themeColor="text1"/>
                <w:w w:val="99"/>
                <w:kern w:val="2"/>
                <w:sz w:val="21"/>
                <w:szCs w:val="21"/>
                <w:lang w:val="en-US" w:bidi="ar-SA"/>
                <w14:textFill>
                  <w14:solidFill>
                    <w14:schemeClr w14:val="tx1"/>
                  </w14:solidFill>
                </w14:textFill>
              </w:rPr>
            </w:pPr>
            <w:r>
              <w:rPr>
                <w:rFonts w:ascii="Times New Roman" w:hAnsi="Times New Roman" w:cs="Times New Roman"/>
                <w:bCs/>
                <w:color w:val="000000" w:themeColor="text1"/>
                <w:w w:val="99"/>
                <w:kern w:val="2"/>
                <w:sz w:val="21"/>
                <w:szCs w:val="21"/>
                <w:lang w:val="en-US" w:bidi="ar-SA"/>
                <w14:textFill>
                  <w14:solidFill>
                    <w14:schemeClr w14:val="tx1"/>
                  </w14:solidFill>
                </w14:textFill>
              </w:rPr>
              <w:t>8760</w:t>
            </w:r>
          </w:p>
        </w:tc>
        <w:tc>
          <w:tcPr>
            <w:tcW w:w="759" w:type="dxa"/>
            <w:vAlign w:val="center"/>
          </w:tcPr>
          <w:p w14:paraId="487B21A4">
            <w:pPr>
              <w:widowControl/>
              <w:autoSpaceDE/>
              <w:autoSpaceDN/>
              <w:adjustRightInd w:val="0"/>
              <w:snapToGrid w:val="0"/>
              <w:spacing w:line="360" w:lineRule="exact"/>
              <w:jc w:val="center"/>
              <w:rPr>
                <w:rFonts w:ascii="Times New Roman" w:hAnsi="Times New Roman" w:cs="Times New Roman"/>
                <w:bCs/>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bCs/>
                <w:color w:val="000000" w:themeColor="text1"/>
                <w:w w:val="99"/>
                <w:kern w:val="2"/>
                <w:sz w:val="21"/>
                <w:szCs w:val="21"/>
                <w:lang w:val="en-US" w:bidi="ar-SA"/>
                <w14:textFill>
                  <w14:solidFill>
                    <w14:schemeClr w14:val="tx1"/>
                  </w14:solidFill>
                </w14:textFill>
              </w:rPr>
              <w:t>正常排放</w:t>
            </w:r>
          </w:p>
        </w:tc>
        <w:tc>
          <w:tcPr>
            <w:tcW w:w="999" w:type="dxa"/>
            <w:vAlign w:val="center"/>
          </w:tcPr>
          <w:p w14:paraId="36C67881">
            <w:pPr>
              <w:widowControl/>
              <w:autoSpaceDE/>
              <w:autoSpaceDN/>
              <w:adjustRightInd w:val="0"/>
              <w:snapToGrid w:val="0"/>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bCs/>
                <w:color w:val="000000" w:themeColor="text1"/>
                <w:w w:val="99"/>
                <w:kern w:val="2"/>
                <w:sz w:val="21"/>
                <w:szCs w:val="21"/>
                <w:lang w:val="en-US" w:bidi="ar-SA"/>
                <w14:textFill>
                  <w14:solidFill>
                    <w14:schemeClr w14:val="tx1"/>
                  </w14:solidFill>
                </w14:textFill>
              </w:rPr>
              <w:t>0.00023</w:t>
            </w:r>
          </w:p>
        </w:tc>
      </w:tr>
    </w:tbl>
    <w:p w14:paraId="56D73090">
      <w:pPr>
        <w:tabs>
          <w:tab w:val="left" w:pos="1571"/>
        </w:tabs>
        <w:autoSpaceDE/>
        <w:autoSpaceDN/>
        <w:spacing w:line="440" w:lineRule="exact"/>
        <w:ind w:firstLine="474" w:firstLineChars="200"/>
        <w:jc w:val="both"/>
        <w:rPr>
          <w:rFonts w:ascii="Times New Roman" w:hAnsi="Times New Roman" w:cs="Times New Roman"/>
          <w:color w:val="000000" w:themeColor="text1"/>
          <w:w w:val="99"/>
          <w:sz w:val="24"/>
          <w:szCs w:val="24"/>
          <w:lang w:val="en-US"/>
          <w14:textFill>
            <w14:solidFill>
              <w14:schemeClr w14:val="tx1"/>
            </w14:solidFill>
          </w14:textFill>
        </w:rPr>
      </w:pPr>
      <w:r>
        <w:rPr>
          <w:rFonts w:hint="eastAsia" w:ascii="Times New Roman" w:hAnsi="Times New Roman" w:cs="Times New Roman"/>
          <w:color w:val="000000" w:themeColor="text1"/>
          <w:w w:val="99"/>
          <w:sz w:val="24"/>
          <w:szCs w:val="24"/>
          <w:lang w:val="en-US"/>
          <w14:textFill>
            <w14:solidFill>
              <w14:schemeClr w14:val="tx1"/>
            </w14:solidFill>
          </w14:textFill>
        </w:rPr>
        <w:t>根据《环境影响评价技术导则</w:t>
      </w:r>
      <w:r>
        <w:rPr>
          <w:rFonts w:ascii="Times New Roman" w:hAnsi="Times New Roman" w:cs="Times New Roman"/>
          <w:color w:val="000000" w:themeColor="text1"/>
          <w:w w:val="99"/>
          <w:sz w:val="24"/>
          <w:szCs w:val="24"/>
          <w:lang w:val="en-US"/>
          <w14:textFill>
            <w14:solidFill>
              <w14:schemeClr w14:val="tx1"/>
            </w14:solidFill>
          </w14:textFill>
        </w:rPr>
        <w:t xml:space="preserve"> </w:t>
      </w:r>
      <w:r>
        <w:rPr>
          <w:rFonts w:hint="eastAsia" w:ascii="Times New Roman" w:hAnsi="Times New Roman" w:cs="Times New Roman"/>
          <w:color w:val="000000" w:themeColor="text1"/>
          <w:w w:val="99"/>
          <w:sz w:val="24"/>
          <w:szCs w:val="24"/>
          <w:lang w:val="en-US"/>
          <w14:textFill>
            <w14:solidFill>
              <w14:schemeClr w14:val="tx1"/>
            </w14:solidFill>
          </w14:textFill>
        </w:rPr>
        <w:t>大气环境》（</w:t>
      </w:r>
      <w:r>
        <w:rPr>
          <w:rFonts w:ascii="Times New Roman" w:hAnsi="Times New Roman" w:cs="Times New Roman"/>
          <w:color w:val="000000" w:themeColor="text1"/>
          <w:w w:val="99"/>
          <w:sz w:val="24"/>
          <w:szCs w:val="24"/>
          <w:lang w:val="en-US"/>
          <w14:textFill>
            <w14:solidFill>
              <w14:schemeClr w14:val="tx1"/>
            </w14:solidFill>
          </w14:textFill>
        </w:rPr>
        <w:t>HJ2.2-2018</w:t>
      </w:r>
      <w:r>
        <w:rPr>
          <w:rFonts w:hint="eastAsia" w:ascii="Times New Roman" w:hAnsi="Times New Roman" w:cs="Times New Roman"/>
          <w:color w:val="000000" w:themeColor="text1"/>
          <w:w w:val="99"/>
          <w:sz w:val="24"/>
          <w:szCs w:val="24"/>
          <w:lang w:val="en-US"/>
          <w14:textFill>
            <w14:solidFill>
              <w14:schemeClr w14:val="tx1"/>
            </w14:solidFill>
          </w14:textFill>
        </w:rPr>
        <w:t>）规定，采用估算模式计算本项目正常排放情况下主要污染物的最大影响程度和最远影响范围，按照评价工作分级判据进行分级。</w:t>
      </w:r>
    </w:p>
    <w:p w14:paraId="186EF3F5">
      <w:pPr>
        <w:tabs>
          <w:tab w:val="left" w:pos="1571"/>
        </w:tabs>
        <w:autoSpaceDE/>
        <w:autoSpaceDN/>
        <w:spacing w:line="440" w:lineRule="exact"/>
        <w:ind w:firstLine="474" w:firstLineChars="200"/>
        <w:jc w:val="both"/>
        <w:rPr>
          <w:rFonts w:ascii="Times New Roman" w:hAnsi="Times New Roman" w:cs="Times New Roman"/>
          <w:color w:val="000000" w:themeColor="text1"/>
          <w:w w:val="99"/>
          <w:sz w:val="24"/>
          <w:szCs w:val="24"/>
          <w14:textFill>
            <w14:solidFill>
              <w14:schemeClr w14:val="tx1"/>
            </w14:solidFill>
          </w14:textFill>
        </w:rPr>
      </w:pPr>
      <w:r>
        <w:rPr>
          <w:rFonts w:hint="eastAsia" w:ascii="Times New Roman" w:hAnsi="Times New Roman" w:cs="Times New Roman"/>
          <w:color w:val="000000" w:themeColor="text1"/>
          <w:w w:val="99"/>
          <w:sz w:val="24"/>
          <w:szCs w:val="24"/>
          <w14:textFill>
            <w14:solidFill>
              <w14:schemeClr w14:val="tx1"/>
            </w14:solidFill>
          </w14:textFill>
        </w:rPr>
        <w:t>（</w:t>
      </w:r>
      <w:r>
        <w:rPr>
          <w:rFonts w:ascii="Times New Roman" w:hAnsi="Times New Roman" w:cs="Times New Roman"/>
          <w:color w:val="000000" w:themeColor="text1"/>
          <w:w w:val="99"/>
          <w:sz w:val="24"/>
          <w:szCs w:val="24"/>
          <w:lang w:val="en-US"/>
          <w14:textFill>
            <w14:solidFill>
              <w14:schemeClr w14:val="tx1"/>
            </w14:solidFill>
          </w14:textFill>
        </w:rPr>
        <w:t>1</w:t>
      </w:r>
      <w:r>
        <w:rPr>
          <w:rFonts w:hint="eastAsia" w:ascii="Times New Roman" w:hAnsi="Times New Roman" w:cs="Times New Roman"/>
          <w:color w:val="000000" w:themeColor="text1"/>
          <w:w w:val="99"/>
          <w:sz w:val="24"/>
          <w:szCs w:val="24"/>
          <w14:textFill>
            <w14:solidFill>
              <w14:schemeClr w14:val="tx1"/>
            </w14:solidFill>
          </w14:textFill>
        </w:rPr>
        <w:t>）根据《环境影响评价技术导则</w:t>
      </w:r>
      <w:r>
        <w:rPr>
          <w:rFonts w:ascii="Times New Roman" w:hAnsi="Times New Roman" w:cs="Times New Roman"/>
          <w:color w:val="000000" w:themeColor="text1"/>
          <w:w w:val="99"/>
          <w:sz w:val="24"/>
          <w:szCs w:val="24"/>
          <w14:textFill>
            <w14:solidFill>
              <w14:schemeClr w14:val="tx1"/>
            </w14:solidFill>
          </w14:textFill>
        </w:rPr>
        <w:t xml:space="preserve"> </w:t>
      </w:r>
      <w:r>
        <w:rPr>
          <w:rFonts w:hint="eastAsia" w:ascii="Times New Roman" w:hAnsi="Times New Roman" w:cs="Times New Roman"/>
          <w:color w:val="000000" w:themeColor="text1"/>
          <w:w w:val="99"/>
          <w:sz w:val="24"/>
          <w:szCs w:val="24"/>
          <w14:textFill>
            <w14:solidFill>
              <w14:schemeClr w14:val="tx1"/>
            </w14:solidFill>
          </w14:textFill>
        </w:rPr>
        <w:t>大气环境》</w:t>
      </w:r>
      <w:r>
        <w:rPr>
          <w:rFonts w:ascii="Times New Roman" w:hAnsi="Times New Roman" w:cs="Times New Roman"/>
          <w:color w:val="000000" w:themeColor="text1"/>
          <w:w w:val="99"/>
          <w:sz w:val="24"/>
          <w:szCs w:val="24"/>
          <w14:textFill>
            <w14:solidFill>
              <w14:schemeClr w14:val="tx1"/>
            </w14:solidFill>
          </w14:textFill>
        </w:rPr>
        <w:t>(HJ2.2-2018)</w:t>
      </w:r>
      <w:r>
        <w:rPr>
          <w:rFonts w:hint="eastAsia" w:ascii="Times New Roman" w:hAnsi="Times New Roman" w:cs="Times New Roman"/>
          <w:color w:val="000000" w:themeColor="text1"/>
          <w:w w:val="99"/>
          <w:sz w:val="24"/>
          <w:szCs w:val="24"/>
          <w14:textFill>
            <w14:solidFill>
              <w14:schemeClr w14:val="tx1"/>
            </w14:solidFill>
          </w14:textFill>
        </w:rPr>
        <w:t>附录</w:t>
      </w:r>
      <w:r>
        <w:rPr>
          <w:rFonts w:ascii="Times New Roman" w:hAnsi="Times New Roman" w:cs="Times New Roman"/>
          <w:color w:val="000000" w:themeColor="text1"/>
          <w:w w:val="99"/>
          <w:sz w:val="24"/>
          <w:szCs w:val="24"/>
          <w14:textFill>
            <w14:solidFill>
              <w14:schemeClr w14:val="tx1"/>
            </w14:solidFill>
          </w14:textFill>
        </w:rPr>
        <w:t>B</w:t>
      </w:r>
      <w:r>
        <w:rPr>
          <w:rFonts w:hint="eastAsia" w:ascii="Times New Roman" w:hAnsi="Times New Roman" w:cs="Times New Roman"/>
          <w:color w:val="000000" w:themeColor="text1"/>
          <w:w w:val="99"/>
          <w:sz w:val="24"/>
          <w:szCs w:val="24"/>
          <w14:textFill>
            <w14:solidFill>
              <w14:schemeClr w14:val="tx1"/>
            </w14:solidFill>
          </w14:textFill>
        </w:rPr>
        <w:t>的</w:t>
      </w:r>
      <w:r>
        <w:rPr>
          <w:rFonts w:ascii="Times New Roman" w:hAnsi="Times New Roman" w:cs="Times New Roman"/>
          <w:color w:val="000000" w:themeColor="text1"/>
          <w:w w:val="99"/>
          <w:sz w:val="24"/>
          <w:szCs w:val="24"/>
          <w14:textFill>
            <w14:solidFill>
              <w14:schemeClr w14:val="tx1"/>
            </w14:solidFill>
          </w14:textFill>
        </w:rPr>
        <w:t xml:space="preserve"> B.6.1</w:t>
      </w:r>
      <w:r>
        <w:rPr>
          <w:rFonts w:hint="eastAsia" w:ascii="Times New Roman" w:hAnsi="Times New Roman" w:cs="Times New Roman"/>
          <w:color w:val="000000" w:themeColor="text1"/>
          <w:w w:val="99"/>
          <w:sz w:val="24"/>
          <w:szCs w:val="24"/>
          <w14:textFill>
            <w14:solidFill>
              <w14:schemeClr w14:val="tx1"/>
            </w14:solidFill>
          </w14:textFill>
        </w:rPr>
        <w:t>城市</w:t>
      </w:r>
      <w:r>
        <w:rPr>
          <w:rFonts w:ascii="Times New Roman" w:hAnsi="Times New Roman" w:cs="Times New Roman"/>
          <w:color w:val="000000" w:themeColor="text1"/>
          <w:w w:val="99"/>
          <w:sz w:val="24"/>
          <w:szCs w:val="24"/>
          <w14:textFill>
            <w14:solidFill>
              <w14:schemeClr w14:val="tx1"/>
            </w14:solidFill>
          </w14:textFill>
        </w:rPr>
        <w:t>/</w:t>
      </w:r>
      <w:r>
        <w:rPr>
          <w:rFonts w:hint="eastAsia" w:ascii="Times New Roman" w:hAnsi="Times New Roman" w:cs="Times New Roman"/>
          <w:color w:val="000000" w:themeColor="text1"/>
          <w:w w:val="99"/>
          <w:sz w:val="24"/>
          <w:szCs w:val="24"/>
          <w14:textFill>
            <w14:solidFill>
              <w14:schemeClr w14:val="tx1"/>
            </w14:solidFill>
          </w14:textFill>
        </w:rPr>
        <w:t>农村选项，</w:t>
      </w:r>
      <w:r>
        <w:rPr>
          <w:rFonts w:ascii="Times New Roman" w:hAnsi="Times New Roman" w:cs="Times New Roman"/>
          <w:color w:val="000000" w:themeColor="text1"/>
          <w:w w:val="99"/>
          <w:sz w:val="24"/>
          <w:szCs w:val="24"/>
          <w14:textFill>
            <w14:solidFill>
              <w14:schemeClr w14:val="tx1"/>
            </w14:solidFill>
          </w14:textFill>
        </w:rPr>
        <w:t>“</w:t>
      </w:r>
      <w:r>
        <w:rPr>
          <w:rFonts w:hint="eastAsia" w:ascii="Times New Roman" w:hAnsi="Times New Roman" w:cs="Times New Roman"/>
          <w:color w:val="000000" w:themeColor="text1"/>
          <w:w w:val="99"/>
          <w:sz w:val="24"/>
          <w:szCs w:val="24"/>
          <w14:textFill>
            <w14:solidFill>
              <w14:schemeClr w14:val="tx1"/>
            </w14:solidFill>
          </w14:textFill>
        </w:rPr>
        <w:t>当项目周边</w:t>
      </w:r>
      <w:r>
        <w:rPr>
          <w:rFonts w:ascii="Times New Roman" w:hAnsi="Times New Roman" w:cs="Times New Roman"/>
          <w:color w:val="000000" w:themeColor="text1"/>
          <w:w w:val="99"/>
          <w:sz w:val="24"/>
          <w:szCs w:val="24"/>
          <w14:textFill>
            <w14:solidFill>
              <w14:schemeClr w14:val="tx1"/>
            </w14:solidFill>
          </w14:textFill>
        </w:rPr>
        <w:t>3km</w:t>
      </w:r>
      <w:r>
        <w:rPr>
          <w:rFonts w:hint="eastAsia" w:ascii="Times New Roman" w:hAnsi="Times New Roman" w:cs="Times New Roman"/>
          <w:color w:val="000000" w:themeColor="text1"/>
          <w:w w:val="99"/>
          <w:sz w:val="24"/>
          <w:szCs w:val="24"/>
          <w14:textFill>
            <w14:solidFill>
              <w14:schemeClr w14:val="tx1"/>
            </w14:solidFill>
          </w14:textFill>
        </w:rPr>
        <w:t>半径范围内一半以上属于城市建成区或者规划区时选择城市，否则选择农村</w:t>
      </w:r>
      <w:r>
        <w:rPr>
          <w:rFonts w:ascii="Times New Roman" w:hAnsi="Times New Roman" w:cs="Times New Roman"/>
          <w:color w:val="000000" w:themeColor="text1"/>
          <w:w w:val="99"/>
          <w:sz w:val="24"/>
          <w:szCs w:val="24"/>
          <w14:textFill>
            <w14:solidFill>
              <w14:schemeClr w14:val="tx1"/>
            </w14:solidFill>
          </w14:textFill>
        </w:rPr>
        <w:t>”</w:t>
      </w:r>
      <w:r>
        <w:rPr>
          <w:rFonts w:hint="eastAsia" w:ascii="Times New Roman" w:hAnsi="Times New Roman" w:cs="Times New Roman"/>
          <w:color w:val="000000" w:themeColor="text1"/>
          <w:w w:val="99"/>
          <w:sz w:val="24"/>
          <w:szCs w:val="24"/>
          <w14:textFill>
            <w14:solidFill>
              <w14:schemeClr w14:val="tx1"/>
            </w14:solidFill>
          </w14:textFill>
        </w:rPr>
        <w:t>。本项目周边</w:t>
      </w:r>
      <w:r>
        <w:rPr>
          <w:rFonts w:ascii="Times New Roman" w:hAnsi="Times New Roman" w:cs="Times New Roman"/>
          <w:color w:val="000000" w:themeColor="text1"/>
          <w:w w:val="99"/>
          <w:sz w:val="24"/>
          <w:szCs w:val="24"/>
          <w14:textFill>
            <w14:solidFill>
              <w14:schemeClr w14:val="tx1"/>
            </w14:solidFill>
          </w14:textFill>
        </w:rPr>
        <w:t>3km</w:t>
      </w:r>
      <w:r>
        <w:rPr>
          <w:rFonts w:hint="eastAsia" w:ascii="Times New Roman" w:hAnsi="Times New Roman" w:cs="Times New Roman"/>
          <w:color w:val="000000" w:themeColor="text1"/>
          <w:w w:val="99"/>
          <w:sz w:val="24"/>
          <w:szCs w:val="24"/>
          <w14:textFill>
            <w14:solidFill>
              <w14:schemeClr w14:val="tx1"/>
            </w14:solidFill>
          </w14:textFill>
        </w:rPr>
        <w:t>半径范围内为农村，故选取农村选项。</w:t>
      </w:r>
    </w:p>
    <w:p w14:paraId="7391CA34">
      <w:pPr>
        <w:tabs>
          <w:tab w:val="left" w:pos="1571"/>
        </w:tabs>
        <w:autoSpaceDE/>
        <w:autoSpaceDN/>
        <w:spacing w:line="440" w:lineRule="exact"/>
        <w:ind w:firstLine="474" w:firstLineChars="200"/>
        <w:jc w:val="both"/>
        <w:rPr>
          <w:rFonts w:ascii="Times New Roman" w:hAnsi="Times New Roman" w:cs="Times New Roman"/>
          <w:color w:val="000000" w:themeColor="text1"/>
          <w:w w:val="99"/>
          <w:sz w:val="24"/>
          <w:szCs w:val="24"/>
          <w14:textFill>
            <w14:solidFill>
              <w14:schemeClr w14:val="tx1"/>
            </w14:solidFill>
          </w14:textFill>
        </w:rPr>
      </w:pPr>
      <w:r>
        <w:rPr>
          <w:rFonts w:hint="eastAsia" w:ascii="Times New Roman" w:hAnsi="Times New Roman" w:cs="Times New Roman"/>
          <w:color w:val="000000" w:themeColor="text1"/>
          <w:w w:val="99"/>
          <w:sz w:val="24"/>
          <w:szCs w:val="24"/>
          <w14:textFill>
            <w14:solidFill>
              <w14:schemeClr w14:val="tx1"/>
            </w14:solidFill>
          </w14:textFill>
        </w:rPr>
        <w:t>（</w:t>
      </w:r>
      <w:r>
        <w:rPr>
          <w:rFonts w:ascii="Times New Roman" w:hAnsi="Times New Roman" w:cs="Times New Roman"/>
          <w:color w:val="000000" w:themeColor="text1"/>
          <w:w w:val="99"/>
          <w:sz w:val="24"/>
          <w:szCs w:val="24"/>
          <w:lang w:val="en-US"/>
          <w14:textFill>
            <w14:solidFill>
              <w14:schemeClr w14:val="tx1"/>
            </w14:solidFill>
          </w14:textFill>
        </w:rPr>
        <w:t>2</w:t>
      </w:r>
      <w:r>
        <w:rPr>
          <w:rFonts w:hint="eastAsia" w:ascii="Times New Roman" w:hAnsi="Times New Roman" w:cs="Times New Roman"/>
          <w:color w:val="000000" w:themeColor="text1"/>
          <w:w w:val="99"/>
          <w:sz w:val="24"/>
          <w:szCs w:val="24"/>
          <w14:textFill>
            <w14:solidFill>
              <w14:schemeClr w14:val="tx1"/>
            </w14:solidFill>
          </w14:textFill>
        </w:rPr>
        <w:t>）环境温度取值来源于大庆市气象站二十年气象数据统计。</w:t>
      </w:r>
    </w:p>
    <w:p w14:paraId="3B0722AE">
      <w:pPr>
        <w:tabs>
          <w:tab w:val="left" w:pos="1571"/>
        </w:tabs>
        <w:autoSpaceDE/>
        <w:autoSpaceDN/>
        <w:spacing w:line="440" w:lineRule="exact"/>
        <w:ind w:firstLine="474" w:firstLineChars="200"/>
        <w:jc w:val="both"/>
        <w:rPr>
          <w:rFonts w:ascii="Times New Roman" w:hAnsi="Times New Roman" w:cs="Times New Roman"/>
          <w:color w:val="000000" w:themeColor="text1"/>
          <w:w w:val="99"/>
          <w:sz w:val="24"/>
          <w:szCs w:val="24"/>
          <w14:textFill>
            <w14:solidFill>
              <w14:schemeClr w14:val="tx1"/>
            </w14:solidFill>
          </w14:textFill>
        </w:rPr>
      </w:pPr>
      <w:r>
        <w:rPr>
          <w:rFonts w:hint="eastAsia" w:ascii="Times New Roman" w:hAnsi="Times New Roman" w:cs="Times New Roman"/>
          <w:color w:val="000000" w:themeColor="text1"/>
          <w:w w:val="99"/>
          <w:sz w:val="24"/>
          <w:szCs w:val="24"/>
          <w14:textFill>
            <w14:solidFill>
              <w14:schemeClr w14:val="tx1"/>
            </w14:solidFill>
          </w14:textFill>
        </w:rPr>
        <w:t>（</w:t>
      </w:r>
      <w:r>
        <w:rPr>
          <w:rFonts w:ascii="Times New Roman" w:hAnsi="Times New Roman" w:cs="Times New Roman"/>
          <w:color w:val="000000" w:themeColor="text1"/>
          <w:w w:val="99"/>
          <w:sz w:val="24"/>
          <w:szCs w:val="24"/>
          <w14:textFill>
            <w14:solidFill>
              <w14:schemeClr w14:val="tx1"/>
            </w14:solidFill>
          </w14:textFill>
        </w:rPr>
        <w:t>3</w:t>
      </w:r>
      <w:r>
        <w:rPr>
          <w:rFonts w:hint="eastAsia" w:ascii="Times New Roman" w:hAnsi="Times New Roman" w:cs="Times New Roman"/>
          <w:color w:val="000000" w:themeColor="text1"/>
          <w:w w:val="99"/>
          <w:sz w:val="24"/>
          <w:szCs w:val="24"/>
          <w14:textFill>
            <w14:solidFill>
              <w14:schemeClr w14:val="tx1"/>
            </w14:solidFill>
          </w14:textFill>
        </w:rPr>
        <w:t>）拟建项目位于耕地内，本次评价的土地利用利类型选取农田。</w:t>
      </w:r>
    </w:p>
    <w:p w14:paraId="1BCA355F">
      <w:pPr>
        <w:tabs>
          <w:tab w:val="left" w:pos="1571"/>
        </w:tabs>
        <w:autoSpaceDE/>
        <w:autoSpaceDN/>
        <w:spacing w:line="440" w:lineRule="exact"/>
        <w:ind w:firstLine="474" w:firstLineChars="200"/>
        <w:jc w:val="both"/>
        <w:rPr>
          <w:rFonts w:ascii="Times New Roman" w:hAnsi="Times New Roman" w:cs="Times New Roman"/>
          <w:color w:val="000000" w:themeColor="text1"/>
          <w:w w:val="99"/>
          <w:sz w:val="24"/>
          <w:szCs w:val="24"/>
          <w14:textFill>
            <w14:solidFill>
              <w14:schemeClr w14:val="tx1"/>
            </w14:solidFill>
          </w14:textFill>
        </w:rPr>
      </w:pPr>
      <w:r>
        <w:rPr>
          <w:rFonts w:hint="eastAsia" w:ascii="Times New Roman" w:hAnsi="Times New Roman" w:cs="Times New Roman"/>
          <w:color w:val="000000" w:themeColor="text1"/>
          <w:w w:val="99"/>
          <w:sz w:val="24"/>
          <w:szCs w:val="24"/>
          <w14:textFill>
            <w14:solidFill>
              <w14:schemeClr w14:val="tx1"/>
            </w14:solidFill>
          </w14:textFill>
        </w:rPr>
        <w:t>（</w:t>
      </w:r>
      <w:r>
        <w:rPr>
          <w:rFonts w:ascii="Times New Roman" w:hAnsi="Times New Roman" w:cs="Times New Roman"/>
          <w:color w:val="000000" w:themeColor="text1"/>
          <w:w w:val="99"/>
          <w:sz w:val="24"/>
          <w:szCs w:val="24"/>
          <w14:textFill>
            <w14:solidFill>
              <w14:schemeClr w14:val="tx1"/>
            </w14:solidFill>
          </w14:textFill>
        </w:rPr>
        <w:t>4</w:t>
      </w:r>
      <w:r>
        <w:rPr>
          <w:rFonts w:hint="eastAsia" w:ascii="Times New Roman" w:hAnsi="Times New Roman" w:cs="Times New Roman"/>
          <w:color w:val="000000" w:themeColor="text1"/>
          <w:w w:val="99"/>
          <w:sz w:val="24"/>
          <w:szCs w:val="24"/>
          <w14:textFill>
            <w14:solidFill>
              <w14:schemeClr w14:val="tx1"/>
            </w14:solidFill>
          </w14:textFill>
        </w:rPr>
        <w:t>）本地区属于中等湿度气候。根据</w:t>
      </w:r>
      <w:r>
        <w:rPr>
          <w:rFonts w:ascii="Times New Roman" w:hAnsi="Times New Roman" w:cs="Times New Roman"/>
          <w:color w:val="000000" w:themeColor="text1"/>
          <w:w w:val="99"/>
          <w:sz w:val="24"/>
          <w:szCs w:val="24"/>
          <w14:textFill>
            <w14:solidFill>
              <w14:schemeClr w14:val="tx1"/>
            </w14:solidFill>
          </w14:textFill>
        </w:rPr>
        <w:t>EIA2018</w:t>
      </w:r>
      <w:r>
        <w:rPr>
          <w:rFonts w:hint="eastAsia" w:ascii="Times New Roman" w:hAnsi="Times New Roman" w:cs="Times New Roman"/>
          <w:color w:val="000000" w:themeColor="text1"/>
          <w:w w:val="99"/>
          <w:sz w:val="24"/>
          <w:szCs w:val="24"/>
          <w14:textFill>
            <w14:solidFill>
              <w14:schemeClr w14:val="tx1"/>
            </w14:solidFill>
          </w14:textFill>
        </w:rPr>
        <w:t>大气预测软件的</w:t>
      </w:r>
      <w:r>
        <w:rPr>
          <w:rFonts w:ascii="Times New Roman" w:hAnsi="Times New Roman" w:cs="Times New Roman"/>
          <w:color w:val="000000" w:themeColor="text1"/>
          <w:w w:val="99"/>
          <w:sz w:val="24"/>
          <w:szCs w:val="24"/>
          <w14:textFill>
            <w14:solidFill>
              <w14:schemeClr w14:val="tx1"/>
            </w14:solidFill>
          </w14:textFill>
        </w:rPr>
        <w:t>DEM</w:t>
      </w:r>
      <w:r>
        <w:rPr>
          <w:rFonts w:hint="eastAsia" w:ascii="Times New Roman" w:hAnsi="Times New Roman" w:cs="Times New Roman"/>
          <w:color w:val="000000" w:themeColor="text1"/>
          <w:w w:val="99"/>
          <w:sz w:val="24"/>
          <w:szCs w:val="24"/>
          <w14:textFill>
            <w14:solidFill>
              <w14:schemeClr w14:val="tx1"/>
            </w14:solidFill>
          </w14:textFill>
        </w:rPr>
        <w:t>地形文件，地形数据分辨率</w:t>
      </w:r>
      <w:r>
        <w:rPr>
          <w:rFonts w:ascii="Times New Roman" w:hAnsi="Times New Roman" w:cs="Times New Roman"/>
          <w:color w:val="000000" w:themeColor="text1"/>
          <w:w w:val="99"/>
          <w:sz w:val="24"/>
          <w:szCs w:val="24"/>
          <w14:textFill>
            <w14:solidFill>
              <w14:schemeClr w14:val="tx1"/>
            </w14:solidFill>
          </w14:textFill>
        </w:rPr>
        <w:t>90m</w:t>
      </w:r>
      <w:r>
        <w:rPr>
          <w:rFonts w:hint="eastAsia" w:ascii="Times New Roman" w:hAnsi="Times New Roman" w:cs="Times New Roman"/>
          <w:color w:val="000000" w:themeColor="text1"/>
          <w:w w:val="99"/>
          <w:sz w:val="24"/>
          <w:szCs w:val="24"/>
          <w14:textFill>
            <w14:solidFill>
              <w14:schemeClr w14:val="tx1"/>
            </w14:solidFill>
          </w14:textFill>
        </w:rPr>
        <w:t>。估算模型具体参数见下表</w:t>
      </w:r>
      <w:r>
        <w:rPr>
          <w:rFonts w:ascii="Times New Roman" w:hAnsi="Times New Roman" w:cs="Times New Roman"/>
          <w:color w:val="000000" w:themeColor="text1"/>
          <w:w w:val="99"/>
          <w:sz w:val="24"/>
          <w:szCs w:val="24"/>
          <w:lang w:val="en-US"/>
          <w14:textFill>
            <w14:solidFill>
              <w14:schemeClr w14:val="tx1"/>
            </w14:solidFill>
          </w14:textFill>
        </w:rPr>
        <w:t>2.5-2</w:t>
      </w:r>
      <w:r>
        <w:rPr>
          <w:rFonts w:hint="eastAsia" w:ascii="Times New Roman" w:hAnsi="Times New Roman" w:cs="Times New Roman"/>
          <w:color w:val="000000" w:themeColor="text1"/>
          <w:w w:val="99"/>
          <w:sz w:val="24"/>
          <w:szCs w:val="24"/>
          <w14:textFill>
            <w14:solidFill>
              <w14:schemeClr w14:val="tx1"/>
            </w14:solidFill>
          </w14:textFill>
        </w:rPr>
        <w:t>。</w:t>
      </w:r>
    </w:p>
    <w:p w14:paraId="376E2DEB">
      <w:pPr>
        <w:tabs>
          <w:tab w:val="left" w:pos="1571"/>
        </w:tabs>
        <w:autoSpaceDE/>
        <w:autoSpaceDN/>
        <w:spacing w:line="440" w:lineRule="exact"/>
        <w:ind w:left="440" w:leftChars="200"/>
        <w:jc w:val="both"/>
        <w:rPr>
          <w:rFonts w:ascii="Times New Roman" w:hAnsi="Times New Roman" w:cs="Times New Roman"/>
          <w:b/>
          <w:color w:val="000000" w:themeColor="text1"/>
          <w:w w:val="99"/>
          <w:sz w:val="24"/>
          <w:szCs w:val="24"/>
          <w:lang w:val="en-US"/>
          <w14:textFill>
            <w14:solidFill>
              <w14:schemeClr w14:val="tx1"/>
            </w14:solidFill>
          </w14:textFill>
        </w:rPr>
      </w:pPr>
      <w:r>
        <w:rPr>
          <w:rFonts w:hint="eastAsia" w:ascii="Times New Roman" w:hAnsi="Times New Roman" w:cs="Times New Roman"/>
          <w:b/>
          <w:color w:val="000000" w:themeColor="text1"/>
          <w:w w:val="99"/>
          <w:sz w:val="24"/>
          <w:szCs w:val="24"/>
          <w14:textFill>
            <w14:solidFill>
              <w14:schemeClr w14:val="tx1"/>
            </w14:solidFill>
          </w14:textFill>
        </w:rPr>
        <w:t>表</w:t>
      </w:r>
      <w:r>
        <w:rPr>
          <w:rFonts w:ascii="Times New Roman" w:hAnsi="Times New Roman" w:cs="Times New Roman"/>
          <w:b/>
          <w:color w:val="000000" w:themeColor="text1"/>
          <w:w w:val="99"/>
          <w:sz w:val="24"/>
          <w:szCs w:val="24"/>
          <w:lang w:val="en-US"/>
          <w14:textFill>
            <w14:solidFill>
              <w14:schemeClr w14:val="tx1"/>
            </w14:solidFill>
          </w14:textFill>
        </w:rPr>
        <w:t xml:space="preserve">2.5-2    </w:t>
      </w:r>
      <w:r>
        <w:rPr>
          <w:rFonts w:hint="eastAsia" w:ascii="Times New Roman" w:hAnsi="Times New Roman" w:cs="Times New Roman"/>
          <w:b/>
          <w:color w:val="000000" w:themeColor="text1"/>
          <w:w w:val="99"/>
          <w:sz w:val="24"/>
          <w:szCs w:val="24"/>
          <w:lang w:val="en-US"/>
          <w14:textFill>
            <w14:solidFill>
              <w14:schemeClr w14:val="tx1"/>
            </w14:solidFill>
          </w14:textFill>
        </w:rPr>
        <w:t>估算模型参数一览表</w:t>
      </w:r>
    </w:p>
    <w:tbl>
      <w:tblPr>
        <w:tblStyle w:val="8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4"/>
        <w:gridCol w:w="7"/>
        <w:gridCol w:w="3089"/>
        <w:gridCol w:w="3096"/>
      </w:tblGrid>
      <w:tr w14:paraId="36E8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33" w:type="pct"/>
            <w:gridSpan w:val="3"/>
            <w:vAlign w:val="center"/>
          </w:tcPr>
          <w:p w14:paraId="18E450E3">
            <w:pPr>
              <w:widowControl/>
              <w:autoSpaceDE/>
              <w:autoSpaceDN/>
              <w:spacing w:line="320" w:lineRule="exact"/>
              <w:jc w:val="center"/>
              <w:rPr>
                <w:rFonts w:ascii="Times New Roman" w:hAnsi="Times New Roman" w:cs="Times New Roman"/>
                <w:bCs/>
                <w:color w:val="000000" w:themeColor="text1"/>
                <w:w w:val="99"/>
                <w:sz w:val="21"/>
                <w:szCs w:val="21"/>
                <w:lang w:val="en-US" w:bidi="ar-SA"/>
                <w14:textFill>
                  <w14:solidFill>
                    <w14:schemeClr w14:val="tx1"/>
                  </w14:solidFill>
                </w14:textFill>
              </w:rPr>
            </w:pPr>
            <w:r>
              <w:rPr>
                <w:rFonts w:hint="eastAsia" w:ascii="Times New Roman" w:hAnsi="Times New Roman" w:cs="Times New Roman"/>
                <w:bCs/>
                <w:color w:val="000000" w:themeColor="text1"/>
                <w:w w:val="99"/>
                <w:sz w:val="21"/>
                <w:szCs w:val="21"/>
                <w:lang w:val="en-US" w:bidi="ar-SA"/>
                <w14:textFill>
                  <w14:solidFill>
                    <w14:schemeClr w14:val="tx1"/>
                  </w14:solidFill>
                </w14:textFill>
              </w:rPr>
              <w:t>参数</w:t>
            </w:r>
          </w:p>
        </w:tc>
        <w:tc>
          <w:tcPr>
            <w:tcW w:w="1667" w:type="pct"/>
            <w:vAlign w:val="center"/>
          </w:tcPr>
          <w:p w14:paraId="09FFD701">
            <w:pPr>
              <w:widowControl/>
              <w:autoSpaceDE/>
              <w:autoSpaceDN/>
              <w:spacing w:line="320" w:lineRule="exact"/>
              <w:jc w:val="center"/>
              <w:rPr>
                <w:rFonts w:ascii="Times New Roman" w:hAnsi="Times New Roman" w:cs="Times New Roman"/>
                <w:bCs/>
                <w:color w:val="000000" w:themeColor="text1"/>
                <w:w w:val="99"/>
                <w:sz w:val="21"/>
                <w:szCs w:val="21"/>
                <w:lang w:val="en-US" w:bidi="ar-SA"/>
                <w14:textFill>
                  <w14:solidFill>
                    <w14:schemeClr w14:val="tx1"/>
                  </w14:solidFill>
                </w14:textFill>
              </w:rPr>
            </w:pPr>
            <w:r>
              <w:rPr>
                <w:rFonts w:hint="eastAsia" w:ascii="Times New Roman" w:hAnsi="Times New Roman" w:cs="Times New Roman"/>
                <w:bCs/>
                <w:color w:val="000000" w:themeColor="text1"/>
                <w:w w:val="99"/>
                <w:sz w:val="21"/>
                <w:szCs w:val="21"/>
                <w:lang w:val="en-US" w:bidi="ar-SA"/>
                <w14:textFill>
                  <w14:solidFill>
                    <w14:schemeClr w14:val="tx1"/>
                  </w14:solidFill>
                </w14:textFill>
              </w:rPr>
              <w:t>取值</w:t>
            </w:r>
          </w:p>
        </w:tc>
      </w:tr>
      <w:tr w14:paraId="65187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Merge w:val="restart"/>
            <w:vAlign w:val="center"/>
          </w:tcPr>
          <w:p w14:paraId="7D5D9A1E">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城市</w:t>
            </w:r>
            <w:r>
              <w:rPr>
                <w:rFonts w:ascii="Times New Roman" w:hAnsi="Times New Roman" w:cs="Times New Roman"/>
                <w:color w:val="000000" w:themeColor="text1"/>
                <w:w w:val="99"/>
                <w:sz w:val="21"/>
                <w:szCs w:val="21"/>
                <w:lang w:val="en-US" w:bidi="ar-SA"/>
                <w14:textFill>
                  <w14:solidFill>
                    <w14:schemeClr w14:val="tx1"/>
                  </w14:solidFill>
                </w14:textFill>
              </w:rPr>
              <w:t>/</w:t>
            </w:r>
            <w:r>
              <w:rPr>
                <w:rFonts w:hint="eastAsia" w:ascii="Times New Roman" w:hAnsi="Times New Roman" w:cs="Times New Roman"/>
                <w:color w:val="000000" w:themeColor="text1"/>
                <w:w w:val="99"/>
                <w:sz w:val="21"/>
                <w:szCs w:val="21"/>
                <w:lang w:val="en-US" w:bidi="ar-SA"/>
                <w14:textFill>
                  <w14:solidFill>
                    <w14:schemeClr w14:val="tx1"/>
                  </w14:solidFill>
                </w14:textFill>
              </w:rPr>
              <w:t>农村选项</w:t>
            </w:r>
          </w:p>
        </w:tc>
        <w:tc>
          <w:tcPr>
            <w:tcW w:w="1667" w:type="pct"/>
            <w:gridSpan w:val="2"/>
            <w:vAlign w:val="center"/>
          </w:tcPr>
          <w:p w14:paraId="0AEE6411">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城市</w:t>
            </w:r>
            <w:r>
              <w:rPr>
                <w:rFonts w:ascii="Times New Roman" w:hAnsi="Times New Roman" w:cs="Times New Roman"/>
                <w:color w:val="000000" w:themeColor="text1"/>
                <w:w w:val="99"/>
                <w:sz w:val="21"/>
                <w:szCs w:val="21"/>
                <w:lang w:val="en-US" w:bidi="ar-SA"/>
                <w14:textFill>
                  <w14:solidFill>
                    <w14:schemeClr w14:val="tx1"/>
                  </w14:solidFill>
                </w14:textFill>
              </w:rPr>
              <w:t>/</w:t>
            </w:r>
            <w:r>
              <w:rPr>
                <w:rFonts w:hint="eastAsia" w:ascii="Times New Roman" w:hAnsi="Times New Roman" w:cs="Times New Roman"/>
                <w:color w:val="000000" w:themeColor="text1"/>
                <w:w w:val="99"/>
                <w:sz w:val="21"/>
                <w:szCs w:val="21"/>
                <w:lang w:val="en-US" w:bidi="ar-SA"/>
                <w14:textFill>
                  <w14:solidFill>
                    <w14:schemeClr w14:val="tx1"/>
                  </w14:solidFill>
                </w14:textFill>
              </w:rPr>
              <w:t>农村</w:t>
            </w:r>
          </w:p>
        </w:tc>
        <w:tc>
          <w:tcPr>
            <w:tcW w:w="1667" w:type="pct"/>
            <w:vAlign w:val="center"/>
          </w:tcPr>
          <w:p w14:paraId="76819AB1">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农村</w:t>
            </w:r>
          </w:p>
        </w:tc>
      </w:tr>
      <w:tr w14:paraId="13D49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Merge w:val="continue"/>
            <w:vAlign w:val="center"/>
          </w:tcPr>
          <w:p w14:paraId="7607A7B7">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p>
        </w:tc>
        <w:tc>
          <w:tcPr>
            <w:tcW w:w="1667" w:type="pct"/>
            <w:gridSpan w:val="2"/>
            <w:vAlign w:val="center"/>
          </w:tcPr>
          <w:p w14:paraId="1EBA08ED">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人口数（城市选项时）</w:t>
            </w:r>
          </w:p>
        </w:tc>
        <w:tc>
          <w:tcPr>
            <w:tcW w:w="1667" w:type="pct"/>
            <w:vAlign w:val="center"/>
          </w:tcPr>
          <w:p w14:paraId="61F51FDF">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w:t>
            </w:r>
          </w:p>
        </w:tc>
      </w:tr>
      <w:tr w14:paraId="578A9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33" w:type="pct"/>
            <w:gridSpan w:val="3"/>
            <w:vAlign w:val="center"/>
          </w:tcPr>
          <w:p w14:paraId="5E6085DA">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最高环境温度</w:t>
            </w:r>
            <w:r>
              <w:rPr>
                <w:rFonts w:ascii="Times New Roman" w:hAnsi="Times New Roman" w:cs="Times New Roman"/>
                <w:color w:val="000000" w:themeColor="text1"/>
                <w:w w:val="99"/>
                <w:sz w:val="21"/>
                <w:szCs w:val="21"/>
                <w:lang w:val="en-US" w:bidi="ar-SA"/>
                <w14:textFill>
                  <w14:solidFill>
                    <w14:schemeClr w14:val="tx1"/>
                  </w14:solidFill>
                </w14:textFill>
              </w:rPr>
              <w:t>/</w:t>
            </w:r>
            <w:r>
              <w:rPr>
                <w:rFonts w:hint="eastAsia"/>
                <w:color w:val="000000" w:themeColor="text1"/>
                <w:w w:val="99"/>
                <w:sz w:val="21"/>
                <w:szCs w:val="21"/>
                <w:lang w:val="en-US" w:bidi="ar-SA"/>
                <w14:textFill>
                  <w14:solidFill>
                    <w14:schemeClr w14:val="tx1"/>
                  </w14:solidFill>
                </w14:textFill>
              </w:rPr>
              <w:t>℃</w:t>
            </w:r>
          </w:p>
        </w:tc>
        <w:tc>
          <w:tcPr>
            <w:tcW w:w="1667" w:type="pct"/>
            <w:vAlign w:val="center"/>
          </w:tcPr>
          <w:p w14:paraId="37FBF248">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38.9</w:t>
            </w:r>
          </w:p>
        </w:tc>
      </w:tr>
      <w:tr w14:paraId="0888D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33" w:type="pct"/>
            <w:gridSpan w:val="3"/>
            <w:vAlign w:val="center"/>
          </w:tcPr>
          <w:p w14:paraId="7AFD2FB8">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最低环境温度</w:t>
            </w:r>
            <w:r>
              <w:rPr>
                <w:rFonts w:ascii="Times New Roman" w:hAnsi="Times New Roman" w:cs="Times New Roman"/>
                <w:color w:val="000000" w:themeColor="text1"/>
                <w:w w:val="99"/>
                <w:sz w:val="21"/>
                <w:szCs w:val="21"/>
                <w:lang w:val="en-US" w:bidi="ar-SA"/>
                <w14:textFill>
                  <w14:solidFill>
                    <w14:schemeClr w14:val="tx1"/>
                  </w14:solidFill>
                </w14:textFill>
              </w:rPr>
              <w:t>/</w:t>
            </w:r>
            <w:r>
              <w:rPr>
                <w:rFonts w:hint="eastAsia"/>
                <w:color w:val="000000" w:themeColor="text1"/>
                <w:w w:val="99"/>
                <w:sz w:val="21"/>
                <w:szCs w:val="21"/>
                <w:lang w:val="en-US" w:bidi="ar-SA"/>
                <w14:textFill>
                  <w14:solidFill>
                    <w14:schemeClr w14:val="tx1"/>
                  </w14:solidFill>
                </w14:textFill>
              </w:rPr>
              <w:t>℃</w:t>
            </w:r>
          </w:p>
        </w:tc>
        <w:tc>
          <w:tcPr>
            <w:tcW w:w="1667" w:type="pct"/>
            <w:vAlign w:val="center"/>
          </w:tcPr>
          <w:p w14:paraId="5E1C8E38">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-36.2</w:t>
            </w:r>
          </w:p>
        </w:tc>
      </w:tr>
      <w:tr w14:paraId="2B877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33" w:type="pct"/>
            <w:gridSpan w:val="3"/>
            <w:vAlign w:val="center"/>
          </w:tcPr>
          <w:p w14:paraId="04691EF1">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土地利用类型</w:t>
            </w:r>
          </w:p>
        </w:tc>
        <w:tc>
          <w:tcPr>
            <w:tcW w:w="1667" w:type="pct"/>
            <w:vAlign w:val="center"/>
          </w:tcPr>
          <w:p w14:paraId="4FD4A33F">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农田</w:t>
            </w:r>
          </w:p>
        </w:tc>
      </w:tr>
      <w:tr w14:paraId="19237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33" w:type="pct"/>
            <w:gridSpan w:val="3"/>
            <w:vAlign w:val="center"/>
          </w:tcPr>
          <w:p w14:paraId="0794393D">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区域湿度条件</w:t>
            </w:r>
          </w:p>
        </w:tc>
        <w:tc>
          <w:tcPr>
            <w:tcW w:w="1667" w:type="pct"/>
            <w:vAlign w:val="center"/>
          </w:tcPr>
          <w:p w14:paraId="5C649135">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中等湿度</w:t>
            </w:r>
          </w:p>
        </w:tc>
      </w:tr>
      <w:tr w14:paraId="77E4A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70" w:type="pct"/>
            <w:gridSpan w:val="2"/>
            <w:vMerge w:val="restart"/>
            <w:vAlign w:val="center"/>
          </w:tcPr>
          <w:p w14:paraId="7FFF8B2E">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是否考虑地形</w:t>
            </w:r>
          </w:p>
        </w:tc>
        <w:tc>
          <w:tcPr>
            <w:tcW w:w="1663" w:type="pct"/>
          </w:tcPr>
          <w:p w14:paraId="098B6F28">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考虑地形</w:t>
            </w:r>
          </w:p>
        </w:tc>
        <w:tc>
          <w:tcPr>
            <w:tcW w:w="1667" w:type="pct"/>
            <w:vAlign w:val="center"/>
          </w:tcPr>
          <w:p w14:paraId="4534065B">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是</w:t>
            </w:r>
          </w:p>
        </w:tc>
      </w:tr>
      <w:tr w14:paraId="11052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70" w:type="pct"/>
            <w:gridSpan w:val="2"/>
            <w:vMerge w:val="continue"/>
            <w:vAlign w:val="center"/>
          </w:tcPr>
          <w:p w14:paraId="1AD0677B">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p>
        </w:tc>
        <w:tc>
          <w:tcPr>
            <w:tcW w:w="1663" w:type="pct"/>
          </w:tcPr>
          <w:p w14:paraId="481E885D">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地形数据分辨率</w:t>
            </w:r>
            <w:r>
              <w:rPr>
                <w:rFonts w:ascii="Times New Roman" w:hAnsi="Times New Roman" w:cs="Times New Roman"/>
                <w:color w:val="000000" w:themeColor="text1"/>
                <w:w w:val="99"/>
                <w:sz w:val="21"/>
                <w:szCs w:val="21"/>
                <w:lang w:val="en-US" w:bidi="ar-SA"/>
                <w14:textFill>
                  <w14:solidFill>
                    <w14:schemeClr w14:val="tx1"/>
                  </w14:solidFill>
                </w14:textFill>
              </w:rPr>
              <w:t xml:space="preserve"> / m</w:t>
            </w:r>
          </w:p>
        </w:tc>
        <w:tc>
          <w:tcPr>
            <w:tcW w:w="1667" w:type="pct"/>
            <w:vAlign w:val="center"/>
          </w:tcPr>
          <w:p w14:paraId="566237D8">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90</w:t>
            </w:r>
          </w:p>
        </w:tc>
      </w:tr>
      <w:tr w14:paraId="469D1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70" w:type="pct"/>
            <w:gridSpan w:val="2"/>
            <w:vMerge w:val="restart"/>
            <w:vAlign w:val="center"/>
          </w:tcPr>
          <w:p w14:paraId="0EC4F86D">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是否考虑岸线熏烟</w:t>
            </w:r>
          </w:p>
        </w:tc>
        <w:tc>
          <w:tcPr>
            <w:tcW w:w="1663" w:type="pct"/>
          </w:tcPr>
          <w:p w14:paraId="357B348E">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考虑岸线熏烟</w:t>
            </w:r>
          </w:p>
        </w:tc>
        <w:tc>
          <w:tcPr>
            <w:tcW w:w="1667" w:type="pct"/>
            <w:vAlign w:val="center"/>
          </w:tcPr>
          <w:p w14:paraId="529C05F3">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否</w:t>
            </w:r>
          </w:p>
        </w:tc>
      </w:tr>
      <w:tr w14:paraId="43AAD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70" w:type="pct"/>
            <w:gridSpan w:val="2"/>
            <w:vMerge w:val="continue"/>
            <w:vAlign w:val="center"/>
          </w:tcPr>
          <w:p w14:paraId="13962DB2">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p>
        </w:tc>
        <w:tc>
          <w:tcPr>
            <w:tcW w:w="1663" w:type="pct"/>
          </w:tcPr>
          <w:p w14:paraId="0363B027">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岸线距离</w:t>
            </w:r>
            <w:r>
              <w:rPr>
                <w:rFonts w:ascii="Times New Roman" w:hAnsi="Times New Roman" w:cs="Times New Roman"/>
                <w:color w:val="000000" w:themeColor="text1"/>
                <w:w w:val="99"/>
                <w:sz w:val="21"/>
                <w:szCs w:val="21"/>
                <w:lang w:val="en-US" w:bidi="ar-SA"/>
                <w14:textFill>
                  <w14:solidFill>
                    <w14:schemeClr w14:val="tx1"/>
                  </w14:solidFill>
                </w14:textFill>
              </w:rPr>
              <w:t>/ km</w:t>
            </w:r>
          </w:p>
        </w:tc>
        <w:tc>
          <w:tcPr>
            <w:tcW w:w="1667" w:type="pct"/>
            <w:vAlign w:val="center"/>
          </w:tcPr>
          <w:p w14:paraId="22697B45">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w:t>
            </w:r>
          </w:p>
        </w:tc>
      </w:tr>
      <w:tr w14:paraId="34F7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70" w:type="pct"/>
            <w:gridSpan w:val="2"/>
            <w:vMerge w:val="continue"/>
            <w:vAlign w:val="center"/>
          </w:tcPr>
          <w:p w14:paraId="0CAA60FA">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p>
        </w:tc>
        <w:tc>
          <w:tcPr>
            <w:tcW w:w="1663" w:type="pct"/>
          </w:tcPr>
          <w:p w14:paraId="7F56FCCE">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岸线方向</w:t>
            </w:r>
            <w:r>
              <w:rPr>
                <w:rFonts w:ascii="Times New Roman" w:hAnsi="Times New Roman" w:cs="Times New Roman"/>
                <w:color w:val="000000" w:themeColor="text1"/>
                <w:w w:val="99"/>
                <w:sz w:val="21"/>
                <w:szCs w:val="21"/>
                <w:lang w:val="en-US" w:bidi="ar-SA"/>
                <w14:textFill>
                  <w14:solidFill>
                    <w14:schemeClr w14:val="tx1"/>
                  </w14:solidFill>
                </w14:textFill>
              </w:rPr>
              <w:t>/ °</w:t>
            </w:r>
          </w:p>
        </w:tc>
        <w:tc>
          <w:tcPr>
            <w:tcW w:w="1667" w:type="pct"/>
            <w:vAlign w:val="center"/>
          </w:tcPr>
          <w:p w14:paraId="472D6E8F">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w:t>
            </w:r>
          </w:p>
        </w:tc>
      </w:tr>
    </w:tbl>
    <w:p w14:paraId="4408694B">
      <w:pPr>
        <w:autoSpaceDE/>
        <w:autoSpaceDN/>
        <w:spacing w:line="440" w:lineRule="exact"/>
        <w:ind w:firstLine="494"/>
        <w:jc w:val="both"/>
        <w:rPr>
          <w:rFonts w:ascii="Times New Roman" w:hAnsi="Times New Roman" w:cs="Times New Roman"/>
          <w:color w:val="000000" w:themeColor="text1"/>
          <w:w w:val="99"/>
          <w:kern w:val="2"/>
          <w:sz w:val="24"/>
          <w:szCs w:val="24"/>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4"/>
          <w:lang w:val="en-US" w:bidi="ar-SA"/>
          <w14:textFill>
            <w14:solidFill>
              <w14:schemeClr w14:val="tx1"/>
            </w14:solidFill>
          </w14:textFill>
        </w:rPr>
        <w:t>根据《环境影响评价技术导则</w:t>
      </w:r>
      <w:r>
        <w:rPr>
          <w:rFonts w:ascii="Times New Roman" w:hAnsi="Times New Roman" w:cs="Times New Roman"/>
          <w:color w:val="000000" w:themeColor="text1"/>
          <w:w w:val="99"/>
          <w:kern w:val="2"/>
          <w:sz w:val="24"/>
          <w:szCs w:val="24"/>
          <w:lang w:val="en-US" w:bidi="ar-SA"/>
          <w14:textFill>
            <w14:solidFill>
              <w14:schemeClr w14:val="tx1"/>
            </w14:solidFill>
          </w14:textFill>
        </w:rPr>
        <w:t xml:space="preserve"> </w:t>
      </w:r>
      <w:r>
        <w:rPr>
          <w:rFonts w:hint="eastAsia" w:ascii="Times New Roman" w:hAnsi="Times New Roman" w:cs="Times New Roman"/>
          <w:color w:val="000000" w:themeColor="text1"/>
          <w:w w:val="99"/>
          <w:kern w:val="2"/>
          <w:sz w:val="24"/>
          <w:szCs w:val="24"/>
          <w:lang w:val="en-US" w:bidi="ar-SA"/>
          <w14:textFill>
            <w14:solidFill>
              <w14:schemeClr w14:val="tx1"/>
            </w14:solidFill>
          </w14:textFill>
        </w:rPr>
        <w:t>大气环境》</w:t>
      </w:r>
      <w:r>
        <w:rPr>
          <w:rFonts w:hint="eastAsia" w:ascii="Times New Roman" w:hAnsi="Times New Roman" w:cs="Times New Roman"/>
          <w:color w:val="000000" w:themeColor="text1"/>
          <w:spacing w:val="4"/>
          <w:w w:val="99"/>
          <w:kern w:val="2"/>
          <w:sz w:val="24"/>
          <w:szCs w:val="24"/>
          <w:lang w:val="en-US" w:bidi="ar-SA"/>
          <w14:textFill>
            <w14:solidFill>
              <w14:schemeClr w14:val="tx1"/>
            </w14:solidFill>
          </w14:textFill>
        </w:rPr>
        <w:t>（</w:t>
      </w:r>
      <w:r>
        <w:rPr>
          <w:rFonts w:ascii="Times New Roman" w:hAnsi="Times New Roman" w:eastAsia="Times New Roman" w:cs="Times New Roman"/>
          <w:color w:val="000000" w:themeColor="text1"/>
          <w:spacing w:val="4"/>
          <w:w w:val="99"/>
          <w:kern w:val="2"/>
          <w:sz w:val="24"/>
          <w:szCs w:val="24"/>
          <w:lang w:val="en-US" w:bidi="ar-SA"/>
          <w14:textFill>
            <w14:solidFill>
              <w14:schemeClr w14:val="tx1"/>
            </w14:solidFill>
          </w14:textFill>
        </w:rPr>
        <w:t>HJ2.2-2018</w:t>
      </w:r>
      <w:r>
        <w:rPr>
          <w:rFonts w:hint="eastAsia" w:ascii="Times New Roman" w:hAnsi="Times New Roman" w:cs="Times New Roman"/>
          <w:color w:val="000000" w:themeColor="text1"/>
          <w:spacing w:val="4"/>
          <w:w w:val="99"/>
          <w:kern w:val="2"/>
          <w:sz w:val="24"/>
          <w:szCs w:val="24"/>
          <w:lang w:val="en-US" w:bidi="ar-SA"/>
          <w14:textFill>
            <w14:solidFill>
              <w14:schemeClr w14:val="tx1"/>
            </w14:solidFill>
          </w14:textFill>
        </w:rPr>
        <w:t>）中的有关规定，评价工</w:t>
      </w:r>
      <w:r>
        <w:rPr>
          <w:rFonts w:hint="eastAsia" w:ascii="Times New Roman" w:hAnsi="Times New Roman" w:cs="Times New Roman"/>
          <w:color w:val="000000" w:themeColor="text1"/>
          <w:spacing w:val="4"/>
          <w:w w:val="99"/>
          <w:kern w:val="2"/>
          <w:position w:val="2"/>
          <w:sz w:val="24"/>
          <w:szCs w:val="24"/>
          <w:lang w:val="en-US" w:bidi="ar-SA"/>
          <w14:textFill>
            <w14:solidFill>
              <w14:schemeClr w14:val="tx1"/>
            </w14:solidFill>
          </w14:textFill>
        </w:rPr>
        <w:t>作等级由项目主要污染物的最大地面空气质量浓度占标率</w:t>
      </w:r>
      <w:r>
        <w:rPr>
          <w:rFonts w:ascii="Times New Roman" w:hAnsi="Times New Roman" w:eastAsia="Times New Roman" w:cs="Times New Roman"/>
          <w:color w:val="000000" w:themeColor="text1"/>
          <w:w w:val="99"/>
          <w:kern w:val="2"/>
          <w:position w:val="2"/>
          <w:sz w:val="24"/>
          <w:szCs w:val="24"/>
          <w:lang w:val="en-US" w:bidi="ar-SA"/>
          <w14:textFill>
            <w14:solidFill>
              <w14:schemeClr w14:val="tx1"/>
            </w14:solidFill>
          </w14:textFill>
        </w:rPr>
        <w:t>P</w:t>
      </w:r>
      <w:r>
        <w:rPr>
          <w:rFonts w:ascii="Times New Roman" w:hAnsi="Times New Roman" w:eastAsia="Times New Roman" w:cs="Times New Roman"/>
          <w:color w:val="000000" w:themeColor="text1"/>
          <w:w w:val="99"/>
          <w:kern w:val="2"/>
          <w:position w:val="2"/>
          <w:sz w:val="24"/>
          <w:szCs w:val="24"/>
          <w:vertAlign w:val="subscript"/>
          <w:lang w:val="en-US" w:bidi="ar-SA"/>
          <w14:textFill>
            <w14:solidFill>
              <w14:schemeClr w14:val="tx1"/>
            </w14:solidFill>
          </w14:textFill>
        </w:rPr>
        <w:t>i</w:t>
      </w:r>
      <w:r>
        <w:rPr>
          <w:rFonts w:hint="eastAsia" w:ascii="Times New Roman" w:hAnsi="Times New Roman" w:cs="Times New Roman"/>
          <w:color w:val="000000" w:themeColor="text1"/>
          <w:spacing w:val="25"/>
          <w:w w:val="99"/>
          <w:kern w:val="2"/>
          <w:position w:val="2"/>
          <w:sz w:val="24"/>
          <w:szCs w:val="24"/>
          <w:lang w:val="en-US" w:bidi="ar-SA"/>
          <w14:textFill>
            <w14:solidFill>
              <w14:schemeClr w14:val="tx1"/>
            </w14:solidFill>
          </w14:textFill>
        </w:rPr>
        <w:t>及第</w:t>
      </w:r>
      <w:r>
        <w:rPr>
          <w:rFonts w:ascii="Times New Roman" w:hAnsi="Times New Roman" w:eastAsia="Times New Roman" w:cs="Times New Roman"/>
          <w:color w:val="000000" w:themeColor="text1"/>
          <w:w w:val="99"/>
          <w:kern w:val="2"/>
          <w:position w:val="2"/>
          <w:sz w:val="24"/>
          <w:szCs w:val="24"/>
          <w:lang w:val="en-US" w:bidi="ar-SA"/>
          <w14:textFill>
            <w14:solidFill>
              <w14:schemeClr w14:val="tx1"/>
            </w14:solidFill>
          </w14:textFill>
        </w:rPr>
        <w:t>i</w:t>
      </w:r>
      <w:r>
        <w:rPr>
          <w:rFonts w:hint="eastAsia" w:ascii="Times New Roman" w:hAnsi="Times New Roman" w:cs="Times New Roman"/>
          <w:color w:val="000000" w:themeColor="text1"/>
          <w:w w:val="99"/>
          <w:kern w:val="2"/>
          <w:position w:val="2"/>
          <w:sz w:val="24"/>
          <w:szCs w:val="24"/>
          <w:lang w:val="en-US" w:bidi="ar-SA"/>
          <w14:textFill>
            <w14:solidFill>
              <w14:schemeClr w14:val="tx1"/>
            </w14:solidFill>
          </w14:textFill>
        </w:rPr>
        <w:t>个污染物的地面空气</w:t>
      </w:r>
      <w:r>
        <w:rPr>
          <w:rFonts w:hint="eastAsia" w:ascii="Times New Roman" w:hAnsi="Times New Roman" w:cs="Times New Roman"/>
          <w:color w:val="000000" w:themeColor="text1"/>
          <w:spacing w:val="-6"/>
          <w:w w:val="99"/>
          <w:kern w:val="2"/>
          <w:position w:val="2"/>
          <w:sz w:val="24"/>
          <w:szCs w:val="24"/>
          <w:lang w:val="en-US" w:bidi="ar-SA"/>
          <w14:textFill>
            <w14:solidFill>
              <w14:schemeClr w14:val="tx1"/>
            </w14:solidFill>
          </w14:textFill>
        </w:rPr>
        <w:t>质量浓度达到标准值的</w:t>
      </w:r>
      <w:r>
        <w:rPr>
          <w:rFonts w:ascii="Times New Roman" w:hAnsi="Times New Roman" w:eastAsia="Times New Roman" w:cs="Times New Roman"/>
          <w:color w:val="000000" w:themeColor="text1"/>
          <w:w w:val="99"/>
          <w:kern w:val="2"/>
          <w:position w:val="2"/>
          <w:sz w:val="24"/>
          <w:szCs w:val="24"/>
          <w:lang w:val="en-US" w:bidi="ar-SA"/>
          <w14:textFill>
            <w14:solidFill>
              <w14:schemeClr w14:val="tx1"/>
            </w14:solidFill>
          </w14:textFill>
        </w:rPr>
        <w:t>10%</w:t>
      </w:r>
      <w:r>
        <w:rPr>
          <w:rFonts w:hint="eastAsia" w:ascii="Times New Roman" w:hAnsi="Times New Roman" w:cs="Times New Roman"/>
          <w:color w:val="000000" w:themeColor="text1"/>
          <w:spacing w:val="-6"/>
          <w:w w:val="99"/>
          <w:kern w:val="2"/>
          <w:position w:val="2"/>
          <w:sz w:val="24"/>
          <w:szCs w:val="24"/>
          <w:lang w:val="en-US" w:bidi="ar-SA"/>
          <w14:textFill>
            <w14:solidFill>
              <w14:schemeClr w14:val="tx1"/>
            </w14:solidFill>
          </w14:textFill>
        </w:rPr>
        <w:t>时所对应的最远距离</w:t>
      </w:r>
      <w:r>
        <w:rPr>
          <w:rFonts w:ascii="Times New Roman" w:hAnsi="Times New Roman" w:eastAsia="Times New Roman" w:cs="Times New Roman"/>
          <w:color w:val="000000" w:themeColor="text1"/>
          <w:w w:val="99"/>
          <w:kern w:val="2"/>
          <w:position w:val="2"/>
          <w:sz w:val="24"/>
          <w:szCs w:val="24"/>
          <w:lang w:val="en-US" w:bidi="ar-SA"/>
          <w14:textFill>
            <w14:solidFill>
              <w14:schemeClr w14:val="tx1"/>
            </w14:solidFill>
          </w14:textFill>
        </w:rPr>
        <w:t>D</w:t>
      </w:r>
      <w:r>
        <w:rPr>
          <w:rFonts w:ascii="Times New Roman" w:hAnsi="Times New Roman" w:eastAsia="Times New Roman" w:cs="Times New Roman"/>
          <w:color w:val="000000" w:themeColor="text1"/>
          <w:w w:val="99"/>
          <w:kern w:val="2"/>
          <w:position w:val="2"/>
          <w:sz w:val="24"/>
          <w:szCs w:val="24"/>
          <w:vertAlign w:val="subscript"/>
          <w:lang w:val="en-US" w:bidi="ar-SA"/>
          <w14:textFill>
            <w14:solidFill>
              <w14:schemeClr w14:val="tx1"/>
            </w14:solidFill>
          </w14:textFill>
        </w:rPr>
        <w:t>10%</w:t>
      </w:r>
      <w:r>
        <w:rPr>
          <w:rFonts w:hint="eastAsia" w:ascii="Times New Roman" w:hAnsi="Times New Roman" w:cs="Times New Roman"/>
          <w:color w:val="000000" w:themeColor="text1"/>
          <w:w w:val="99"/>
          <w:kern w:val="2"/>
          <w:position w:val="2"/>
          <w:sz w:val="24"/>
          <w:szCs w:val="24"/>
          <w:lang w:val="en-US" w:bidi="ar-SA"/>
          <w14:textFill>
            <w14:solidFill>
              <w14:schemeClr w14:val="tx1"/>
            </w14:solidFill>
          </w14:textFill>
        </w:rPr>
        <w:t>进行等级划分。其中，</w:t>
      </w:r>
      <w:r>
        <w:rPr>
          <w:rFonts w:ascii="Times New Roman" w:hAnsi="Times New Roman" w:eastAsia="Times New Roman" w:cs="Times New Roman"/>
          <w:color w:val="000000" w:themeColor="text1"/>
          <w:w w:val="99"/>
          <w:kern w:val="2"/>
          <w:position w:val="2"/>
          <w:sz w:val="24"/>
          <w:szCs w:val="24"/>
          <w:lang w:val="en-US" w:bidi="ar-SA"/>
          <w14:textFill>
            <w14:solidFill>
              <w14:schemeClr w14:val="tx1"/>
            </w14:solidFill>
          </w14:textFill>
        </w:rPr>
        <w:t>P</w:t>
      </w:r>
      <w:r>
        <w:rPr>
          <w:rFonts w:ascii="Times New Roman" w:hAnsi="Times New Roman" w:eastAsia="Times New Roman" w:cs="Times New Roman"/>
          <w:color w:val="000000" w:themeColor="text1"/>
          <w:w w:val="99"/>
          <w:kern w:val="2"/>
          <w:position w:val="2"/>
          <w:sz w:val="24"/>
          <w:szCs w:val="24"/>
          <w:vertAlign w:val="subscript"/>
          <w:lang w:val="en-US" w:bidi="ar-SA"/>
          <w14:textFill>
            <w14:solidFill>
              <w14:schemeClr w14:val="tx1"/>
            </w14:solidFill>
          </w14:textFill>
        </w:rPr>
        <w:t>i</w:t>
      </w:r>
      <w:r>
        <w:rPr>
          <w:rFonts w:hint="eastAsia" w:ascii="Times New Roman" w:hAnsi="Times New Roman" w:cs="Times New Roman"/>
          <w:color w:val="000000" w:themeColor="text1"/>
          <w:spacing w:val="-7"/>
          <w:w w:val="99"/>
          <w:kern w:val="2"/>
          <w:position w:val="2"/>
          <w:sz w:val="24"/>
          <w:szCs w:val="24"/>
          <w:lang w:val="en-US" w:bidi="ar-SA"/>
          <w14:textFill>
            <w14:solidFill>
              <w14:schemeClr w14:val="tx1"/>
            </w14:solidFill>
          </w14:textFill>
        </w:rPr>
        <w:t>定义为：</w:t>
      </w:r>
    </w:p>
    <w:p w14:paraId="11BC4AED">
      <w:pPr>
        <w:tabs>
          <w:tab w:val="left" w:pos="1571"/>
        </w:tabs>
        <w:autoSpaceDE/>
        <w:autoSpaceDN/>
        <w:spacing w:line="440" w:lineRule="exact"/>
        <w:ind w:left="595" w:hanging="597" w:hangingChars="252"/>
        <w:jc w:val="center"/>
        <w:rPr>
          <w:rFonts w:ascii="Times New Roman" w:hAnsi="Times New Roman" w:cs="Times New Roman"/>
          <w:color w:val="000000" w:themeColor="text1"/>
          <w:w w:val="99"/>
          <w:position w:val="2"/>
          <w:sz w:val="24"/>
          <w:szCs w:val="24"/>
          <w:lang w:val="en-US" w:bidi="ar-SA"/>
          <w14:textFill>
            <w14:solidFill>
              <w14:schemeClr w14:val="tx1"/>
            </w14:solidFill>
          </w14:textFill>
        </w:rPr>
      </w:pPr>
      <w:r>
        <w:rPr>
          <w:rFonts w:ascii="Times New Roman" w:hAnsi="Times New Roman" w:cs="Times New Roman"/>
          <w:color w:val="000000" w:themeColor="text1"/>
          <w:w w:val="99"/>
          <w:position w:val="2"/>
          <w:sz w:val="24"/>
          <w:szCs w:val="24"/>
          <w:lang w:val="en-US" w:bidi="ar-SA"/>
          <w14:textFill>
            <w14:solidFill>
              <w14:schemeClr w14:val="tx1"/>
            </w14:solidFill>
          </w14:textFill>
        </w:rPr>
        <w:t>P</w:t>
      </w:r>
      <w:r>
        <w:rPr>
          <w:rFonts w:ascii="Times New Roman" w:hAnsi="Times New Roman" w:cs="Times New Roman"/>
          <w:color w:val="000000" w:themeColor="text1"/>
          <w:w w:val="99"/>
          <w:position w:val="2"/>
          <w:sz w:val="24"/>
          <w:szCs w:val="24"/>
          <w:vertAlign w:val="subscript"/>
          <w:lang w:val="en-US" w:bidi="ar-SA"/>
          <w14:textFill>
            <w14:solidFill>
              <w14:schemeClr w14:val="tx1"/>
            </w14:solidFill>
          </w14:textFill>
        </w:rPr>
        <w:t>i</w:t>
      </w:r>
      <w:r>
        <w:rPr>
          <w:rFonts w:ascii="Times New Roman" w:hAnsi="Times New Roman" w:cs="Times New Roman"/>
          <w:color w:val="000000" w:themeColor="text1"/>
          <w:w w:val="99"/>
          <w:position w:val="2"/>
          <w:sz w:val="24"/>
          <w:szCs w:val="24"/>
          <w:lang w:val="en-US" w:bidi="ar-SA"/>
          <w14:textFill>
            <w14:solidFill>
              <w14:schemeClr w14:val="tx1"/>
            </w14:solidFill>
          </w14:textFill>
        </w:rPr>
        <w:t>=C</w:t>
      </w:r>
      <w:r>
        <w:rPr>
          <w:rFonts w:ascii="Times New Roman" w:hAnsi="Times New Roman" w:cs="Times New Roman"/>
          <w:color w:val="000000" w:themeColor="text1"/>
          <w:w w:val="99"/>
          <w:position w:val="2"/>
          <w:sz w:val="24"/>
          <w:szCs w:val="24"/>
          <w:vertAlign w:val="subscript"/>
          <w:lang w:val="en-US" w:bidi="ar-SA"/>
          <w14:textFill>
            <w14:solidFill>
              <w14:schemeClr w14:val="tx1"/>
            </w14:solidFill>
          </w14:textFill>
        </w:rPr>
        <w:t>i</w:t>
      </w:r>
      <w:r>
        <w:rPr>
          <w:rFonts w:ascii="Times New Roman" w:hAnsi="Times New Roman" w:cs="Times New Roman"/>
          <w:color w:val="000000" w:themeColor="text1"/>
          <w:w w:val="99"/>
          <w:position w:val="2"/>
          <w:sz w:val="24"/>
          <w:szCs w:val="24"/>
          <w:lang w:val="en-US" w:bidi="ar-SA"/>
          <w14:textFill>
            <w14:solidFill>
              <w14:schemeClr w14:val="tx1"/>
            </w14:solidFill>
          </w14:textFill>
        </w:rPr>
        <w:t>/C</w:t>
      </w:r>
      <w:r>
        <w:rPr>
          <w:rFonts w:ascii="Times New Roman" w:hAnsi="Times New Roman" w:cs="Times New Roman"/>
          <w:color w:val="000000" w:themeColor="text1"/>
          <w:w w:val="99"/>
          <w:position w:val="2"/>
          <w:sz w:val="24"/>
          <w:szCs w:val="24"/>
          <w:vertAlign w:val="subscript"/>
          <w:lang w:val="en-US" w:bidi="ar-SA"/>
          <w14:textFill>
            <w14:solidFill>
              <w14:schemeClr w14:val="tx1"/>
            </w14:solidFill>
          </w14:textFill>
        </w:rPr>
        <w:t>0j</w:t>
      </w:r>
      <w:r>
        <w:rPr>
          <w:rFonts w:ascii="Times New Roman" w:hAnsi="Times New Roman" w:cs="Times New Roman"/>
          <w:color w:val="000000" w:themeColor="text1"/>
          <w:w w:val="99"/>
          <w:position w:val="2"/>
          <w:sz w:val="24"/>
          <w:szCs w:val="24"/>
          <w:lang w:val="en-US" w:bidi="ar-SA"/>
          <w14:textFill>
            <w14:solidFill>
              <w14:schemeClr w14:val="tx1"/>
            </w14:solidFill>
          </w14:textFill>
        </w:rPr>
        <w:t>×100%</w:t>
      </w:r>
    </w:p>
    <w:p w14:paraId="7F93100E">
      <w:pPr>
        <w:autoSpaceDE/>
        <w:autoSpaceDN/>
        <w:spacing w:line="440" w:lineRule="exact"/>
        <w:jc w:val="both"/>
        <w:rPr>
          <w:rFonts w:ascii="Times New Roman" w:hAnsi="Times New Roman" w:cs="Times New Roman"/>
          <w:color w:val="000000" w:themeColor="text1"/>
          <w:w w:val="99"/>
          <w:kern w:val="2"/>
          <w:sz w:val="24"/>
          <w:szCs w:val="24"/>
          <w:lang w:val="en-US" w:bidi="ar-SA"/>
          <w14:textFill>
            <w14:solidFill>
              <w14:schemeClr w14:val="tx1"/>
            </w14:solidFill>
          </w14:textFill>
        </w:rPr>
      </w:pPr>
      <w:r>
        <w:rPr>
          <w:rFonts w:hint="eastAsia" w:ascii="Times New Roman" w:hAnsi="Times New Roman" w:cs="Times New Roman"/>
          <w:color w:val="000000" w:themeColor="text1"/>
          <w:w w:val="99"/>
          <w:kern w:val="2"/>
          <w:position w:val="2"/>
          <w:sz w:val="24"/>
          <w:szCs w:val="24"/>
          <w:lang w:val="en-US" w:bidi="ar-SA"/>
          <w14:textFill>
            <w14:solidFill>
              <w14:schemeClr w14:val="tx1"/>
            </w14:solidFill>
          </w14:textFill>
        </w:rPr>
        <w:t>式中：</w:t>
      </w:r>
      <w:r>
        <w:rPr>
          <w:rFonts w:ascii="Times New Roman" w:hAnsi="Times New Roman" w:eastAsia="Times New Roman" w:cs="Times New Roman"/>
          <w:color w:val="000000" w:themeColor="text1"/>
          <w:w w:val="99"/>
          <w:kern w:val="2"/>
          <w:position w:val="2"/>
          <w:sz w:val="24"/>
          <w:szCs w:val="24"/>
          <w:lang w:val="en-US" w:bidi="ar-SA"/>
          <w14:textFill>
            <w14:solidFill>
              <w14:schemeClr w14:val="tx1"/>
            </w14:solidFill>
          </w14:textFill>
        </w:rPr>
        <w:t>P</w:t>
      </w:r>
      <w:r>
        <w:rPr>
          <w:rFonts w:ascii="Times New Roman" w:hAnsi="Times New Roman" w:eastAsia="Times New Roman" w:cs="Times New Roman"/>
          <w:color w:val="000000" w:themeColor="text1"/>
          <w:w w:val="99"/>
          <w:kern w:val="2"/>
          <w:position w:val="2"/>
          <w:sz w:val="24"/>
          <w:szCs w:val="24"/>
          <w:vertAlign w:val="subscript"/>
          <w:lang w:val="en-US" w:bidi="ar-SA"/>
          <w14:textFill>
            <w14:solidFill>
              <w14:schemeClr w14:val="tx1"/>
            </w14:solidFill>
          </w14:textFill>
        </w:rPr>
        <w:t>i</w:t>
      </w:r>
      <w:r>
        <w:rPr>
          <w:rFonts w:ascii="Times New Roman" w:hAnsi="Times New Roman" w:eastAsia="Times New Roman" w:cs="Times New Roman"/>
          <w:color w:val="000000" w:themeColor="text1"/>
          <w:w w:val="99"/>
          <w:kern w:val="2"/>
          <w:position w:val="2"/>
          <w:sz w:val="24"/>
          <w:szCs w:val="24"/>
          <w:lang w:val="en-US" w:bidi="ar-SA"/>
          <w14:textFill>
            <w14:solidFill>
              <w14:schemeClr w14:val="tx1"/>
            </w14:solidFill>
          </w14:textFill>
        </w:rPr>
        <w:t>——</w:t>
      </w:r>
      <w:r>
        <w:rPr>
          <w:rFonts w:hint="eastAsia" w:ascii="Times New Roman" w:hAnsi="Times New Roman" w:cs="Times New Roman"/>
          <w:color w:val="000000" w:themeColor="text1"/>
          <w:w w:val="99"/>
          <w:kern w:val="2"/>
          <w:position w:val="2"/>
          <w:sz w:val="24"/>
          <w:szCs w:val="24"/>
          <w:lang w:val="en-US" w:bidi="ar-SA"/>
          <w14:textFill>
            <w14:solidFill>
              <w14:schemeClr w14:val="tx1"/>
            </w14:solidFill>
          </w14:textFill>
        </w:rPr>
        <w:t>第</w:t>
      </w:r>
      <w:r>
        <w:rPr>
          <w:rFonts w:ascii="Times New Roman" w:hAnsi="Times New Roman" w:cs="Times New Roman"/>
          <w:color w:val="000000" w:themeColor="text1"/>
          <w:w w:val="99"/>
          <w:kern w:val="2"/>
          <w:position w:val="2"/>
          <w:sz w:val="24"/>
          <w:szCs w:val="24"/>
          <w:lang w:val="en-US" w:bidi="ar-SA"/>
          <w14:textFill>
            <w14:solidFill>
              <w14:schemeClr w14:val="tx1"/>
            </w14:solidFill>
          </w14:textFill>
        </w:rPr>
        <w:t xml:space="preserve"> </w:t>
      </w:r>
      <w:r>
        <w:rPr>
          <w:rFonts w:ascii="Times New Roman" w:hAnsi="Times New Roman" w:eastAsia="Times New Roman" w:cs="Times New Roman"/>
          <w:color w:val="000000" w:themeColor="text1"/>
          <w:w w:val="99"/>
          <w:kern w:val="2"/>
          <w:position w:val="2"/>
          <w:sz w:val="24"/>
          <w:szCs w:val="24"/>
          <w:lang w:val="en-US" w:bidi="ar-SA"/>
          <w14:textFill>
            <w14:solidFill>
              <w14:schemeClr w14:val="tx1"/>
            </w14:solidFill>
          </w14:textFill>
        </w:rPr>
        <w:t xml:space="preserve">i </w:t>
      </w:r>
      <w:r>
        <w:rPr>
          <w:rFonts w:hint="eastAsia" w:ascii="Times New Roman" w:hAnsi="Times New Roman" w:cs="Times New Roman"/>
          <w:color w:val="000000" w:themeColor="text1"/>
          <w:w w:val="99"/>
          <w:kern w:val="2"/>
          <w:position w:val="2"/>
          <w:sz w:val="24"/>
          <w:szCs w:val="24"/>
          <w:lang w:val="en-US" w:bidi="ar-SA"/>
          <w14:textFill>
            <w14:solidFill>
              <w14:schemeClr w14:val="tx1"/>
            </w14:solidFill>
          </w14:textFill>
        </w:rPr>
        <w:t>个污染物的最大地面空气质量浓度占标率，</w:t>
      </w:r>
      <w:r>
        <w:rPr>
          <w:rFonts w:ascii="Times New Roman" w:hAnsi="Times New Roman" w:eastAsia="Times New Roman" w:cs="Times New Roman"/>
          <w:color w:val="000000" w:themeColor="text1"/>
          <w:w w:val="99"/>
          <w:kern w:val="2"/>
          <w:position w:val="2"/>
          <w:sz w:val="24"/>
          <w:szCs w:val="24"/>
          <w:lang w:val="en-US" w:bidi="ar-SA"/>
          <w14:textFill>
            <w14:solidFill>
              <w14:schemeClr w14:val="tx1"/>
            </w14:solidFill>
          </w14:textFill>
        </w:rPr>
        <w:t>%</w:t>
      </w:r>
      <w:r>
        <w:rPr>
          <w:rFonts w:hint="eastAsia" w:ascii="Times New Roman" w:hAnsi="Times New Roman" w:cs="Times New Roman"/>
          <w:color w:val="000000" w:themeColor="text1"/>
          <w:w w:val="99"/>
          <w:kern w:val="2"/>
          <w:position w:val="2"/>
          <w:sz w:val="24"/>
          <w:szCs w:val="24"/>
          <w:lang w:val="en-US" w:bidi="ar-SA"/>
          <w14:textFill>
            <w14:solidFill>
              <w14:schemeClr w14:val="tx1"/>
            </w14:solidFill>
          </w14:textFill>
        </w:rPr>
        <w:t>；</w:t>
      </w:r>
    </w:p>
    <w:p w14:paraId="47DBDE80">
      <w:pPr>
        <w:autoSpaceDE/>
        <w:autoSpaceDN/>
        <w:spacing w:line="440" w:lineRule="exact"/>
        <w:ind w:firstLine="711" w:firstLineChars="300"/>
        <w:jc w:val="both"/>
        <w:rPr>
          <w:rFonts w:ascii="Times New Roman" w:hAnsi="Times New Roman" w:cs="Times New Roman"/>
          <w:color w:val="000000" w:themeColor="text1"/>
          <w:w w:val="99"/>
          <w:kern w:val="2"/>
          <w:sz w:val="24"/>
          <w:szCs w:val="24"/>
          <w:lang w:val="en-US" w:bidi="ar-SA"/>
          <w14:textFill>
            <w14:solidFill>
              <w14:schemeClr w14:val="tx1"/>
            </w14:solidFill>
          </w14:textFill>
        </w:rPr>
      </w:pPr>
      <w:r>
        <w:rPr>
          <w:rFonts w:ascii="Times New Roman" w:hAnsi="Times New Roman" w:eastAsia="Times New Roman" w:cs="Times New Roman"/>
          <w:color w:val="000000" w:themeColor="text1"/>
          <w:w w:val="99"/>
          <w:kern w:val="2"/>
          <w:position w:val="2"/>
          <w:sz w:val="24"/>
          <w:szCs w:val="24"/>
          <w:lang w:val="en-US" w:bidi="ar-SA"/>
          <w14:textFill>
            <w14:solidFill>
              <w14:schemeClr w14:val="tx1"/>
            </w14:solidFill>
          </w14:textFill>
        </w:rPr>
        <w:t>C</w:t>
      </w:r>
      <w:r>
        <w:rPr>
          <w:rFonts w:ascii="Times New Roman" w:hAnsi="Times New Roman" w:eastAsia="Times New Roman" w:cs="Times New Roman"/>
          <w:color w:val="000000" w:themeColor="text1"/>
          <w:w w:val="99"/>
          <w:kern w:val="2"/>
          <w:position w:val="2"/>
          <w:sz w:val="24"/>
          <w:szCs w:val="24"/>
          <w:vertAlign w:val="subscript"/>
          <w:lang w:val="en-US" w:bidi="ar-SA"/>
          <w14:textFill>
            <w14:solidFill>
              <w14:schemeClr w14:val="tx1"/>
            </w14:solidFill>
          </w14:textFill>
        </w:rPr>
        <w:t>i</w:t>
      </w:r>
      <w:r>
        <w:rPr>
          <w:rFonts w:ascii="Times New Roman" w:hAnsi="Times New Roman" w:eastAsia="Times New Roman" w:cs="Times New Roman"/>
          <w:color w:val="000000" w:themeColor="text1"/>
          <w:w w:val="99"/>
          <w:kern w:val="2"/>
          <w:position w:val="2"/>
          <w:sz w:val="24"/>
          <w:szCs w:val="24"/>
          <w:lang w:val="en-US" w:bidi="ar-SA"/>
          <w14:textFill>
            <w14:solidFill>
              <w14:schemeClr w14:val="tx1"/>
            </w14:solidFill>
          </w14:textFill>
        </w:rPr>
        <w:t>——</w:t>
      </w:r>
      <w:r>
        <w:rPr>
          <w:rFonts w:hint="eastAsia" w:ascii="Times New Roman" w:hAnsi="Times New Roman" w:cs="Times New Roman"/>
          <w:color w:val="000000" w:themeColor="text1"/>
          <w:w w:val="99"/>
          <w:kern w:val="2"/>
          <w:position w:val="2"/>
          <w:sz w:val="24"/>
          <w:szCs w:val="24"/>
          <w:lang w:val="en-US" w:bidi="ar-SA"/>
          <w14:textFill>
            <w14:solidFill>
              <w14:schemeClr w14:val="tx1"/>
            </w14:solidFill>
          </w14:textFill>
        </w:rPr>
        <w:t>采用估算模式计算出的第</w:t>
      </w:r>
      <w:r>
        <w:rPr>
          <w:rFonts w:ascii="Times New Roman" w:hAnsi="Times New Roman" w:eastAsia="Times New Roman" w:cs="Times New Roman"/>
          <w:color w:val="000000" w:themeColor="text1"/>
          <w:w w:val="99"/>
          <w:kern w:val="2"/>
          <w:position w:val="2"/>
          <w:sz w:val="24"/>
          <w:szCs w:val="24"/>
          <w:lang w:val="en-US" w:bidi="ar-SA"/>
          <w14:textFill>
            <w14:solidFill>
              <w14:schemeClr w14:val="tx1"/>
            </w14:solidFill>
          </w14:textFill>
        </w:rPr>
        <w:t>i</w:t>
      </w:r>
      <w:r>
        <w:rPr>
          <w:rFonts w:hint="eastAsia" w:ascii="Times New Roman" w:hAnsi="Times New Roman" w:cs="Times New Roman"/>
          <w:color w:val="000000" w:themeColor="text1"/>
          <w:w w:val="99"/>
          <w:kern w:val="2"/>
          <w:position w:val="2"/>
          <w:sz w:val="24"/>
          <w:szCs w:val="24"/>
          <w:lang w:val="en-US" w:bidi="ar-SA"/>
          <w14:textFill>
            <w14:solidFill>
              <w14:schemeClr w14:val="tx1"/>
            </w14:solidFill>
          </w14:textFill>
        </w:rPr>
        <w:t>个污染物的最大</w:t>
      </w:r>
      <w:r>
        <w:rPr>
          <w:rFonts w:ascii="Times New Roman" w:hAnsi="Times New Roman" w:eastAsia="Times New Roman" w:cs="Times New Roman"/>
          <w:color w:val="000000" w:themeColor="text1"/>
          <w:w w:val="99"/>
          <w:kern w:val="2"/>
          <w:position w:val="2"/>
          <w:sz w:val="24"/>
          <w:szCs w:val="24"/>
          <w:lang w:val="en-US" w:bidi="ar-SA"/>
          <w14:textFill>
            <w14:solidFill>
              <w14:schemeClr w14:val="tx1"/>
            </w14:solidFill>
          </w14:textFill>
        </w:rPr>
        <w:t>1h</w:t>
      </w:r>
      <w:r>
        <w:rPr>
          <w:rFonts w:hint="eastAsia" w:ascii="Times New Roman" w:hAnsi="Times New Roman" w:cs="Times New Roman"/>
          <w:color w:val="000000" w:themeColor="text1"/>
          <w:w w:val="99"/>
          <w:kern w:val="2"/>
          <w:position w:val="2"/>
          <w:sz w:val="24"/>
          <w:szCs w:val="24"/>
          <w:lang w:val="en-US" w:bidi="ar-SA"/>
          <w14:textFill>
            <w14:solidFill>
              <w14:schemeClr w14:val="tx1"/>
            </w14:solidFill>
          </w14:textFill>
        </w:rPr>
        <w:t>地面空气质量浓度，</w:t>
      </w:r>
      <w:r>
        <w:rPr>
          <w:rFonts w:ascii="Times New Roman" w:hAnsi="Times New Roman" w:eastAsia="Times New Roman" w:cs="Times New Roman"/>
          <w:color w:val="000000" w:themeColor="text1"/>
          <w:w w:val="99"/>
          <w:kern w:val="2"/>
          <w:position w:val="2"/>
          <w:sz w:val="24"/>
          <w:szCs w:val="24"/>
          <w:lang w:val="en-US" w:bidi="ar-SA"/>
          <w14:textFill>
            <w14:solidFill>
              <w14:schemeClr w14:val="tx1"/>
            </w14:solidFill>
          </w14:textFill>
        </w:rPr>
        <w:t>μg/m</w:t>
      </w:r>
      <w:r>
        <w:rPr>
          <w:rFonts w:ascii="Times New Roman" w:hAnsi="Times New Roman" w:eastAsia="Times New Roman" w:cs="Times New Roman"/>
          <w:color w:val="000000" w:themeColor="text1"/>
          <w:w w:val="99"/>
          <w:kern w:val="2"/>
          <w:position w:val="2"/>
          <w:sz w:val="24"/>
          <w:szCs w:val="24"/>
          <w:vertAlign w:val="superscript"/>
          <w:lang w:val="en-US" w:bidi="ar-SA"/>
          <w14:textFill>
            <w14:solidFill>
              <w14:schemeClr w14:val="tx1"/>
            </w14:solidFill>
          </w14:textFill>
        </w:rPr>
        <w:t>3</w:t>
      </w:r>
      <w:r>
        <w:rPr>
          <w:rFonts w:hint="eastAsia" w:ascii="Times New Roman" w:hAnsi="Times New Roman" w:cs="Times New Roman"/>
          <w:color w:val="000000" w:themeColor="text1"/>
          <w:w w:val="99"/>
          <w:kern w:val="2"/>
          <w:position w:val="2"/>
          <w:sz w:val="24"/>
          <w:szCs w:val="24"/>
          <w:lang w:val="en-US" w:bidi="ar-SA"/>
          <w14:textFill>
            <w14:solidFill>
              <w14:schemeClr w14:val="tx1"/>
            </w14:solidFill>
          </w14:textFill>
        </w:rPr>
        <w:t>；</w:t>
      </w:r>
    </w:p>
    <w:p w14:paraId="58F3A040">
      <w:pPr>
        <w:autoSpaceDE/>
        <w:autoSpaceDN/>
        <w:spacing w:line="440" w:lineRule="exact"/>
        <w:ind w:firstLine="711" w:firstLineChars="300"/>
        <w:jc w:val="both"/>
        <w:rPr>
          <w:rFonts w:ascii="Times New Roman" w:hAnsi="Times New Roman" w:cs="Times New Roman"/>
          <w:color w:val="000000" w:themeColor="text1"/>
          <w:w w:val="99"/>
          <w:kern w:val="2"/>
          <w:sz w:val="24"/>
          <w:szCs w:val="24"/>
          <w:lang w:val="en-US" w:bidi="ar-SA"/>
          <w14:textFill>
            <w14:solidFill>
              <w14:schemeClr w14:val="tx1"/>
            </w14:solidFill>
          </w14:textFill>
        </w:rPr>
      </w:pPr>
      <w:r>
        <w:rPr>
          <w:rFonts w:ascii="Times New Roman" w:hAnsi="Times New Roman" w:eastAsia="Times New Roman" w:cs="Times New Roman"/>
          <w:color w:val="000000" w:themeColor="text1"/>
          <w:w w:val="99"/>
          <w:kern w:val="2"/>
          <w:position w:val="2"/>
          <w:sz w:val="24"/>
          <w:szCs w:val="24"/>
          <w:lang w:val="en-US" w:bidi="ar-SA"/>
          <w14:textFill>
            <w14:solidFill>
              <w14:schemeClr w14:val="tx1"/>
            </w14:solidFill>
          </w14:textFill>
        </w:rPr>
        <w:t>C</w:t>
      </w:r>
      <w:r>
        <w:rPr>
          <w:rFonts w:ascii="Times New Roman" w:hAnsi="Times New Roman" w:eastAsia="Times New Roman" w:cs="Times New Roman"/>
          <w:color w:val="000000" w:themeColor="text1"/>
          <w:w w:val="99"/>
          <w:kern w:val="2"/>
          <w:position w:val="2"/>
          <w:sz w:val="24"/>
          <w:szCs w:val="24"/>
          <w:vertAlign w:val="subscript"/>
          <w:lang w:val="en-US" w:bidi="ar-SA"/>
          <w14:textFill>
            <w14:solidFill>
              <w14:schemeClr w14:val="tx1"/>
            </w14:solidFill>
          </w14:textFill>
        </w:rPr>
        <w:t>0i</w:t>
      </w:r>
      <w:r>
        <w:rPr>
          <w:rFonts w:ascii="Times New Roman" w:hAnsi="Times New Roman" w:eastAsia="Times New Roman" w:cs="Times New Roman"/>
          <w:color w:val="000000" w:themeColor="text1"/>
          <w:w w:val="99"/>
          <w:kern w:val="2"/>
          <w:position w:val="2"/>
          <w:sz w:val="24"/>
          <w:szCs w:val="24"/>
          <w:lang w:val="en-US" w:bidi="ar-SA"/>
          <w14:textFill>
            <w14:solidFill>
              <w14:schemeClr w14:val="tx1"/>
            </w14:solidFill>
          </w14:textFill>
        </w:rPr>
        <w:t>——</w:t>
      </w:r>
      <w:r>
        <w:rPr>
          <w:rFonts w:hint="eastAsia" w:ascii="Times New Roman" w:hAnsi="Times New Roman" w:cs="Times New Roman"/>
          <w:color w:val="000000" w:themeColor="text1"/>
          <w:w w:val="99"/>
          <w:kern w:val="2"/>
          <w:position w:val="2"/>
          <w:sz w:val="24"/>
          <w:szCs w:val="24"/>
          <w:lang w:val="en-US" w:bidi="ar-SA"/>
          <w14:textFill>
            <w14:solidFill>
              <w14:schemeClr w14:val="tx1"/>
            </w14:solidFill>
          </w14:textFill>
        </w:rPr>
        <w:t>第</w:t>
      </w:r>
      <w:r>
        <w:rPr>
          <w:rFonts w:ascii="Times New Roman" w:hAnsi="Times New Roman" w:cs="Times New Roman"/>
          <w:color w:val="000000" w:themeColor="text1"/>
          <w:w w:val="99"/>
          <w:kern w:val="2"/>
          <w:position w:val="2"/>
          <w:sz w:val="24"/>
          <w:szCs w:val="24"/>
          <w:lang w:val="en-US" w:bidi="ar-SA"/>
          <w14:textFill>
            <w14:solidFill>
              <w14:schemeClr w14:val="tx1"/>
            </w14:solidFill>
          </w14:textFill>
        </w:rPr>
        <w:t xml:space="preserve"> </w:t>
      </w:r>
      <w:r>
        <w:rPr>
          <w:rFonts w:ascii="Times New Roman" w:hAnsi="Times New Roman" w:eastAsia="Times New Roman" w:cs="Times New Roman"/>
          <w:color w:val="000000" w:themeColor="text1"/>
          <w:w w:val="99"/>
          <w:kern w:val="2"/>
          <w:position w:val="2"/>
          <w:sz w:val="24"/>
          <w:szCs w:val="24"/>
          <w:lang w:val="en-US" w:bidi="ar-SA"/>
          <w14:textFill>
            <w14:solidFill>
              <w14:schemeClr w14:val="tx1"/>
            </w14:solidFill>
          </w14:textFill>
        </w:rPr>
        <w:t xml:space="preserve">i </w:t>
      </w:r>
      <w:r>
        <w:rPr>
          <w:rFonts w:hint="eastAsia" w:ascii="Times New Roman" w:hAnsi="Times New Roman" w:cs="Times New Roman"/>
          <w:color w:val="000000" w:themeColor="text1"/>
          <w:w w:val="99"/>
          <w:kern w:val="2"/>
          <w:position w:val="2"/>
          <w:sz w:val="24"/>
          <w:szCs w:val="24"/>
          <w:lang w:val="en-US" w:bidi="ar-SA"/>
          <w14:textFill>
            <w14:solidFill>
              <w14:schemeClr w14:val="tx1"/>
            </w14:solidFill>
          </w14:textFill>
        </w:rPr>
        <w:t>个污染物的环境空气质量浓度标准，</w:t>
      </w:r>
      <w:r>
        <w:rPr>
          <w:rFonts w:ascii="Times New Roman" w:hAnsi="Times New Roman" w:eastAsia="Times New Roman" w:cs="Times New Roman"/>
          <w:color w:val="000000" w:themeColor="text1"/>
          <w:w w:val="99"/>
          <w:kern w:val="2"/>
          <w:position w:val="2"/>
          <w:sz w:val="24"/>
          <w:szCs w:val="24"/>
          <w:lang w:val="en-US" w:bidi="ar-SA"/>
          <w14:textFill>
            <w14:solidFill>
              <w14:schemeClr w14:val="tx1"/>
            </w14:solidFill>
          </w14:textFill>
        </w:rPr>
        <w:t>μg/m</w:t>
      </w:r>
      <w:r>
        <w:rPr>
          <w:rFonts w:ascii="Times New Roman" w:hAnsi="Times New Roman" w:eastAsia="Times New Roman" w:cs="Times New Roman"/>
          <w:color w:val="000000" w:themeColor="text1"/>
          <w:w w:val="99"/>
          <w:kern w:val="2"/>
          <w:position w:val="2"/>
          <w:sz w:val="24"/>
          <w:szCs w:val="24"/>
          <w:vertAlign w:val="superscript"/>
          <w:lang w:val="en-US" w:bidi="ar-SA"/>
          <w14:textFill>
            <w14:solidFill>
              <w14:schemeClr w14:val="tx1"/>
            </w14:solidFill>
          </w14:textFill>
        </w:rPr>
        <w:t>3</w:t>
      </w:r>
      <w:r>
        <w:rPr>
          <w:rFonts w:hint="eastAsia" w:ascii="Times New Roman" w:hAnsi="Times New Roman" w:cs="Times New Roman"/>
          <w:color w:val="000000" w:themeColor="text1"/>
          <w:w w:val="99"/>
          <w:kern w:val="2"/>
          <w:position w:val="2"/>
          <w:sz w:val="24"/>
          <w:szCs w:val="24"/>
          <w:lang w:val="en-US" w:bidi="ar-SA"/>
          <w14:textFill>
            <w14:solidFill>
              <w14:schemeClr w14:val="tx1"/>
            </w14:solidFill>
          </w14:textFill>
        </w:rPr>
        <w:t>。</w:t>
      </w:r>
    </w:p>
    <w:p w14:paraId="1557A998">
      <w:pPr>
        <w:tabs>
          <w:tab w:val="left" w:pos="1571"/>
        </w:tabs>
        <w:autoSpaceDE/>
        <w:autoSpaceDN/>
        <w:spacing w:line="440" w:lineRule="exact"/>
        <w:ind w:firstLine="474" w:firstLineChars="200"/>
        <w:jc w:val="both"/>
        <w:rPr>
          <w:rFonts w:ascii="Times New Roman" w:hAnsi="Times New Roman" w:cs="Times New Roman"/>
          <w:color w:val="000000" w:themeColor="text1"/>
          <w:w w:val="99"/>
          <w:position w:val="2"/>
          <w:sz w:val="24"/>
          <w:szCs w:val="24"/>
          <w:lang w:val="en-US"/>
          <w14:textFill>
            <w14:solidFill>
              <w14:schemeClr w14:val="tx1"/>
            </w14:solidFill>
          </w14:textFill>
        </w:rPr>
      </w:pPr>
      <w:r>
        <w:rPr>
          <w:rFonts w:hint="eastAsia" w:ascii="Times New Roman" w:hAnsi="Times New Roman" w:cs="Times New Roman"/>
          <w:color w:val="000000" w:themeColor="text1"/>
          <w:w w:val="99"/>
          <w:position w:val="2"/>
          <w:sz w:val="24"/>
          <w:szCs w:val="24"/>
          <w14:textFill>
            <w14:solidFill>
              <w14:schemeClr w14:val="tx1"/>
            </w14:solidFill>
          </w14:textFill>
        </w:rPr>
        <w:t>根据</w:t>
      </w:r>
      <w:r>
        <w:rPr>
          <w:rFonts w:ascii="Times New Roman" w:hAnsi="Times New Roman" w:cs="Times New Roman"/>
          <w:color w:val="000000" w:themeColor="text1"/>
          <w:w w:val="99"/>
          <w:position w:val="2"/>
          <w:sz w:val="24"/>
          <w:szCs w:val="24"/>
          <w14:textFill>
            <w14:solidFill>
              <w14:schemeClr w14:val="tx1"/>
            </w14:solidFill>
          </w14:textFill>
        </w:rPr>
        <w:t>AERSCREEN</w:t>
      </w:r>
      <w:r>
        <w:rPr>
          <w:rFonts w:hint="eastAsia" w:ascii="Times New Roman" w:hAnsi="Times New Roman" w:cs="Times New Roman"/>
          <w:color w:val="000000" w:themeColor="text1"/>
          <w:w w:val="99"/>
          <w:position w:val="2"/>
          <w:sz w:val="24"/>
          <w:szCs w:val="24"/>
          <w14:textFill>
            <w14:solidFill>
              <w14:schemeClr w14:val="tx1"/>
            </w14:solidFill>
          </w14:textFill>
        </w:rPr>
        <w:t>估算模式预测，本项目最大地面浓度占标率计算结果见表</w:t>
      </w:r>
      <w:r>
        <w:rPr>
          <w:rFonts w:ascii="Times New Roman" w:hAnsi="Times New Roman" w:cs="Times New Roman"/>
          <w:color w:val="000000" w:themeColor="text1"/>
          <w:w w:val="99"/>
          <w:position w:val="2"/>
          <w:sz w:val="24"/>
          <w:szCs w:val="24"/>
          <w:lang w:val="en-US"/>
          <w14:textFill>
            <w14:solidFill>
              <w14:schemeClr w14:val="tx1"/>
            </w14:solidFill>
          </w14:textFill>
        </w:rPr>
        <w:t>2.5-3</w:t>
      </w:r>
      <w:r>
        <w:rPr>
          <w:rFonts w:hint="eastAsia" w:ascii="Times New Roman" w:hAnsi="Times New Roman" w:cs="Times New Roman"/>
          <w:color w:val="000000" w:themeColor="text1"/>
          <w:w w:val="99"/>
          <w:position w:val="2"/>
          <w:sz w:val="24"/>
          <w:szCs w:val="24"/>
          <w:lang w:val="en-US"/>
          <w14:textFill>
            <w14:solidFill>
              <w14:schemeClr w14:val="tx1"/>
            </w14:solidFill>
          </w14:textFill>
        </w:rPr>
        <w:t>。</w:t>
      </w:r>
    </w:p>
    <w:p w14:paraId="5F11E6BC">
      <w:pPr>
        <w:tabs>
          <w:tab w:val="left" w:pos="1571"/>
        </w:tabs>
        <w:autoSpaceDE/>
        <w:autoSpaceDN/>
        <w:spacing w:line="440" w:lineRule="exact"/>
        <w:ind w:firstLine="476" w:firstLineChars="200"/>
        <w:jc w:val="both"/>
        <w:rPr>
          <w:rFonts w:ascii="Times New Roman" w:hAnsi="Times New Roman" w:cs="Times New Roman"/>
          <w:b/>
          <w:color w:val="000000" w:themeColor="text1"/>
          <w:w w:val="99"/>
          <w:sz w:val="28"/>
          <w:lang w:val="en-US"/>
          <w14:textFill>
            <w14:solidFill>
              <w14:schemeClr w14:val="tx1"/>
            </w14:solidFill>
          </w14:textFill>
        </w:rPr>
      </w:pPr>
      <w:r>
        <w:rPr>
          <w:rFonts w:hint="eastAsia" w:ascii="Times New Roman" w:hAnsi="Times New Roman" w:cs="Times New Roman"/>
          <w:b/>
          <w:color w:val="000000" w:themeColor="text1"/>
          <w:w w:val="99"/>
          <w:sz w:val="24"/>
          <w:szCs w:val="24"/>
          <w14:textFill>
            <w14:solidFill>
              <w14:schemeClr w14:val="tx1"/>
            </w14:solidFill>
          </w14:textFill>
        </w:rPr>
        <w:t>表</w:t>
      </w:r>
      <w:r>
        <w:rPr>
          <w:rFonts w:ascii="Times New Roman" w:hAnsi="Times New Roman" w:cs="Times New Roman"/>
          <w:b/>
          <w:color w:val="000000" w:themeColor="text1"/>
          <w:w w:val="99"/>
          <w:sz w:val="24"/>
          <w:szCs w:val="24"/>
          <w:lang w:val="en-US"/>
          <w14:textFill>
            <w14:solidFill>
              <w14:schemeClr w14:val="tx1"/>
            </w14:solidFill>
          </w14:textFill>
        </w:rPr>
        <w:t xml:space="preserve">2.5-3    </w:t>
      </w:r>
      <w:r>
        <w:rPr>
          <w:rFonts w:hint="eastAsia" w:ascii="Times New Roman" w:hAnsi="Times New Roman" w:cs="Times New Roman"/>
          <w:b/>
          <w:color w:val="000000" w:themeColor="text1"/>
          <w:w w:val="99"/>
          <w:position w:val="2"/>
          <w:sz w:val="24"/>
          <w:szCs w:val="24"/>
          <w14:textFill>
            <w14:solidFill>
              <w14:schemeClr w14:val="tx1"/>
            </w14:solidFill>
          </w14:textFill>
        </w:rPr>
        <w:t>主要污染物最大地面浓度占标率计算结果</w:t>
      </w:r>
    </w:p>
    <w:tbl>
      <w:tblPr>
        <w:tblStyle w:val="8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5"/>
        <w:gridCol w:w="1889"/>
        <w:gridCol w:w="2034"/>
        <w:gridCol w:w="2608"/>
      </w:tblGrid>
      <w:tr w14:paraId="53B75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483" w:type="pct"/>
            <w:vAlign w:val="center"/>
          </w:tcPr>
          <w:p w14:paraId="4CCDB52E">
            <w:pPr>
              <w:autoSpaceDE/>
              <w:autoSpaceDN/>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lang w:val="en-US" w:bidi="ar-SA"/>
                <w14:textFill>
                  <w14:solidFill>
                    <w14:schemeClr w14:val="tx1"/>
                  </w14:solidFill>
                </w14:textFill>
              </w:rPr>
              <w:t>污染源</w:t>
            </w:r>
          </w:p>
        </w:tc>
        <w:tc>
          <w:tcPr>
            <w:tcW w:w="1017" w:type="pct"/>
            <w:vAlign w:val="center"/>
          </w:tcPr>
          <w:p w14:paraId="0AAC7B5C">
            <w:pPr>
              <w:autoSpaceDE/>
              <w:autoSpaceDN/>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lang w:val="en-US" w:bidi="ar-SA"/>
                <w14:textFill>
                  <w14:solidFill>
                    <w14:schemeClr w14:val="tx1"/>
                  </w14:solidFill>
                </w14:textFill>
              </w:rPr>
              <w:t>预测因子</w:t>
            </w:r>
          </w:p>
        </w:tc>
        <w:tc>
          <w:tcPr>
            <w:tcW w:w="1095" w:type="pct"/>
          </w:tcPr>
          <w:p w14:paraId="16051D24">
            <w:pPr>
              <w:autoSpaceDE/>
              <w:autoSpaceDN/>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lang w:val="en-US" w:bidi="ar-SA"/>
                <w14:textFill>
                  <w14:solidFill>
                    <w14:schemeClr w14:val="tx1"/>
                  </w14:solidFill>
                </w14:textFill>
              </w:rPr>
              <w:t>最大地面空气质量浓度（</w:t>
            </w:r>
            <w:r>
              <w:rPr>
                <w:rFonts w:ascii="Times New Roman" w:hAnsi="Times New Roman" w:cs="Times New Roman"/>
                <w:color w:val="000000" w:themeColor="text1"/>
                <w:w w:val="99"/>
                <w:kern w:val="2"/>
                <w:sz w:val="21"/>
                <w:szCs w:val="21"/>
                <w:lang w:val="en-US" w:bidi="ar-SA"/>
                <w14:textFill>
                  <w14:solidFill>
                    <w14:schemeClr w14:val="tx1"/>
                  </w14:solidFill>
                </w14:textFill>
              </w:rPr>
              <w:t>μg/m³</w:t>
            </w:r>
            <w:r>
              <w:rPr>
                <w:rFonts w:hint="eastAsia" w:ascii="Times New Roman" w:hAnsi="Times New Roman" w:cs="Times New Roman"/>
                <w:color w:val="000000" w:themeColor="text1"/>
                <w:w w:val="99"/>
                <w:kern w:val="2"/>
                <w:sz w:val="21"/>
                <w:szCs w:val="21"/>
                <w:lang w:val="en-US" w:bidi="ar-SA"/>
                <w14:textFill>
                  <w14:solidFill>
                    <w14:schemeClr w14:val="tx1"/>
                  </w14:solidFill>
                </w14:textFill>
              </w:rPr>
              <w:t>）</w:t>
            </w:r>
          </w:p>
        </w:tc>
        <w:tc>
          <w:tcPr>
            <w:tcW w:w="1404" w:type="pct"/>
            <w:vAlign w:val="center"/>
          </w:tcPr>
          <w:p w14:paraId="5D3BA1B4">
            <w:pPr>
              <w:autoSpaceDE/>
              <w:autoSpaceDN/>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lang w:val="en-US" w:bidi="ar-SA"/>
                <w14:textFill>
                  <w14:solidFill>
                    <w14:schemeClr w14:val="tx1"/>
                  </w14:solidFill>
                </w14:textFill>
              </w:rPr>
              <w:t>最大浓度占标率（</w:t>
            </w:r>
            <w:r>
              <w:rPr>
                <w:rFonts w:ascii="Times New Roman" w:hAnsi="Times New Roman" w:cs="Times New Roman"/>
                <w:color w:val="000000" w:themeColor="text1"/>
                <w:w w:val="99"/>
                <w:kern w:val="2"/>
                <w:sz w:val="21"/>
                <w:szCs w:val="21"/>
                <w:lang w:val="en-US" w:bidi="ar-SA"/>
                <w14:textFill>
                  <w14:solidFill>
                    <w14:schemeClr w14:val="tx1"/>
                  </w14:solidFill>
                </w14:textFill>
              </w:rPr>
              <w:t>%</w:t>
            </w:r>
            <w:r>
              <w:rPr>
                <w:rFonts w:hint="eastAsia" w:ascii="Times New Roman" w:hAnsi="Times New Roman" w:cs="Times New Roman"/>
                <w:color w:val="000000" w:themeColor="text1"/>
                <w:w w:val="99"/>
                <w:kern w:val="2"/>
                <w:sz w:val="21"/>
                <w:szCs w:val="21"/>
                <w:lang w:val="en-US" w:bidi="ar-SA"/>
                <w14:textFill>
                  <w14:solidFill>
                    <w14:schemeClr w14:val="tx1"/>
                  </w14:solidFill>
                </w14:textFill>
              </w:rPr>
              <w:t>）</w:t>
            </w:r>
          </w:p>
        </w:tc>
      </w:tr>
      <w:tr w14:paraId="46D8A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83" w:type="pct"/>
            <w:vAlign w:val="center"/>
          </w:tcPr>
          <w:p w14:paraId="3B6B0F26">
            <w:pPr>
              <w:autoSpaceDE/>
              <w:autoSpaceDN/>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color w:val="000000" w:themeColor="text1"/>
                <w:w w:val="99"/>
                <w:kern w:val="24"/>
                <w:sz w:val="21"/>
                <w:szCs w:val="21"/>
                <w:lang w:val="en-US" w:bidi="ar-SA"/>
                <w14:textFill>
                  <w14:solidFill>
                    <w14:schemeClr w14:val="tx1"/>
                  </w14:solidFill>
                </w14:textFill>
              </w:rPr>
              <w:t>混输阀组间</w:t>
            </w:r>
          </w:p>
        </w:tc>
        <w:tc>
          <w:tcPr>
            <w:tcW w:w="1017" w:type="pct"/>
            <w:vAlign w:val="center"/>
          </w:tcPr>
          <w:p w14:paraId="1530F3C8">
            <w:pPr>
              <w:autoSpaceDE/>
              <w:autoSpaceDN/>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lang w:val="en-US" w:bidi="ar-SA"/>
                <w14:textFill>
                  <w14:solidFill>
                    <w14:schemeClr w14:val="tx1"/>
                  </w14:solidFill>
                </w14:textFill>
              </w:rPr>
              <w:t>非甲烷总烃</w:t>
            </w:r>
          </w:p>
        </w:tc>
        <w:tc>
          <w:tcPr>
            <w:tcW w:w="1095" w:type="pct"/>
            <w:vAlign w:val="center"/>
          </w:tcPr>
          <w:p w14:paraId="1205045E">
            <w:pPr>
              <w:autoSpaceDE/>
              <w:autoSpaceDN/>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3.3425</w:t>
            </w:r>
          </w:p>
        </w:tc>
        <w:tc>
          <w:tcPr>
            <w:tcW w:w="1404" w:type="pct"/>
            <w:vAlign w:val="center"/>
          </w:tcPr>
          <w:p w14:paraId="65855347">
            <w:pPr>
              <w:autoSpaceDE/>
              <w:autoSpaceDN/>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0.1671</w:t>
            </w:r>
          </w:p>
        </w:tc>
      </w:tr>
    </w:tbl>
    <w:p w14:paraId="3327DF5E">
      <w:pPr>
        <w:autoSpaceDE/>
        <w:autoSpaceDN/>
        <w:spacing w:line="440" w:lineRule="exact"/>
        <w:ind w:firstLine="474" w:firstLineChars="200"/>
        <w:jc w:val="both"/>
        <w:rPr>
          <w:rFonts w:ascii="Times New Roman" w:hAnsi="Times New Roman" w:cs="Times New Roman"/>
          <w:color w:val="000000" w:themeColor="text1"/>
          <w:w w:val="99"/>
          <w:position w:val="2"/>
          <w:sz w:val="24"/>
          <w:szCs w:val="24"/>
          <w14:textFill>
            <w14:solidFill>
              <w14:schemeClr w14:val="tx1"/>
            </w14:solidFill>
          </w14:textFill>
        </w:rPr>
      </w:pPr>
      <w:r>
        <w:rPr>
          <w:rFonts w:hint="eastAsia" w:ascii="Times New Roman" w:hAnsi="Times New Roman" w:cs="Times New Roman"/>
          <w:color w:val="000000" w:themeColor="text1"/>
          <w:w w:val="99"/>
          <w:position w:val="2"/>
          <w:sz w:val="24"/>
          <w:szCs w:val="24"/>
          <w14:textFill>
            <w14:solidFill>
              <w14:schemeClr w14:val="tx1"/>
            </w14:solidFill>
          </w14:textFill>
        </w:rPr>
        <w:t>《环境影响评价技术导则</w:t>
      </w:r>
      <w:r>
        <w:rPr>
          <w:rFonts w:ascii="Times New Roman" w:hAnsi="Times New Roman" w:cs="Times New Roman"/>
          <w:color w:val="000000" w:themeColor="text1"/>
          <w:w w:val="99"/>
          <w:position w:val="2"/>
          <w:sz w:val="24"/>
          <w:szCs w:val="24"/>
          <w14:textFill>
            <w14:solidFill>
              <w14:schemeClr w14:val="tx1"/>
            </w14:solidFill>
          </w14:textFill>
        </w:rPr>
        <w:t xml:space="preserve"> </w:t>
      </w:r>
      <w:r>
        <w:rPr>
          <w:rFonts w:hint="eastAsia" w:ascii="Times New Roman" w:hAnsi="Times New Roman" w:cs="Times New Roman"/>
          <w:color w:val="000000" w:themeColor="text1"/>
          <w:w w:val="99"/>
          <w:position w:val="2"/>
          <w:sz w:val="24"/>
          <w:szCs w:val="24"/>
          <w14:textFill>
            <w14:solidFill>
              <w14:schemeClr w14:val="tx1"/>
            </w14:solidFill>
          </w14:textFill>
        </w:rPr>
        <w:t>大气环境》（</w:t>
      </w:r>
      <w:r>
        <w:rPr>
          <w:rFonts w:ascii="Times New Roman" w:hAnsi="Times New Roman" w:cs="Times New Roman"/>
          <w:color w:val="000000" w:themeColor="text1"/>
          <w:w w:val="99"/>
          <w:position w:val="2"/>
          <w:sz w:val="24"/>
          <w:szCs w:val="24"/>
          <w14:textFill>
            <w14:solidFill>
              <w14:schemeClr w14:val="tx1"/>
            </w14:solidFill>
          </w14:textFill>
        </w:rPr>
        <w:t>HJ2.2-2018</w:t>
      </w:r>
      <w:r>
        <w:rPr>
          <w:rFonts w:hint="eastAsia" w:ascii="Times New Roman" w:hAnsi="Times New Roman" w:cs="Times New Roman"/>
          <w:color w:val="000000" w:themeColor="text1"/>
          <w:w w:val="99"/>
          <w:position w:val="2"/>
          <w:sz w:val="24"/>
          <w:szCs w:val="24"/>
          <w14:textFill>
            <w14:solidFill>
              <w14:schemeClr w14:val="tx1"/>
            </w14:solidFill>
          </w14:textFill>
        </w:rPr>
        <w:t>）中评价等级的划分原则见表</w:t>
      </w:r>
      <w:r>
        <w:rPr>
          <w:rFonts w:ascii="Times New Roman" w:hAnsi="Times New Roman" w:cs="Times New Roman"/>
          <w:color w:val="000000" w:themeColor="text1"/>
          <w:w w:val="99"/>
          <w:position w:val="2"/>
          <w:sz w:val="24"/>
          <w:szCs w:val="24"/>
          <w14:textFill>
            <w14:solidFill>
              <w14:schemeClr w14:val="tx1"/>
            </w14:solidFill>
          </w14:textFill>
        </w:rPr>
        <w:t>2.5-4</w:t>
      </w:r>
      <w:r>
        <w:rPr>
          <w:rFonts w:hint="eastAsia" w:ascii="Times New Roman" w:hAnsi="Times New Roman" w:cs="Times New Roman"/>
          <w:color w:val="000000" w:themeColor="text1"/>
          <w:w w:val="99"/>
          <w:position w:val="2"/>
          <w:sz w:val="24"/>
          <w:szCs w:val="24"/>
          <w14:textFill>
            <w14:solidFill>
              <w14:schemeClr w14:val="tx1"/>
            </w14:solidFill>
          </w14:textFill>
        </w:rPr>
        <w:t>。</w:t>
      </w:r>
    </w:p>
    <w:p w14:paraId="1BB0DB2A">
      <w:pPr>
        <w:tabs>
          <w:tab w:val="left" w:pos="1571"/>
        </w:tabs>
        <w:autoSpaceDE/>
        <w:autoSpaceDN/>
        <w:spacing w:line="440" w:lineRule="exact"/>
        <w:ind w:left="440" w:leftChars="200"/>
        <w:jc w:val="both"/>
        <w:rPr>
          <w:rFonts w:ascii="Times New Roman" w:hAnsi="Times New Roman" w:cs="Times New Roman"/>
          <w:b/>
          <w:color w:val="000000" w:themeColor="text1"/>
          <w:w w:val="99"/>
          <w:sz w:val="24"/>
          <w:szCs w:val="24"/>
          <w:lang w:val="en-US"/>
          <w14:textFill>
            <w14:solidFill>
              <w14:schemeClr w14:val="tx1"/>
            </w14:solidFill>
          </w14:textFill>
        </w:rPr>
      </w:pPr>
      <w:r>
        <w:rPr>
          <w:rFonts w:hint="eastAsia" w:ascii="Times New Roman" w:hAnsi="Times New Roman" w:cs="Times New Roman"/>
          <w:b/>
          <w:color w:val="000000" w:themeColor="text1"/>
          <w:w w:val="99"/>
          <w:sz w:val="24"/>
          <w:szCs w:val="24"/>
          <w14:textFill>
            <w14:solidFill>
              <w14:schemeClr w14:val="tx1"/>
            </w14:solidFill>
          </w14:textFill>
        </w:rPr>
        <w:t>表</w:t>
      </w:r>
      <w:r>
        <w:rPr>
          <w:rFonts w:ascii="Times New Roman" w:hAnsi="Times New Roman" w:cs="Times New Roman"/>
          <w:b/>
          <w:color w:val="000000" w:themeColor="text1"/>
          <w:w w:val="99"/>
          <w:sz w:val="24"/>
          <w:szCs w:val="24"/>
          <w:lang w:val="en-US"/>
          <w14:textFill>
            <w14:solidFill>
              <w14:schemeClr w14:val="tx1"/>
            </w14:solidFill>
          </w14:textFill>
        </w:rPr>
        <w:t xml:space="preserve">2.5-4    </w:t>
      </w:r>
      <w:r>
        <w:rPr>
          <w:rFonts w:hint="eastAsia" w:ascii="Times New Roman" w:hAnsi="Times New Roman" w:cs="Times New Roman"/>
          <w:b/>
          <w:color w:val="000000" w:themeColor="text1"/>
          <w:w w:val="99"/>
          <w:position w:val="2"/>
          <w:sz w:val="24"/>
          <w:szCs w:val="24"/>
          <w14:textFill>
            <w14:solidFill>
              <w14:schemeClr w14:val="tx1"/>
            </w14:solidFill>
          </w14:textFill>
        </w:rPr>
        <w:t>评价等级判别表</w:t>
      </w:r>
    </w:p>
    <w:tbl>
      <w:tblPr>
        <w:tblStyle w:val="80"/>
        <w:tblW w:w="92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6"/>
        <w:gridCol w:w="4646"/>
      </w:tblGrid>
      <w:tr w14:paraId="28330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46" w:type="dxa"/>
            <w:vAlign w:val="center"/>
          </w:tcPr>
          <w:p w14:paraId="6AD48EB5">
            <w:pPr>
              <w:autoSpaceDE/>
              <w:autoSpaceDN/>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lang w:val="en-US" w:bidi="ar-SA"/>
                <w14:textFill>
                  <w14:solidFill>
                    <w14:schemeClr w14:val="tx1"/>
                  </w14:solidFill>
                </w14:textFill>
              </w:rPr>
              <w:t>评价工作等级</w:t>
            </w:r>
          </w:p>
        </w:tc>
        <w:tc>
          <w:tcPr>
            <w:tcW w:w="4646" w:type="dxa"/>
            <w:vAlign w:val="center"/>
          </w:tcPr>
          <w:p w14:paraId="77739549">
            <w:pPr>
              <w:autoSpaceDE/>
              <w:autoSpaceDN/>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lang w:val="en-US" w:bidi="ar-SA"/>
                <w14:textFill>
                  <w14:solidFill>
                    <w14:schemeClr w14:val="tx1"/>
                  </w14:solidFill>
                </w14:textFill>
              </w:rPr>
              <w:t>烟尘</w:t>
            </w:r>
          </w:p>
        </w:tc>
      </w:tr>
      <w:tr w14:paraId="0CC55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6" w:type="dxa"/>
            <w:vAlign w:val="center"/>
          </w:tcPr>
          <w:p w14:paraId="47E5D2DA">
            <w:pPr>
              <w:autoSpaceDE/>
              <w:autoSpaceDN/>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lang w:val="en-US" w:bidi="ar-SA"/>
                <w14:textFill>
                  <w14:solidFill>
                    <w14:schemeClr w14:val="tx1"/>
                  </w14:solidFill>
                </w14:textFill>
              </w:rPr>
              <w:t>一级</w:t>
            </w:r>
          </w:p>
        </w:tc>
        <w:tc>
          <w:tcPr>
            <w:tcW w:w="4646" w:type="dxa"/>
            <w:vAlign w:val="center"/>
          </w:tcPr>
          <w:p w14:paraId="56D6E2BD">
            <w:pPr>
              <w:autoSpaceDE/>
              <w:autoSpaceDN/>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P</w:t>
            </w:r>
            <w:r>
              <w:rPr>
                <w:rFonts w:ascii="Times New Roman" w:hAnsi="Times New Roman" w:cs="Times New Roman"/>
                <w:color w:val="000000" w:themeColor="text1"/>
                <w:w w:val="99"/>
                <w:kern w:val="2"/>
                <w:sz w:val="21"/>
                <w:szCs w:val="21"/>
                <w:vertAlign w:val="subscript"/>
                <w:lang w:val="en-US" w:bidi="ar-SA"/>
                <w14:textFill>
                  <w14:solidFill>
                    <w14:schemeClr w14:val="tx1"/>
                  </w14:solidFill>
                </w14:textFill>
              </w:rPr>
              <w:t>max</w:t>
            </w:r>
            <w:r>
              <w:rPr>
                <w:rFonts w:hint="eastAsia" w:ascii="Times New Roman" w:hAnsi="Times New Roman" w:cs="Times New Roman"/>
                <w:color w:val="000000" w:themeColor="text1"/>
                <w:w w:val="99"/>
                <w:kern w:val="2"/>
                <w:sz w:val="21"/>
                <w:szCs w:val="21"/>
                <w:lang w:val="en-US" w:bidi="ar-SA"/>
                <w14:textFill>
                  <w14:solidFill>
                    <w14:schemeClr w14:val="tx1"/>
                  </w14:solidFill>
                </w14:textFill>
              </w:rPr>
              <w:t>≥10%</w:t>
            </w:r>
          </w:p>
        </w:tc>
      </w:tr>
      <w:tr w14:paraId="7FDD3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6" w:type="dxa"/>
            <w:vAlign w:val="center"/>
          </w:tcPr>
          <w:p w14:paraId="0A648930">
            <w:pPr>
              <w:autoSpaceDE/>
              <w:autoSpaceDN/>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lang w:val="en-US" w:bidi="ar-SA"/>
                <w14:textFill>
                  <w14:solidFill>
                    <w14:schemeClr w14:val="tx1"/>
                  </w14:solidFill>
                </w14:textFill>
              </w:rPr>
              <w:t>二级</w:t>
            </w:r>
          </w:p>
        </w:tc>
        <w:tc>
          <w:tcPr>
            <w:tcW w:w="4646" w:type="dxa"/>
            <w:vAlign w:val="center"/>
          </w:tcPr>
          <w:p w14:paraId="4DEFB41A">
            <w:pPr>
              <w:autoSpaceDE/>
              <w:autoSpaceDN/>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lang w:val="en-US" w:bidi="ar-SA"/>
                <w14:textFill>
                  <w14:solidFill>
                    <w14:schemeClr w14:val="tx1"/>
                  </w14:solidFill>
                </w14:textFill>
              </w:rPr>
              <w:t>1%≤P</w:t>
            </w:r>
            <w:r>
              <w:rPr>
                <w:rFonts w:ascii="Times New Roman" w:hAnsi="Times New Roman" w:cs="Times New Roman"/>
                <w:color w:val="000000" w:themeColor="text1"/>
                <w:w w:val="99"/>
                <w:kern w:val="2"/>
                <w:sz w:val="21"/>
                <w:szCs w:val="21"/>
                <w:vertAlign w:val="subscript"/>
                <w:lang w:val="en-US" w:bidi="ar-SA"/>
                <w14:textFill>
                  <w14:solidFill>
                    <w14:schemeClr w14:val="tx1"/>
                  </w14:solidFill>
                </w14:textFill>
              </w:rPr>
              <w:t>max</w:t>
            </w:r>
            <w:r>
              <w:rPr>
                <w:rFonts w:hint="eastAsia" w:ascii="Times New Roman" w:hAnsi="Times New Roman" w:cs="Times New Roman"/>
                <w:color w:val="000000" w:themeColor="text1"/>
                <w:w w:val="99"/>
                <w:kern w:val="2"/>
                <w:sz w:val="21"/>
                <w:szCs w:val="21"/>
                <w:lang w:val="en-US" w:bidi="ar-SA"/>
                <w14:textFill>
                  <w14:solidFill>
                    <w14:schemeClr w14:val="tx1"/>
                  </w14:solidFill>
                </w14:textFill>
              </w:rPr>
              <w:t>＜</w:t>
            </w:r>
            <w:r>
              <w:rPr>
                <w:rFonts w:ascii="Times New Roman" w:hAnsi="Times New Roman" w:cs="Times New Roman"/>
                <w:color w:val="000000" w:themeColor="text1"/>
                <w:w w:val="99"/>
                <w:kern w:val="2"/>
                <w:sz w:val="21"/>
                <w:szCs w:val="21"/>
                <w:lang w:val="en-US" w:bidi="ar-SA"/>
                <w14:textFill>
                  <w14:solidFill>
                    <w14:schemeClr w14:val="tx1"/>
                  </w14:solidFill>
                </w14:textFill>
              </w:rPr>
              <w:t>10%</w:t>
            </w:r>
          </w:p>
        </w:tc>
      </w:tr>
      <w:tr w14:paraId="56107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6" w:type="dxa"/>
            <w:vAlign w:val="center"/>
          </w:tcPr>
          <w:p w14:paraId="6470F8BB">
            <w:pPr>
              <w:autoSpaceDE/>
              <w:autoSpaceDN/>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color w:val="000000" w:themeColor="text1"/>
                <w:w w:val="99"/>
                <w:kern w:val="2"/>
                <w:sz w:val="21"/>
                <w:szCs w:val="21"/>
                <w:lang w:val="en-US" w:bidi="ar-SA"/>
                <w14:textFill>
                  <w14:solidFill>
                    <w14:schemeClr w14:val="tx1"/>
                  </w14:solidFill>
                </w14:textFill>
              </w:rPr>
              <w:t>三级</w:t>
            </w:r>
          </w:p>
        </w:tc>
        <w:tc>
          <w:tcPr>
            <w:tcW w:w="4646" w:type="dxa"/>
            <w:vAlign w:val="center"/>
          </w:tcPr>
          <w:p w14:paraId="5D02F8D2">
            <w:pPr>
              <w:autoSpaceDE/>
              <w:autoSpaceDN/>
              <w:spacing w:line="360" w:lineRule="exact"/>
              <w:jc w:val="center"/>
              <w:rPr>
                <w:rFonts w:ascii="Times New Roman" w:hAnsi="Times New Roman" w:cs="Times New Roman"/>
                <w:color w:val="000000" w:themeColor="text1"/>
                <w:w w:val="99"/>
                <w:kern w:val="2"/>
                <w:sz w:val="21"/>
                <w:szCs w:val="21"/>
                <w:lang w:val="en-US" w:bidi="ar-SA"/>
                <w14:textFill>
                  <w14:solidFill>
                    <w14:schemeClr w14:val="tx1"/>
                  </w14:solidFill>
                </w14:textFill>
              </w:rPr>
            </w:pPr>
            <w:r>
              <w:rPr>
                <w:rFonts w:ascii="Times New Roman" w:hAnsi="Times New Roman" w:cs="Times New Roman"/>
                <w:color w:val="000000" w:themeColor="text1"/>
                <w:w w:val="99"/>
                <w:kern w:val="2"/>
                <w:sz w:val="21"/>
                <w:szCs w:val="21"/>
                <w:lang w:val="en-US" w:bidi="ar-SA"/>
                <w14:textFill>
                  <w14:solidFill>
                    <w14:schemeClr w14:val="tx1"/>
                  </w14:solidFill>
                </w14:textFill>
              </w:rPr>
              <w:t>P</w:t>
            </w:r>
            <w:r>
              <w:rPr>
                <w:rFonts w:ascii="Times New Roman" w:hAnsi="Times New Roman" w:cs="Times New Roman"/>
                <w:color w:val="000000" w:themeColor="text1"/>
                <w:w w:val="99"/>
                <w:kern w:val="2"/>
                <w:sz w:val="21"/>
                <w:szCs w:val="21"/>
                <w:vertAlign w:val="subscript"/>
                <w:lang w:val="en-US" w:bidi="ar-SA"/>
                <w14:textFill>
                  <w14:solidFill>
                    <w14:schemeClr w14:val="tx1"/>
                  </w14:solidFill>
                </w14:textFill>
              </w:rPr>
              <w:t>max</w:t>
            </w:r>
            <w:r>
              <w:rPr>
                <w:rFonts w:hint="eastAsia" w:ascii="Times New Roman" w:hAnsi="Times New Roman" w:cs="Times New Roman"/>
                <w:color w:val="000000" w:themeColor="text1"/>
                <w:w w:val="99"/>
                <w:kern w:val="2"/>
                <w:sz w:val="21"/>
                <w:szCs w:val="21"/>
                <w:lang w:val="en-US" w:bidi="ar-SA"/>
                <w14:textFill>
                  <w14:solidFill>
                    <w14:schemeClr w14:val="tx1"/>
                  </w14:solidFill>
                </w14:textFill>
              </w:rPr>
              <w:t>＜</w:t>
            </w:r>
            <w:r>
              <w:rPr>
                <w:rFonts w:ascii="Times New Roman" w:hAnsi="Times New Roman" w:cs="Times New Roman"/>
                <w:color w:val="000000" w:themeColor="text1"/>
                <w:w w:val="99"/>
                <w:kern w:val="2"/>
                <w:sz w:val="21"/>
                <w:szCs w:val="21"/>
                <w:lang w:val="en-US" w:bidi="ar-SA"/>
                <w14:textFill>
                  <w14:solidFill>
                    <w14:schemeClr w14:val="tx1"/>
                  </w14:solidFill>
                </w14:textFill>
              </w:rPr>
              <w:t>1%</w:t>
            </w:r>
          </w:p>
        </w:tc>
      </w:tr>
    </w:tbl>
    <w:p w14:paraId="46815BAC">
      <w:pPr>
        <w:tabs>
          <w:tab w:val="left" w:pos="1571"/>
        </w:tabs>
        <w:autoSpaceDE/>
        <w:autoSpaceDN/>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hint="eastAsia" w:ascii="Times New Roman" w:hAnsi="Times New Roman" w:cs="Times New Roman"/>
          <w:color w:val="000000" w:themeColor="text1"/>
          <w:w w:val="99"/>
          <w:position w:val="2"/>
          <w:sz w:val="24"/>
          <w:szCs w:val="24"/>
          <w14:textFill>
            <w14:solidFill>
              <w14:schemeClr w14:val="tx1"/>
            </w14:solidFill>
          </w14:textFill>
        </w:rPr>
        <w:t>计算结果可以看出，</w:t>
      </w:r>
      <w:r>
        <w:rPr>
          <w:rFonts w:hint="eastAsia" w:ascii="Times New Roman" w:hAnsi="Times New Roman" w:cs="Times New Roman"/>
          <w:color w:val="000000" w:themeColor="text1"/>
          <w:w w:val="99"/>
          <w:position w:val="2"/>
          <w:sz w:val="24"/>
          <w:szCs w:val="24"/>
          <w:lang w:val="en-US"/>
          <w14:textFill>
            <w14:solidFill>
              <w14:schemeClr w14:val="tx1"/>
            </w14:solidFill>
          </w14:textFill>
        </w:rPr>
        <w:t>混输阀组间</w:t>
      </w:r>
      <w:r>
        <w:rPr>
          <w:rFonts w:hint="eastAsia" w:ascii="Times New Roman" w:hAnsi="Times New Roman" w:cs="Times New Roman"/>
          <w:color w:val="000000" w:themeColor="text1"/>
          <w:w w:val="99"/>
          <w:position w:val="2"/>
          <w:sz w:val="24"/>
          <w:szCs w:val="24"/>
          <w14:textFill>
            <w14:solidFill>
              <w14:schemeClr w14:val="tx1"/>
            </w14:solidFill>
          </w14:textFill>
        </w:rPr>
        <w:t>排放的非甲烷总烃最大地面占标率</w:t>
      </w:r>
      <w:r>
        <w:rPr>
          <w:rFonts w:ascii="Times New Roman" w:hAnsi="Times New Roman" w:cs="Times New Roman"/>
          <w:color w:val="000000" w:themeColor="text1"/>
          <w:w w:val="99"/>
          <w:position w:val="2"/>
          <w:sz w:val="24"/>
          <w:szCs w:val="24"/>
          <w14:textFill>
            <w14:solidFill>
              <w14:schemeClr w14:val="tx1"/>
            </w14:solidFill>
          </w14:textFill>
        </w:rPr>
        <w:t>P</w:t>
      </w:r>
      <w:r>
        <w:rPr>
          <w:rFonts w:ascii="Times New Roman" w:hAnsi="Times New Roman" w:cs="Times New Roman"/>
          <w:color w:val="000000" w:themeColor="text1"/>
          <w:w w:val="99"/>
          <w:position w:val="2"/>
          <w:sz w:val="24"/>
          <w:szCs w:val="24"/>
          <w:vertAlign w:val="subscript"/>
          <w14:textFill>
            <w14:solidFill>
              <w14:schemeClr w14:val="tx1"/>
            </w14:solidFill>
          </w14:textFill>
        </w:rPr>
        <w:t>max</w:t>
      </w:r>
      <w:r>
        <w:rPr>
          <w:rFonts w:ascii="Times New Roman" w:hAnsi="Times New Roman" w:cs="Times New Roman"/>
          <w:color w:val="000000" w:themeColor="text1"/>
          <w:w w:val="99"/>
          <w:position w:val="2"/>
          <w:sz w:val="24"/>
          <w:szCs w:val="24"/>
          <w14:textFill>
            <w14:solidFill>
              <w14:schemeClr w14:val="tx1"/>
            </w14:solidFill>
          </w14:textFill>
        </w:rPr>
        <w:t>=</w:t>
      </w:r>
      <w:r>
        <w:rPr>
          <w:rFonts w:ascii="Times New Roman" w:hAnsi="Times New Roman" w:cs="Times New Roman"/>
          <w:color w:val="000000" w:themeColor="text1"/>
          <w:w w:val="99"/>
          <w:position w:val="2"/>
          <w:sz w:val="24"/>
          <w:szCs w:val="24"/>
          <w:lang w:val="en-US"/>
          <w14:textFill>
            <w14:solidFill>
              <w14:schemeClr w14:val="tx1"/>
            </w14:solidFill>
          </w14:textFill>
        </w:rPr>
        <w:t>0.1671</w:t>
      </w:r>
      <w:r>
        <w:rPr>
          <w:rFonts w:ascii="Times New Roman" w:hAnsi="Times New Roman" w:cs="Times New Roman"/>
          <w:color w:val="000000" w:themeColor="text1"/>
          <w:w w:val="99"/>
          <w:position w:val="2"/>
          <w:sz w:val="24"/>
          <w:szCs w:val="24"/>
          <w14:textFill>
            <w14:solidFill>
              <w14:schemeClr w14:val="tx1"/>
            </w14:solidFill>
          </w14:textFill>
        </w:rPr>
        <w:t>%</w:t>
      </w:r>
      <w:r>
        <w:rPr>
          <w:rFonts w:hint="eastAsia" w:ascii="Times New Roman" w:hAnsi="Times New Roman" w:cs="Times New Roman"/>
          <w:color w:val="000000" w:themeColor="text1"/>
          <w:w w:val="99"/>
          <w:position w:val="2"/>
          <w:sz w:val="24"/>
          <w:szCs w:val="24"/>
          <w14:textFill>
            <w14:solidFill>
              <w14:schemeClr w14:val="tx1"/>
            </w14:solidFill>
          </w14:textFill>
        </w:rPr>
        <w:t>，</w:t>
      </w:r>
      <w:r>
        <w:rPr>
          <w:rFonts w:ascii="Times New Roman" w:hAnsi="Times New Roman" w:cs="Times New Roman"/>
          <w:color w:val="000000" w:themeColor="text1"/>
          <w:w w:val="99"/>
          <w:position w:val="2"/>
          <w:sz w:val="24"/>
          <w:szCs w:val="24"/>
          <w14:textFill>
            <w14:solidFill>
              <w14:schemeClr w14:val="tx1"/>
            </w14:solidFill>
          </w14:textFill>
        </w:rPr>
        <w:t xml:space="preserve"> P</w:t>
      </w:r>
      <w:r>
        <w:rPr>
          <w:rFonts w:ascii="Times New Roman" w:hAnsi="Times New Roman" w:cs="Times New Roman"/>
          <w:color w:val="000000" w:themeColor="text1"/>
          <w:w w:val="99"/>
          <w:position w:val="2"/>
          <w:sz w:val="24"/>
          <w:szCs w:val="24"/>
          <w:vertAlign w:val="subscript"/>
          <w14:textFill>
            <w14:solidFill>
              <w14:schemeClr w14:val="tx1"/>
            </w14:solidFill>
          </w14:textFill>
        </w:rPr>
        <w:t>max</w:t>
      </w:r>
      <w:r>
        <w:rPr>
          <w:rFonts w:hint="eastAsia" w:ascii="Times New Roman" w:hAnsi="Times New Roman" w:cs="Times New Roman"/>
          <w:color w:val="000000" w:themeColor="text1"/>
          <w:w w:val="99"/>
          <w:position w:val="2"/>
          <w:sz w:val="24"/>
          <w:szCs w:val="24"/>
          <w14:textFill>
            <w14:solidFill>
              <w14:schemeClr w14:val="tx1"/>
            </w14:solidFill>
          </w14:textFill>
        </w:rPr>
        <w:t>＜</w:t>
      </w:r>
      <w:r>
        <w:rPr>
          <w:rFonts w:ascii="Times New Roman" w:hAnsi="Times New Roman" w:cs="Times New Roman"/>
          <w:color w:val="000000" w:themeColor="text1"/>
          <w:w w:val="99"/>
          <w:position w:val="2"/>
          <w:sz w:val="24"/>
          <w:szCs w:val="24"/>
          <w14:textFill>
            <w14:solidFill>
              <w14:schemeClr w14:val="tx1"/>
            </w14:solidFill>
          </w14:textFill>
        </w:rPr>
        <w:t>1%</w:t>
      </w:r>
      <w:r>
        <w:rPr>
          <w:rFonts w:hint="eastAsia" w:ascii="Times New Roman" w:hAnsi="Times New Roman" w:cs="Times New Roman"/>
          <w:color w:val="000000" w:themeColor="text1"/>
          <w:w w:val="99"/>
          <w:position w:val="2"/>
          <w:sz w:val="24"/>
          <w:szCs w:val="24"/>
          <w14:textFill>
            <w14:solidFill>
              <w14:schemeClr w14:val="tx1"/>
            </w14:solidFill>
          </w14:textFill>
        </w:rPr>
        <w:t>，评价等级为三级。</w:t>
      </w:r>
    </w:p>
    <w:p w14:paraId="592DBE35">
      <w:pPr>
        <w:pStyle w:val="5"/>
        <w:keepNext/>
        <w:keepLines/>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68" w:name="_Toc117794531"/>
      <w:r>
        <w:rPr>
          <w:rFonts w:ascii="Times New Roman" w:hAnsi="Times New Roman" w:cs="Times New Roman" w:eastAsiaTheme="minorEastAsia"/>
          <w:color w:val="000000" w:themeColor="text1"/>
          <w:w w:val="99"/>
          <w:kern w:val="2"/>
          <w:lang w:val="en-US" w:bidi="ar-SA"/>
          <w14:textFill>
            <w14:solidFill>
              <w14:schemeClr w14:val="tx1"/>
            </w14:solidFill>
          </w14:textFill>
        </w:rPr>
        <w:t>2.5.2 地表水环境</w:t>
      </w:r>
      <w:bookmarkEnd w:id="68"/>
    </w:p>
    <w:p w14:paraId="4AE6D3DD">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本工程周围地表水体为古努泡子，古努泡子无水体功能区划，本项目施工期产生的管线试压废水由罐车拉运至龙一联含油污水处理站处理，处理后的水质满足《大庆油田地面工程建设设计规定》（Q/SYDQ0639-2015）限值要求：“含油量≤8mg/L、悬浮固体含量≤3mg/L、粒径中值≤2μm”后回注地下，不外排。</w:t>
      </w:r>
      <w:r>
        <w:rPr>
          <w:rFonts w:ascii="Times New Roman" w:hAnsi="Times New Roman" w:cs="Times New Roman" w:eastAsiaTheme="minorEastAsia"/>
          <w:color w:val="000000" w:themeColor="text1"/>
          <w:w w:val="99"/>
          <w:sz w:val="24"/>
          <w:szCs w:val="24"/>
          <w:lang w:val="en-US"/>
          <w14:textFill>
            <w14:solidFill>
              <w14:schemeClr w14:val="tx1"/>
            </w14:solidFill>
          </w14:textFill>
        </w:rPr>
        <w:t>依据《环境影响评价技术导则 地表水环境》（HJ/2.3-2018），地表水评价等级为三级B。</w:t>
      </w:r>
    </w:p>
    <w:p w14:paraId="145AB29C">
      <w:pPr>
        <w:pStyle w:val="5"/>
        <w:keepNext/>
        <w:keepLines/>
        <w:autoSpaceDE/>
        <w:autoSpaceDN/>
        <w:spacing w:before="60" w:after="60" w:line="440" w:lineRule="exact"/>
        <w:ind w:left="0" w:firstLine="0"/>
        <w:jc w:val="both"/>
        <w:rPr>
          <w:rFonts w:ascii="Times New Roman" w:hAnsi="Times New Roman" w:cs="Times New Roman" w:eastAsiaTheme="minorEastAsia"/>
          <w:color w:val="000000" w:themeColor="text1"/>
          <w:w w:val="99"/>
          <w14:textFill>
            <w14:solidFill>
              <w14:schemeClr w14:val="tx1"/>
            </w14:solidFill>
          </w14:textFill>
        </w:rPr>
      </w:pPr>
      <w:bookmarkStart w:id="69" w:name="_Toc117794532"/>
      <w:r>
        <w:rPr>
          <w:rFonts w:ascii="Times New Roman" w:hAnsi="Times New Roman" w:cs="Times New Roman" w:eastAsiaTheme="minorEastAsia"/>
          <w:color w:val="000000" w:themeColor="text1"/>
          <w:w w:val="99"/>
          <w:kern w:val="2"/>
          <w:lang w:val="en-US" w:bidi="ar-SA"/>
          <w14:textFill>
            <w14:solidFill>
              <w14:schemeClr w14:val="tx1"/>
            </w14:solidFill>
          </w14:textFill>
        </w:rPr>
        <w:t>2.5.3 地下水环境</w:t>
      </w:r>
      <w:bookmarkEnd w:id="69"/>
    </w:p>
    <w:p w14:paraId="7682BEAB">
      <w:pPr>
        <w:pStyle w:val="107"/>
        <w:tabs>
          <w:tab w:val="left" w:pos="1571"/>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1</w:t>
      </w:r>
      <w:r>
        <w:rPr>
          <w:rFonts w:ascii="Times New Roman" w:hAnsi="Times New Roman" w:cs="Times New Roman" w:eastAsiaTheme="minorEastAsia"/>
          <w:color w:val="000000" w:themeColor="text1"/>
          <w:w w:val="99"/>
          <w:sz w:val="24"/>
          <w:szCs w:val="24"/>
          <w14:textFill>
            <w14:solidFill>
              <w14:schemeClr w14:val="tx1"/>
            </w14:solidFill>
          </w14:textFill>
        </w:rPr>
        <w:t>）划分依据</w:t>
      </w:r>
    </w:p>
    <w:p w14:paraId="10D9A893">
      <w:pPr>
        <w:pStyle w:val="107"/>
        <w:tabs>
          <w:tab w:val="left" w:pos="1571"/>
        </w:tabs>
        <w:spacing w:line="440" w:lineRule="exact"/>
        <w:ind w:left="0" w:firstLine="474" w:firstLineChars="200"/>
        <w:jc w:val="both"/>
        <w:rPr>
          <w:rFonts w:ascii="Times New Roman" w:hAnsi="Times New Roman" w:cs="Times New Roman" w:eastAsiaTheme="minorEastAsia"/>
          <w:color w:val="000000" w:themeColor="text1"/>
          <w:w w:val="99"/>
          <w:position w:val="2"/>
          <w:sz w:val="24"/>
          <w:szCs w:val="24"/>
          <w:lang w:val="en-US"/>
          <w14:textFill>
            <w14:solidFill>
              <w14:schemeClr w14:val="tx1"/>
            </w14:solidFill>
          </w14:textFill>
        </w:rPr>
      </w:pPr>
      <w:r>
        <w:rPr>
          <w:rFonts w:ascii="Times New Roman" w:hAnsi="Times New Roman" w:cs="Times New Roman" w:eastAsiaTheme="minorEastAsia"/>
          <w:color w:val="000000" w:themeColor="text1"/>
          <w:w w:val="99"/>
          <w:position w:val="2"/>
          <w:sz w:val="24"/>
          <w:szCs w:val="24"/>
          <w:lang w:val="en-US"/>
          <w14:textFill>
            <w14:solidFill>
              <w14:schemeClr w14:val="tx1"/>
            </w14:solidFill>
          </w14:textFill>
        </w:rPr>
        <w:t>根据《环境影响评价技术导则地下水环境》（HJ610-2016）附录A中地下水环境影响评价行业分类表中规定，本项目属于石油开采类，地下水环境影响评价项目类别为I类项目。</w:t>
      </w:r>
    </w:p>
    <w:p w14:paraId="0924CC06">
      <w:pPr>
        <w:pStyle w:val="107"/>
        <w:tabs>
          <w:tab w:val="left" w:pos="1571"/>
        </w:tabs>
        <w:spacing w:line="440" w:lineRule="exact"/>
        <w:ind w:left="0" w:firstLine="474" w:firstLineChars="200"/>
        <w:jc w:val="both"/>
        <w:rPr>
          <w:rFonts w:ascii="Times New Roman" w:hAnsi="Times New Roman" w:cs="Times New Roman" w:eastAsiaTheme="minorEastAsia"/>
          <w:color w:val="000000" w:themeColor="text1"/>
          <w:w w:val="99"/>
          <w14:textFill>
            <w14:solidFill>
              <w14:schemeClr w14:val="tx1"/>
            </w14:solidFill>
          </w14:textFill>
        </w:rPr>
      </w:pPr>
      <w:r>
        <w:rPr>
          <w:rFonts w:ascii="Times New Roman" w:hAnsi="Times New Roman" w:cs="Times New Roman" w:eastAsiaTheme="minorEastAsia"/>
          <w:color w:val="000000" w:themeColor="text1"/>
          <w:w w:val="99"/>
          <w:position w:val="2"/>
          <w:sz w:val="24"/>
          <w:szCs w:val="24"/>
          <w:lang w:val="en-US"/>
          <w14:textFill>
            <w14:solidFill>
              <w14:schemeClr w14:val="tx1"/>
            </w14:solidFill>
          </w14:textFill>
        </w:rPr>
        <w:t>建设项目的地下水环境敏感程度可分为敏感、较敏感、不敏感三级，分级原则见表2.5-5。</w:t>
      </w:r>
    </w:p>
    <w:p w14:paraId="63B3B3A1">
      <w:pPr>
        <w:pStyle w:val="107"/>
        <w:tabs>
          <w:tab w:val="left" w:pos="1571"/>
        </w:tabs>
        <w:spacing w:line="440" w:lineRule="exact"/>
        <w:ind w:left="440" w:leftChars="200" w:firstLine="0"/>
        <w:jc w:val="both"/>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r>
        <w:rPr>
          <w:rFonts w:ascii="Times New Roman" w:hAnsi="Times New Roman" w:cs="Times New Roman" w:eastAsiaTheme="minorEastAsia"/>
          <w:b/>
          <w:bCs/>
          <w:color w:val="000000" w:themeColor="text1"/>
          <w:w w:val="99"/>
          <w:sz w:val="24"/>
          <w:szCs w:val="24"/>
          <w14:textFill>
            <w14:solidFill>
              <w14:schemeClr w14:val="tx1"/>
            </w14:solidFill>
          </w14:textFill>
        </w:rPr>
        <w:t>表</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 xml:space="preserve">2.5-5        </w:t>
      </w:r>
      <w:r>
        <w:rPr>
          <w:rFonts w:ascii="Times New Roman" w:hAnsi="Times New Roman" w:cs="Times New Roman" w:eastAsiaTheme="minorEastAsia"/>
          <w:b/>
          <w:bCs/>
          <w:color w:val="000000" w:themeColor="text1"/>
          <w:w w:val="99"/>
          <w:position w:val="2"/>
          <w:sz w:val="24"/>
          <w:szCs w:val="24"/>
          <w:lang w:val="en-US"/>
          <w14:textFill>
            <w14:solidFill>
              <w14:schemeClr w14:val="tx1"/>
            </w14:solidFill>
          </w14:textFill>
        </w:rPr>
        <w:t>地下水环境敏感程度分级表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11"/>
        <w:gridCol w:w="7969"/>
      </w:tblGrid>
      <w:tr w14:paraId="6F069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12" w:type="pct"/>
            <w:tcBorders>
              <w:tl2br w:val="nil"/>
              <w:tr2bl w:val="nil"/>
            </w:tcBorders>
            <w:vAlign w:val="center"/>
          </w:tcPr>
          <w:p w14:paraId="7FFF2331">
            <w:pPr>
              <w:widowControl/>
              <w:autoSpaceDE/>
              <w:autoSpaceDN/>
              <w:spacing w:line="360" w:lineRule="exact"/>
              <w:ind w:right="108"/>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敏感程度</w:t>
            </w:r>
          </w:p>
        </w:tc>
        <w:tc>
          <w:tcPr>
            <w:tcW w:w="4388" w:type="pct"/>
            <w:tcBorders>
              <w:tl2br w:val="nil"/>
              <w:tr2bl w:val="nil"/>
            </w:tcBorders>
            <w:vAlign w:val="center"/>
          </w:tcPr>
          <w:p w14:paraId="79F60ABB">
            <w:pPr>
              <w:widowControl/>
              <w:autoSpaceDE/>
              <w:autoSpaceDN/>
              <w:spacing w:line="360" w:lineRule="exact"/>
              <w:ind w:right="108"/>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地下水环境敏感特征</w:t>
            </w:r>
          </w:p>
        </w:tc>
      </w:tr>
      <w:tr w14:paraId="25F1E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12" w:type="pct"/>
            <w:tcBorders>
              <w:tl2br w:val="nil"/>
              <w:tr2bl w:val="nil"/>
            </w:tcBorders>
            <w:vAlign w:val="center"/>
          </w:tcPr>
          <w:p w14:paraId="6A313DB5">
            <w:pPr>
              <w:widowControl/>
              <w:autoSpaceDE/>
              <w:autoSpaceDN/>
              <w:spacing w:line="360" w:lineRule="exact"/>
              <w:ind w:right="108"/>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敏感</w:t>
            </w:r>
          </w:p>
        </w:tc>
        <w:tc>
          <w:tcPr>
            <w:tcW w:w="4388" w:type="pct"/>
            <w:tcBorders>
              <w:tl2br w:val="nil"/>
              <w:tr2bl w:val="nil"/>
            </w:tcBorders>
            <w:vAlign w:val="center"/>
          </w:tcPr>
          <w:p w14:paraId="7E1926C9">
            <w:pPr>
              <w:widowControl/>
              <w:autoSpaceDE/>
              <w:autoSpaceDN/>
              <w:spacing w:line="360" w:lineRule="exact"/>
              <w:ind w:right="108"/>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14:paraId="5E80A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12" w:type="pct"/>
            <w:tcBorders>
              <w:tl2br w:val="nil"/>
              <w:tr2bl w:val="nil"/>
            </w:tcBorders>
            <w:vAlign w:val="center"/>
          </w:tcPr>
          <w:p w14:paraId="4CEA183E">
            <w:pPr>
              <w:widowControl/>
              <w:autoSpaceDE/>
              <w:autoSpaceDN/>
              <w:spacing w:line="360" w:lineRule="exact"/>
              <w:ind w:right="108"/>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较敏感</w:t>
            </w:r>
          </w:p>
        </w:tc>
        <w:tc>
          <w:tcPr>
            <w:tcW w:w="4388" w:type="pct"/>
            <w:tcBorders>
              <w:tl2br w:val="nil"/>
              <w:tr2bl w:val="nil"/>
            </w:tcBorders>
            <w:vAlign w:val="center"/>
          </w:tcPr>
          <w:p w14:paraId="4BB0F3AA">
            <w:pPr>
              <w:widowControl/>
              <w:autoSpaceDE/>
              <w:autoSpaceDN/>
              <w:spacing w:line="360" w:lineRule="exact"/>
              <w:ind w:right="108"/>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14:paraId="13E74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12" w:type="pct"/>
            <w:tcBorders>
              <w:tl2br w:val="nil"/>
              <w:tr2bl w:val="nil"/>
            </w:tcBorders>
            <w:vAlign w:val="center"/>
          </w:tcPr>
          <w:p w14:paraId="084FDEE5">
            <w:pPr>
              <w:widowControl/>
              <w:autoSpaceDE/>
              <w:autoSpaceDN/>
              <w:spacing w:line="360" w:lineRule="exact"/>
              <w:ind w:right="108"/>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不敏感</w:t>
            </w:r>
          </w:p>
        </w:tc>
        <w:tc>
          <w:tcPr>
            <w:tcW w:w="4388" w:type="pct"/>
            <w:tcBorders>
              <w:tl2br w:val="nil"/>
              <w:tr2bl w:val="nil"/>
            </w:tcBorders>
            <w:vAlign w:val="center"/>
          </w:tcPr>
          <w:p w14:paraId="7B26A079">
            <w:pPr>
              <w:widowControl/>
              <w:autoSpaceDE/>
              <w:autoSpaceDN/>
              <w:spacing w:line="360" w:lineRule="exact"/>
              <w:ind w:right="108"/>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上述地区之外的其它地区。</w:t>
            </w:r>
          </w:p>
        </w:tc>
      </w:tr>
      <w:tr w14:paraId="438AD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12" w:type="pct"/>
            <w:tcBorders>
              <w:tl2br w:val="nil"/>
              <w:tr2bl w:val="nil"/>
            </w:tcBorders>
            <w:vAlign w:val="center"/>
          </w:tcPr>
          <w:p w14:paraId="2A5D8B28">
            <w:pPr>
              <w:widowControl/>
              <w:autoSpaceDE/>
              <w:autoSpaceDN/>
              <w:spacing w:line="360" w:lineRule="exact"/>
              <w:ind w:right="108"/>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本工程</w:t>
            </w:r>
          </w:p>
        </w:tc>
        <w:tc>
          <w:tcPr>
            <w:tcW w:w="4388" w:type="pct"/>
            <w:tcBorders>
              <w:tl2br w:val="nil"/>
              <w:tr2bl w:val="nil"/>
            </w:tcBorders>
            <w:vAlign w:val="center"/>
          </w:tcPr>
          <w:p w14:paraId="61B04D1A">
            <w:pPr>
              <w:widowControl/>
              <w:autoSpaceDE/>
              <w:autoSpaceDN/>
              <w:spacing w:line="360" w:lineRule="exact"/>
              <w:ind w:right="108"/>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不敏感</w:t>
            </w:r>
          </w:p>
        </w:tc>
      </w:tr>
      <w:tr w14:paraId="36573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2"/>
            <w:tcBorders>
              <w:tl2br w:val="nil"/>
              <w:tr2bl w:val="nil"/>
            </w:tcBorders>
            <w:vAlign w:val="center"/>
          </w:tcPr>
          <w:p w14:paraId="40FC9E71">
            <w:pPr>
              <w:widowControl/>
              <w:autoSpaceDE/>
              <w:autoSpaceDN/>
              <w:spacing w:line="360" w:lineRule="exact"/>
              <w:ind w:right="108"/>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“环境敏感区”是指《建设项目环境影响评价分类管理名录》中所界定的涉及地下水的环境敏感区。</w:t>
            </w:r>
          </w:p>
        </w:tc>
      </w:tr>
    </w:tbl>
    <w:p w14:paraId="08E88055">
      <w:pPr>
        <w:widowControl/>
        <w:autoSpaceDE/>
        <w:autoSpaceDN/>
        <w:spacing w:line="440" w:lineRule="exact"/>
        <w:ind w:firstLine="474" w:firstLineChars="200"/>
        <w:jc w:val="both"/>
        <w:rPr>
          <w:rFonts w:hint="default" w:ascii="Times New Roman" w:hAnsi="Times New Roman" w:cs="Times New Roman" w:eastAsiaTheme="minorEastAsia"/>
          <w:color w:val="0000FF"/>
          <w:w w:val="99"/>
          <w:sz w:val="24"/>
          <w:szCs w:val="24"/>
          <w:lang w:val="en-US" w:bidi="ar-SA"/>
        </w:rPr>
      </w:pPr>
      <w:r>
        <w:rPr>
          <w:rFonts w:hint="eastAsia" w:ascii="Times New Roman" w:hAnsi="Times New Roman" w:cs="Times New Roman" w:eastAsiaTheme="minorEastAsia"/>
          <w:color w:val="0000FF"/>
          <w:w w:val="99"/>
          <w:sz w:val="24"/>
          <w:szCs w:val="24"/>
          <w:lang w:val="en-US" w:eastAsia="zh-CN" w:bidi="ar-SA"/>
        </w:rPr>
        <w:t>根据《黑龙江省人民政府关于调整撤销新建哈尔滨等</w:t>
      </w:r>
      <w:r>
        <w:rPr>
          <w:rFonts w:hint="default" w:ascii="Times New Roman" w:hAnsi="Times New Roman" w:cs="Times New Roman" w:eastAsiaTheme="minorEastAsia"/>
          <w:color w:val="0000FF"/>
          <w:w w:val="99"/>
          <w:sz w:val="24"/>
          <w:szCs w:val="24"/>
          <w:lang w:val="en-US" w:eastAsia="zh-CN" w:bidi="ar-SA"/>
        </w:rPr>
        <w:t>11</w:t>
      </w:r>
      <w:r>
        <w:rPr>
          <w:rFonts w:hint="eastAsia" w:ascii="Times New Roman" w:hAnsi="Times New Roman" w:cs="Times New Roman" w:eastAsiaTheme="minorEastAsia"/>
          <w:color w:val="0000FF"/>
          <w:w w:val="99"/>
          <w:sz w:val="24"/>
          <w:szCs w:val="24"/>
          <w:lang w:val="en-US" w:eastAsia="zh-CN" w:bidi="ar-SA"/>
        </w:rPr>
        <w:t>个地市</w:t>
      </w:r>
      <w:r>
        <w:rPr>
          <w:rFonts w:hint="default" w:ascii="Times New Roman" w:hAnsi="Times New Roman" w:cs="Times New Roman" w:eastAsiaTheme="minorEastAsia"/>
          <w:color w:val="0000FF"/>
          <w:w w:val="99"/>
          <w:sz w:val="24"/>
          <w:szCs w:val="24"/>
          <w:lang w:val="en-US" w:eastAsia="zh-CN" w:bidi="ar-SA"/>
        </w:rPr>
        <w:t>384</w:t>
      </w:r>
      <w:r>
        <w:rPr>
          <w:rFonts w:hint="eastAsia" w:ascii="Times New Roman" w:hAnsi="Times New Roman" w:cs="Times New Roman" w:eastAsiaTheme="minorEastAsia"/>
          <w:color w:val="0000FF"/>
          <w:w w:val="99"/>
          <w:sz w:val="24"/>
          <w:szCs w:val="24"/>
          <w:lang w:val="en-US" w:eastAsia="zh-CN" w:bidi="ar-SA"/>
        </w:rPr>
        <w:t>个集中式饮用水水源保护区》（黑政函</w:t>
      </w:r>
      <w:r>
        <w:rPr>
          <w:rFonts w:hint="default" w:ascii="Times New Roman" w:hAnsi="Times New Roman" w:cs="Times New Roman" w:eastAsiaTheme="minorEastAsia"/>
          <w:color w:val="0000FF"/>
          <w:w w:val="99"/>
          <w:sz w:val="24"/>
          <w:szCs w:val="24"/>
          <w:lang w:val="en-US" w:eastAsia="zh-CN" w:bidi="ar-SA"/>
        </w:rPr>
        <w:t>[2019]118</w:t>
      </w:r>
      <w:r>
        <w:rPr>
          <w:rFonts w:hint="eastAsia" w:ascii="Times New Roman" w:hAnsi="Times New Roman" w:cs="Times New Roman" w:eastAsiaTheme="minorEastAsia"/>
          <w:color w:val="0000FF"/>
          <w:w w:val="99"/>
          <w:sz w:val="24"/>
          <w:szCs w:val="24"/>
          <w:lang w:val="en-US" w:eastAsia="zh-CN" w:bidi="ar-SA"/>
        </w:rPr>
        <w:t>号）和《黑龙江省人民政府关于调整撤销哈尔滨等市（地）</w:t>
      </w:r>
      <w:r>
        <w:rPr>
          <w:rFonts w:hint="default" w:ascii="Times New Roman" w:hAnsi="Times New Roman" w:cs="Times New Roman" w:eastAsiaTheme="minorEastAsia"/>
          <w:color w:val="0000FF"/>
          <w:w w:val="99"/>
          <w:sz w:val="24"/>
          <w:szCs w:val="24"/>
          <w:lang w:val="en-US" w:eastAsia="zh-CN" w:bidi="ar-SA"/>
        </w:rPr>
        <w:t>197</w:t>
      </w:r>
      <w:r>
        <w:rPr>
          <w:rFonts w:hint="eastAsia" w:ascii="Times New Roman" w:hAnsi="Times New Roman" w:cs="Times New Roman" w:eastAsiaTheme="minorEastAsia"/>
          <w:color w:val="0000FF"/>
          <w:w w:val="99"/>
          <w:sz w:val="24"/>
          <w:szCs w:val="24"/>
          <w:lang w:val="en-US" w:eastAsia="zh-CN" w:bidi="ar-SA"/>
        </w:rPr>
        <w:t>个集中式饮用水水源保护区》（黑政函</w:t>
      </w:r>
      <w:r>
        <w:rPr>
          <w:rFonts w:hint="default" w:ascii="Times New Roman" w:hAnsi="Times New Roman" w:cs="Times New Roman" w:eastAsiaTheme="minorEastAsia"/>
          <w:color w:val="0000FF"/>
          <w:w w:val="99"/>
          <w:sz w:val="24"/>
          <w:szCs w:val="24"/>
          <w:lang w:val="en-US" w:eastAsia="zh-CN" w:bidi="ar-SA"/>
        </w:rPr>
        <w:t xml:space="preserve">[2020]97 </w:t>
      </w:r>
      <w:r>
        <w:rPr>
          <w:rFonts w:hint="eastAsia" w:ascii="Times New Roman" w:hAnsi="Times New Roman" w:cs="Times New Roman" w:eastAsiaTheme="minorEastAsia"/>
          <w:color w:val="0000FF"/>
          <w:w w:val="99"/>
          <w:sz w:val="24"/>
          <w:szCs w:val="24"/>
          <w:lang w:val="en-US" w:eastAsia="zh-CN" w:bidi="ar-SA"/>
        </w:rPr>
        <w:t>号）的相关内容，杏树岗镇境内饮用水原供水水源为南二水源地，根据《黑龙江省人民政府关于调整撤销新建哈尔滨等</w:t>
      </w:r>
      <w:r>
        <w:rPr>
          <w:rFonts w:hint="default" w:ascii="Times New Roman" w:hAnsi="Times New Roman" w:cs="Times New Roman" w:eastAsiaTheme="minorEastAsia"/>
          <w:color w:val="0000FF"/>
          <w:w w:val="99"/>
          <w:sz w:val="24"/>
          <w:szCs w:val="24"/>
          <w:lang w:val="en-US" w:eastAsia="zh-CN" w:bidi="ar-SA"/>
        </w:rPr>
        <w:t xml:space="preserve">11 </w:t>
      </w:r>
      <w:r>
        <w:rPr>
          <w:rFonts w:hint="eastAsia" w:ascii="Times New Roman" w:hAnsi="Times New Roman" w:cs="Times New Roman" w:eastAsiaTheme="minorEastAsia"/>
          <w:color w:val="0000FF"/>
          <w:w w:val="99"/>
          <w:sz w:val="24"/>
          <w:szCs w:val="24"/>
          <w:lang w:val="en-US" w:eastAsia="zh-CN" w:bidi="ar-SA"/>
        </w:rPr>
        <w:t>个地市</w:t>
      </w:r>
      <w:r>
        <w:rPr>
          <w:rFonts w:hint="default" w:ascii="Times New Roman" w:hAnsi="Times New Roman" w:cs="Times New Roman" w:eastAsiaTheme="minorEastAsia"/>
          <w:color w:val="0000FF"/>
          <w:w w:val="99"/>
          <w:sz w:val="24"/>
          <w:szCs w:val="24"/>
          <w:lang w:val="en-US" w:eastAsia="zh-CN" w:bidi="ar-SA"/>
        </w:rPr>
        <w:t xml:space="preserve">384 </w:t>
      </w:r>
      <w:r>
        <w:rPr>
          <w:rFonts w:hint="eastAsia" w:ascii="Times New Roman" w:hAnsi="Times New Roman" w:cs="Times New Roman" w:eastAsiaTheme="minorEastAsia"/>
          <w:color w:val="0000FF"/>
          <w:w w:val="99"/>
          <w:sz w:val="24"/>
          <w:szCs w:val="24"/>
          <w:lang w:val="en-US" w:eastAsia="zh-CN" w:bidi="ar-SA"/>
        </w:rPr>
        <w:t>个集中式饮用水水源保护区》（黑政函</w:t>
      </w:r>
      <w:r>
        <w:rPr>
          <w:rFonts w:hint="default" w:ascii="Times New Roman" w:hAnsi="Times New Roman" w:cs="Times New Roman" w:eastAsiaTheme="minorEastAsia"/>
          <w:color w:val="0000FF"/>
          <w:w w:val="99"/>
          <w:sz w:val="24"/>
          <w:szCs w:val="24"/>
          <w:lang w:val="en-US" w:eastAsia="zh-CN" w:bidi="ar-SA"/>
        </w:rPr>
        <w:t xml:space="preserve">[2019]118 </w:t>
      </w:r>
      <w:r>
        <w:rPr>
          <w:rFonts w:hint="eastAsia" w:ascii="Times New Roman" w:hAnsi="Times New Roman" w:cs="Times New Roman" w:eastAsiaTheme="minorEastAsia"/>
          <w:color w:val="0000FF"/>
          <w:w w:val="99"/>
          <w:sz w:val="24"/>
          <w:szCs w:val="24"/>
          <w:lang w:val="en-US" w:eastAsia="zh-CN" w:bidi="ar-SA"/>
        </w:rPr>
        <w:t>号）：因地质因素影响，南二水源铁、锰指标不达标，大庆市采用大庆水库水源替代南二水源，</w:t>
      </w:r>
      <w:r>
        <w:rPr>
          <w:rFonts w:hint="default" w:ascii="Times New Roman" w:hAnsi="Times New Roman" w:cs="Times New Roman" w:eastAsiaTheme="minorEastAsia"/>
          <w:color w:val="0000FF"/>
          <w:w w:val="99"/>
          <w:sz w:val="24"/>
          <w:szCs w:val="24"/>
          <w:lang w:val="en-US" w:eastAsia="zh-CN" w:bidi="ar-SA"/>
        </w:rPr>
        <w:t>2019</w:t>
      </w:r>
      <w:r>
        <w:rPr>
          <w:rFonts w:hint="eastAsia" w:ascii="Times New Roman" w:hAnsi="Times New Roman" w:cs="Times New Roman" w:eastAsiaTheme="minorEastAsia"/>
          <w:color w:val="0000FF"/>
          <w:w w:val="99"/>
          <w:sz w:val="24"/>
          <w:szCs w:val="24"/>
          <w:lang w:val="en-US" w:eastAsia="zh-CN" w:bidi="ar-SA"/>
        </w:rPr>
        <w:t>年</w:t>
      </w:r>
      <w:r>
        <w:rPr>
          <w:rFonts w:hint="default" w:ascii="Times New Roman" w:hAnsi="Times New Roman" w:cs="Times New Roman" w:eastAsiaTheme="minorEastAsia"/>
          <w:color w:val="0000FF"/>
          <w:w w:val="99"/>
          <w:sz w:val="24"/>
          <w:szCs w:val="24"/>
          <w:lang w:val="en-US" w:eastAsia="zh-CN" w:bidi="ar-SA"/>
        </w:rPr>
        <w:t>10</w:t>
      </w:r>
      <w:r>
        <w:rPr>
          <w:rFonts w:hint="eastAsia" w:ascii="Times New Roman" w:hAnsi="Times New Roman" w:cs="Times New Roman" w:eastAsiaTheme="minorEastAsia"/>
          <w:color w:val="0000FF"/>
          <w:w w:val="99"/>
          <w:sz w:val="24"/>
          <w:szCs w:val="24"/>
          <w:lang w:val="en-US" w:eastAsia="zh-CN" w:bidi="ar-SA"/>
        </w:rPr>
        <w:t>月</w:t>
      </w:r>
      <w:r>
        <w:rPr>
          <w:rFonts w:hint="default" w:ascii="Times New Roman" w:hAnsi="Times New Roman" w:cs="Times New Roman" w:eastAsiaTheme="minorEastAsia"/>
          <w:color w:val="0000FF"/>
          <w:w w:val="99"/>
          <w:sz w:val="24"/>
          <w:szCs w:val="24"/>
          <w:lang w:val="en-US" w:eastAsia="zh-CN" w:bidi="ar-SA"/>
        </w:rPr>
        <w:t>30</w:t>
      </w:r>
      <w:r>
        <w:rPr>
          <w:rFonts w:hint="eastAsia" w:ascii="Times New Roman" w:hAnsi="Times New Roman" w:cs="Times New Roman" w:eastAsiaTheme="minorEastAsia"/>
          <w:color w:val="0000FF"/>
          <w:w w:val="99"/>
          <w:sz w:val="24"/>
          <w:szCs w:val="24"/>
          <w:lang w:val="en-US" w:eastAsia="zh-CN" w:bidi="ar-SA"/>
        </w:rPr>
        <w:t>日，大庆市委</w:t>
      </w:r>
      <w:r>
        <w:rPr>
          <w:rFonts w:hint="default" w:ascii="Times New Roman" w:hAnsi="Times New Roman" w:cs="Times New Roman" w:eastAsiaTheme="minorEastAsia"/>
          <w:color w:val="0000FF"/>
          <w:w w:val="99"/>
          <w:sz w:val="24"/>
          <w:szCs w:val="24"/>
          <w:lang w:val="en-US" w:eastAsia="zh-CN" w:bidi="ar-SA"/>
        </w:rPr>
        <w:t>9</w:t>
      </w:r>
      <w:r>
        <w:rPr>
          <w:rFonts w:hint="eastAsia" w:ascii="Times New Roman" w:hAnsi="Times New Roman" w:cs="Times New Roman" w:eastAsiaTheme="minorEastAsia"/>
          <w:color w:val="0000FF"/>
          <w:w w:val="99"/>
          <w:sz w:val="24"/>
          <w:szCs w:val="24"/>
          <w:lang w:val="en-US" w:eastAsia="zh-CN" w:bidi="ar-SA"/>
        </w:rPr>
        <w:t>届</w:t>
      </w:r>
      <w:r>
        <w:rPr>
          <w:rFonts w:hint="default" w:ascii="Times New Roman" w:hAnsi="Times New Roman" w:cs="Times New Roman" w:eastAsiaTheme="minorEastAsia"/>
          <w:color w:val="0000FF"/>
          <w:w w:val="99"/>
          <w:sz w:val="24"/>
          <w:szCs w:val="24"/>
          <w:lang w:val="en-US" w:eastAsia="zh-CN" w:bidi="ar-SA"/>
        </w:rPr>
        <w:t>71</w:t>
      </w:r>
      <w:r>
        <w:rPr>
          <w:rFonts w:hint="eastAsia" w:ascii="Times New Roman" w:hAnsi="Times New Roman" w:cs="Times New Roman" w:eastAsiaTheme="minorEastAsia"/>
          <w:color w:val="0000FF"/>
          <w:w w:val="99"/>
          <w:sz w:val="24"/>
          <w:szCs w:val="24"/>
          <w:lang w:val="en-US" w:eastAsia="zh-CN" w:bidi="ar-SA"/>
        </w:rPr>
        <w:t>次常委会议研究确定南二水源退出饮用水水源并作为工业水源使用，大庆水库水源水量、水质能够满足供水要求。项目所在区域周边杏树岗镇、先锋村、大同村等村屯饮用水由南二水源地管网接至大庆水库供水管网，为地表水水源地供水。</w:t>
      </w:r>
    </w:p>
    <w:p w14:paraId="109ECDC6">
      <w:pPr>
        <w:widowControl/>
        <w:autoSpaceDE/>
        <w:autoSpaceDN/>
        <w:jc w:val="center"/>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drawing>
          <wp:inline distT="0" distB="0" distL="114300" distR="114300">
            <wp:extent cx="4912360" cy="2093595"/>
            <wp:effectExtent l="9525" t="9525" r="12065" b="11430"/>
            <wp:docPr id="18" name="图片 3" descr="QQ图片2018012613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QQ图片20180126134517.jpg"/>
                    <pic:cNvPicPr>
                      <a:picLocks noChangeAspect="1"/>
                    </pic:cNvPicPr>
                  </pic:nvPicPr>
                  <pic:blipFill>
                    <a:blip r:embed="rId13" cstate="print"/>
                    <a:stretch>
                      <a:fillRect/>
                    </a:stretch>
                  </pic:blipFill>
                  <pic:spPr>
                    <a:xfrm>
                      <a:off x="0" y="0"/>
                      <a:ext cx="4912360" cy="209359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3748EB5D">
      <w:pPr>
        <w:widowControl/>
        <w:autoSpaceDE/>
        <w:autoSpaceDN/>
        <w:spacing w:line="520" w:lineRule="exact"/>
        <w:jc w:val="center"/>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t>图2.5-1    地下水敏感性判定依据</w:t>
      </w:r>
    </w:p>
    <w:p w14:paraId="3D855C12">
      <w:pPr>
        <w:widowControl/>
        <w:autoSpaceDE/>
        <w:autoSpaceDN/>
        <w:spacing w:line="440" w:lineRule="exact"/>
        <w:ind w:firstLine="474" w:firstLineChars="200"/>
        <w:jc w:val="both"/>
        <w:rPr>
          <w:rFonts w:ascii="Times New Roman" w:hAnsi="Times New Roman" w:cs="Times New Roman" w:eastAsiaTheme="minorEastAsia"/>
          <w:color w:val="0000FF"/>
          <w:spacing w:val="-2"/>
          <w:w w:val="99"/>
          <w:sz w:val="24"/>
          <w:szCs w:val="24"/>
          <w:lang w:val="en-US" w:bidi="ar-SA"/>
        </w:rPr>
      </w:pPr>
      <w:r>
        <w:rPr>
          <w:rFonts w:hint="eastAsia" w:ascii="Times New Roman" w:hAnsi="Times New Roman" w:cs="Times New Roman" w:eastAsiaTheme="minorEastAsia"/>
          <w:color w:val="0000FF"/>
          <w:w w:val="99"/>
          <w:sz w:val="24"/>
          <w:szCs w:val="24"/>
          <w:lang w:val="en-US" w:eastAsia="zh-CN" w:bidi="ar-SA"/>
        </w:rPr>
        <w:t>本项目不涉及地下水</w:t>
      </w:r>
      <w:r>
        <w:rPr>
          <w:rFonts w:ascii="Times New Roman" w:hAnsi="Times New Roman" w:cs="Times New Roman" w:eastAsiaTheme="minorEastAsia"/>
          <w:color w:val="0000FF"/>
          <w:w w:val="99"/>
          <w:sz w:val="24"/>
          <w:szCs w:val="24"/>
          <w:lang w:val="en-US" w:bidi="ar-SA"/>
        </w:rPr>
        <w:t>饮用水源</w:t>
      </w:r>
      <w:r>
        <w:rPr>
          <w:rFonts w:hint="eastAsia" w:ascii="Times New Roman" w:hAnsi="Times New Roman" w:cs="Times New Roman" w:eastAsiaTheme="minorEastAsia"/>
          <w:color w:val="0000FF"/>
          <w:w w:val="99"/>
          <w:sz w:val="24"/>
          <w:szCs w:val="24"/>
          <w:lang w:val="en-US" w:eastAsia="zh-CN" w:bidi="ar-SA"/>
        </w:rPr>
        <w:t>，</w:t>
      </w:r>
      <w:r>
        <w:rPr>
          <w:rFonts w:ascii="Times New Roman" w:hAnsi="Times New Roman" w:cs="Times New Roman" w:eastAsiaTheme="minorEastAsia"/>
          <w:color w:val="0000FF"/>
          <w:spacing w:val="-2"/>
          <w:w w:val="99"/>
          <w:sz w:val="24"/>
          <w:szCs w:val="24"/>
          <w:lang w:val="en-US" w:bidi="ar-SA"/>
        </w:rPr>
        <w:t>因此本项目新建管线区域地下水环境属于“不敏感”区域。</w:t>
      </w:r>
    </w:p>
    <w:p w14:paraId="2746DA99">
      <w:pPr>
        <w:pStyle w:val="107"/>
        <w:tabs>
          <w:tab w:val="left" w:pos="1571"/>
        </w:tabs>
        <w:spacing w:line="440" w:lineRule="exact"/>
        <w:ind w:left="0" w:firstLine="474" w:firstLineChars="200"/>
        <w:jc w:val="both"/>
        <w:rPr>
          <w:rFonts w:ascii="Times New Roman" w:hAnsi="Times New Roman" w:cs="Times New Roman" w:eastAsiaTheme="minorEastAsia"/>
          <w:color w:val="0000FF"/>
          <w:w w:val="99"/>
          <w:sz w:val="24"/>
          <w:szCs w:val="24"/>
        </w:rPr>
      </w:pPr>
      <w:r>
        <w:rPr>
          <w:rFonts w:ascii="Times New Roman" w:hAnsi="Times New Roman" w:cs="Times New Roman" w:eastAsiaTheme="minorEastAsia"/>
          <w:color w:val="0000FF"/>
          <w:w w:val="99"/>
          <w:sz w:val="24"/>
          <w:szCs w:val="24"/>
        </w:rPr>
        <w:t>（</w:t>
      </w:r>
      <w:r>
        <w:rPr>
          <w:rFonts w:ascii="Times New Roman" w:hAnsi="Times New Roman" w:cs="Times New Roman" w:eastAsiaTheme="minorEastAsia"/>
          <w:color w:val="0000FF"/>
          <w:w w:val="99"/>
          <w:sz w:val="24"/>
          <w:szCs w:val="24"/>
          <w:lang w:val="en-US"/>
        </w:rPr>
        <w:t>2</w:t>
      </w:r>
      <w:r>
        <w:rPr>
          <w:rFonts w:ascii="Times New Roman" w:hAnsi="Times New Roman" w:cs="Times New Roman" w:eastAsiaTheme="minorEastAsia"/>
          <w:color w:val="0000FF"/>
          <w:w w:val="99"/>
          <w:sz w:val="24"/>
          <w:szCs w:val="24"/>
        </w:rPr>
        <w:t>）本项目地下水评价等级判定</w:t>
      </w:r>
    </w:p>
    <w:p w14:paraId="643CF17A">
      <w:pPr>
        <w:pStyle w:val="107"/>
        <w:tabs>
          <w:tab w:val="left" w:pos="1571"/>
        </w:tabs>
        <w:spacing w:line="440" w:lineRule="exact"/>
        <w:ind w:left="0" w:firstLine="0"/>
        <w:jc w:val="both"/>
        <w:rPr>
          <w:rFonts w:ascii="Times New Roman" w:hAnsi="Times New Roman" w:cs="Times New Roman" w:eastAsiaTheme="minorEastAsia"/>
          <w:color w:val="0000FF"/>
          <w:w w:val="99"/>
          <w:sz w:val="24"/>
          <w:szCs w:val="24"/>
          <w:lang w:val="en-US"/>
        </w:rPr>
      </w:pPr>
      <w:r>
        <w:rPr>
          <w:rFonts w:ascii="Times New Roman" w:hAnsi="Times New Roman" w:cs="Times New Roman" w:eastAsiaTheme="minorEastAsia"/>
          <w:color w:val="0000FF"/>
          <w:w w:val="99"/>
          <w:sz w:val="24"/>
          <w:szCs w:val="24"/>
        </w:rPr>
        <w:t>建设项目地下水环境影响评价工作等级划分见表</w:t>
      </w:r>
      <w:r>
        <w:rPr>
          <w:rFonts w:ascii="Times New Roman" w:hAnsi="Times New Roman" w:cs="Times New Roman" w:eastAsiaTheme="minorEastAsia"/>
          <w:color w:val="0000FF"/>
          <w:w w:val="99"/>
          <w:sz w:val="24"/>
          <w:szCs w:val="24"/>
          <w:lang w:val="en-US"/>
        </w:rPr>
        <w:t>2.5-6。</w:t>
      </w:r>
    </w:p>
    <w:p w14:paraId="1108C39E">
      <w:pPr>
        <w:pStyle w:val="107"/>
        <w:tabs>
          <w:tab w:val="left" w:pos="1571"/>
        </w:tabs>
        <w:spacing w:line="440" w:lineRule="exact"/>
        <w:ind w:left="440" w:leftChars="200" w:firstLine="0"/>
        <w:jc w:val="both"/>
        <w:rPr>
          <w:rFonts w:ascii="Times New Roman" w:hAnsi="Times New Roman" w:cs="Times New Roman" w:eastAsiaTheme="minorEastAsia"/>
          <w:b/>
          <w:bCs/>
          <w:color w:val="0000FF"/>
          <w:w w:val="99"/>
          <w:sz w:val="24"/>
          <w:szCs w:val="24"/>
          <w:lang w:val="en-US"/>
        </w:rPr>
      </w:pPr>
      <w:r>
        <w:rPr>
          <w:rFonts w:ascii="Times New Roman" w:hAnsi="Times New Roman" w:cs="Times New Roman" w:eastAsiaTheme="minorEastAsia"/>
          <w:b/>
          <w:bCs/>
          <w:color w:val="0000FF"/>
          <w:w w:val="99"/>
          <w:sz w:val="24"/>
          <w:szCs w:val="24"/>
        </w:rPr>
        <w:t>表</w:t>
      </w:r>
      <w:r>
        <w:rPr>
          <w:rFonts w:ascii="Times New Roman" w:hAnsi="Times New Roman" w:cs="Times New Roman" w:eastAsiaTheme="minorEastAsia"/>
          <w:b/>
          <w:bCs/>
          <w:color w:val="0000FF"/>
          <w:w w:val="99"/>
          <w:sz w:val="24"/>
          <w:szCs w:val="24"/>
          <w:lang w:val="en-US"/>
        </w:rPr>
        <w:t>2.5-6    评价工作级分级表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462"/>
        <w:gridCol w:w="2162"/>
        <w:gridCol w:w="2162"/>
        <w:gridCol w:w="2294"/>
      </w:tblGrid>
      <w:tr w14:paraId="516B5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56" w:type="pct"/>
            <w:tcBorders>
              <w:bottom w:val="single" w:color="auto" w:sz="4" w:space="0"/>
              <w:tl2br w:val="single" w:color="auto" w:sz="4" w:space="0"/>
              <w:tr2bl w:val="nil"/>
            </w:tcBorders>
            <w:vAlign w:val="center"/>
          </w:tcPr>
          <w:p w14:paraId="18454643">
            <w:pPr>
              <w:widowControl/>
              <w:autoSpaceDE/>
              <w:autoSpaceDN/>
              <w:spacing w:line="360" w:lineRule="exact"/>
              <w:ind w:right="105"/>
              <w:jc w:val="right"/>
              <w:rPr>
                <w:rFonts w:ascii="Times New Roman" w:hAnsi="Times New Roman" w:cs="Times New Roman" w:eastAsiaTheme="minorEastAsia"/>
                <w:color w:val="0000FF"/>
                <w:w w:val="99"/>
                <w:sz w:val="21"/>
                <w:szCs w:val="21"/>
                <w:lang w:val="en-US" w:bidi="ar-SA"/>
              </w:rPr>
            </w:pPr>
            <w:r>
              <w:rPr>
                <w:rFonts w:ascii="Times New Roman" w:hAnsi="Times New Roman" w:cs="Times New Roman" w:eastAsiaTheme="minorEastAsia"/>
                <w:color w:val="0000FF"/>
                <w:w w:val="99"/>
                <w:sz w:val="21"/>
                <w:szCs w:val="21"/>
                <w:lang w:val="en-US" w:bidi="ar-SA"/>
              </w:rPr>
              <w:t>项目类别</w:t>
            </w:r>
          </w:p>
          <w:p w14:paraId="34A54538">
            <w:pPr>
              <w:widowControl/>
              <w:autoSpaceDE/>
              <w:autoSpaceDN/>
              <w:spacing w:line="360" w:lineRule="exact"/>
              <w:ind w:firstLine="103" w:firstLineChars="50"/>
              <w:rPr>
                <w:rFonts w:ascii="Times New Roman" w:hAnsi="Times New Roman" w:cs="Times New Roman" w:eastAsiaTheme="minorEastAsia"/>
                <w:color w:val="0000FF"/>
                <w:w w:val="99"/>
                <w:sz w:val="21"/>
                <w:szCs w:val="21"/>
                <w:lang w:val="en-US" w:bidi="ar-SA"/>
              </w:rPr>
            </w:pPr>
            <w:r>
              <w:rPr>
                <w:rFonts w:ascii="Times New Roman" w:hAnsi="Times New Roman" w:cs="Times New Roman" w:eastAsiaTheme="minorEastAsia"/>
                <w:color w:val="0000FF"/>
                <w:w w:val="99"/>
                <w:sz w:val="21"/>
                <w:szCs w:val="21"/>
                <w:lang w:val="en-US" w:bidi="ar-SA"/>
              </w:rPr>
              <w:t>环境敏感程度</w:t>
            </w:r>
          </w:p>
        </w:tc>
        <w:tc>
          <w:tcPr>
            <w:tcW w:w="1190" w:type="pct"/>
            <w:tcBorders>
              <w:tl2br w:val="nil"/>
              <w:tr2bl w:val="nil"/>
            </w:tcBorders>
            <w:vAlign w:val="center"/>
          </w:tcPr>
          <w:p w14:paraId="435D36C2">
            <w:pPr>
              <w:widowControl/>
              <w:autoSpaceDE/>
              <w:autoSpaceDN/>
              <w:spacing w:line="360" w:lineRule="exact"/>
              <w:jc w:val="center"/>
              <w:rPr>
                <w:rFonts w:ascii="Times New Roman" w:hAnsi="Times New Roman" w:cs="Times New Roman" w:eastAsiaTheme="minorEastAsia"/>
                <w:color w:val="0000FF"/>
                <w:w w:val="99"/>
                <w:sz w:val="21"/>
                <w:szCs w:val="21"/>
                <w:lang w:val="en-US" w:bidi="ar-SA"/>
              </w:rPr>
            </w:pPr>
            <w:r>
              <w:rPr>
                <w:rFonts w:ascii="Times New Roman" w:hAnsi="Times New Roman" w:cs="Times New Roman" w:eastAsiaTheme="minorEastAsia"/>
                <w:snapToGrid w:val="0"/>
                <w:color w:val="0000FF"/>
                <w:w w:val="99"/>
                <w:sz w:val="21"/>
                <w:szCs w:val="21"/>
                <w:lang w:val="en-US" w:bidi="ar-SA"/>
              </w:rPr>
              <w:t>I类项目</w:t>
            </w:r>
          </w:p>
        </w:tc>
        <w:tc>
          <w:tcPr>
            <w:tcW w:w="1190" w:type="pct"/>
            <w:tcBorders>
              <w:tl2br w:val="nil"/>
              <w:tr2bl w:val="nil"/>
            </w:tcBorders>
            <w:vAlign w:val="center"/>
          </w:tcPr>
          <w:p w14:paraId="6A0A79E7">
            <w:pPr>
              <w:widowControl/>
              <w:autoSpaceDE/>
              <w:autoSpaceDN/>
              <w:spacing w:line="360" w:lineRule="exact"/>
              <w:jc w:val="center"/>
              <w:rPr>
                <w:rFonts w:ascii="Times New Roman" w:hAnsi="Times New Roman" w:cs="Times New Roman" w:eastAsiaTheme="minorEastAsia"/>
                <w:color w:val="0000FF"/>
                <w:w w:val="99"/>
                <w:sz w:val="21"/>
                <w:szCs w:val="21"/>
                <w:lang w:val="en-US" w:bidi="ar-SA"/>
              </w:rPr>
            </w:pPr>
            <w:r>
              <w:rPr>
                <w:rFonts w:ascii="Times New Roman" w:hAnsi="Times New Roman" w:cs="Times New Roman" w:eastAsiaTheme="minorEastAsia"/>
                <w:snapToGrid w:val="0"/>
                <w:color w:val="0000FF"/>
                <w:w w:val="99"/>
                <w:sz w:val="21"/>
                <w:szCs w:val="21"/>
                <w:lang w:val="en-US" w:bidi="ar-SA"/>
              </w:rPr>
              <w:t>Ⅱ类项目</w:t>
            </w:r>
          </w:p>
        </w:tc>
        <w:tc>
          <w:tcPr>
            <w:tcW w:w="1263" w:type="pct"/>
            <w:tcBorders>
              <w:tl2br w:val="nil"/>
              <w:tr2bl w:val="nil"/>
            </w:tcBorders>
            <w:vAlign w:val="center"/>
          </w:tcPr>
          <w:p w14:paraId="2EF3936C">
            <w:pPr>
              <w:widowControl/>
              <w:autoSpaceDE/>
              <w:autoSpaceDN/>
              <w:spacing w:line="360" w:lineRule="exact"/>
              <w:jc w:val="center"/>
              <w:rPr>
                <w:rFonts w:ascii="Times New Roman" w:hAnsi="Times New Roman" w:cs="Times New Roman" w:eastAsiaTheme="minorEastAsia"/>
                <w:color w:val="0000FF"/>
                <w:w w:val="99"/>
                <w:sz w:val="21"/>
                <w:szCs w:val="21"/>
                <w:lang w:val="en-US" w:bidi="ar-SA"/>
              </w:rPr>
            </w:pPr>
            <w:r>
              <w:rPr>
                <w:rFonts w:ascii="Times New Roman" w:hAnsi="Times New Roman" w:cs="Times New Roman" w:eastAsiaTheme="minorEastAsia"/>
                <w:snapToGrid w:val="0"/>
                <w:color w:val="0000FF"/>
                <w:w w:val="99"/>
                <w:sz w:val="21"/>
                <w:szCs w:val="21"/>
                <w:lang w:val="en-US" w:bidi="ar-SA"/>
              </w:rPr>
              <w:t>Ⅲ类项目</w:t>
            </w:r>
          </w:p>
        </w:tc>
      </w:tr>
      <w:tr w14:paraId="38939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56" w:type="pct"/>
            <w:tcBorders>
              <w:tl2br w:val="nil"/>
              <w:tr2bl w:val="nil"/>
            </w:tcBorders>
            <w:vAlign w:val="center"/>
          </w:tcPr>
          <w:p w14:paraId="1EEB9AC7">
            <w:pPr>
              <w:widowControl/>
              <w:autoSpaceDE/>
              <w:autoSpaceDN/>
              <w:spacing w:line="360" w:lineRule="exact"/>
              <w:jc w:val="center"/>
              <w:rPr>
                <w:rFonts w:ascii="Times New Roman" w:hAnsi="Times New Roman" w:cs="Times New Roman" w:eastAsiaTheme="minorEastAsia"/>
                <w:color w:val="0000FF"/>
                <w:w w:val="99"/>
                <w:sz w:val="21"/>
                <w:szCs w:val="21"/>
                <w:lang w:val="en-US" w:bidi="ar-SA"/>
              </w:rPr>
            </w:pPr>
            <w:r>
              <w:rPr>
                <w:rFonts w:ascii="Times New Roman" w:hAnsi="Times New Roman" w:cs="Times New Roman" w:eastAsiaTheme="minorEastAsia"/>
                <w:color w:val="0000FF"/>
                <w:w w:val="99"/>
                <w:sz w:val="21"/>
                <w:szCs w:val="21"/>
                <w:lang w:val="en-US" w:bidi="ar-SA"/>
              </w:rPr>
              <w:t>敏感</w:t>
            </w:r>
          </w:p>
        </w:tc>
        <w:tc>
          <w:tcPr>
            <w:tcW w:w="1190" w:type="pct"/>
            <w:tcBorders>
              <w:tl2br w:val="nil"/>
              <w:tr2bl w:val="nil"/>
            </w:tcBorders>
            <w:vAlign w:val="center"/>
          </w:tcPr>
          <w:p w14:paraId="4F9D9404">
            <w:pPr>
              <w:widowControl/>
              <w:autoSpaceDE/>
              <w:autoSpaceDN/>
              <w:spacing w:line="360" w:lineRule="exact"/>
              <w:jc w:val="center"/>
              <w:rPr>
                <w:rFonts w:ascii="Times New Roman" w:hAnsi="Times New Roman" w:cs="Times New Roman" w:eastAsiaTheme="minorEastAsia"/>
                <w:color w:val="0000FF"/>
                <w:w w:val="99"/>
                <w:sz w:val="21"/>
                <w:szCs w:val="21"/>
                <w:lang w:val="en-US" w:bidi="ar-SA"/>
              </w:rPr>
            </w:pPr>
            <w:r>
              <w:rPr>
                <w:rFonts w:ascii="Times New Roman" w:hAnsi="Times New Roman" w:cs="Times New Roman" w:eastAsiaTheme="minorEastAsia"/>
                <w:color w:val="0000FF"/>
                <w:w w:val="99"/>
                <w:sz w:val="21"/>
                <w:szCs w:val="21"/>
                <w:lang w:val="en-US" w:bidi="ar-SA"/>
              </w:rPr>
              <w:t>一</w:t>
            </w:r>
          </w:p>
        </w:tc>
        <w:tc>
          <w:tcPr>
            <w:tcW w:w="1190" w:type="pct"/>
            <w:tcBorders>
              <w:tl2br w:val="nil"/>
              <w:tr2bl w:val="nil"/>
            </w:tcBorders>
            <w:vAlign w:val="center"/>
          </w:tcPr>
          <w:p w14:paraId="6B44417B">
            <w:pPr>
              <w:widowControl/>
              <w:autoSpaceDE/>
              <w:autoSpaceDN/>
              <w:spacing w:line="360" w:lineRule="exact"/>
              <w:jc w:val="center"/>
              <w:rPr>
                <w:rFonts w:ascii="Times New Roman" w:hAnsi="Times New Roman" w:cs="Times New Roman" w:eastAsiaTheme="minorEastAsia"/>
                <w:color w:val="0000FF"/>
                <w:w w:val="99"/>
                <w:sz w:val="21"/>
                <w:szCs w:val="21"/>
                <w:lang w:val="en-US" w:bidi="ar-SA"/>
              </w:rPr>
            </w:pPr>
            <w:r>
              <w:rPr>
                <w:rFonts w:ascii="Times New Roman" w:hAnsi="Times New Roman" w:cs="Times New Roman" w:eastAsiaTheme="minorEastAsia"/>
                <w:color w:val="0000FF"/>
                <w:w w:val="99"/>
                <w:sz w:val="21"/>
                <w:szCs w:val="21"/>
                <w:lang w:val="en-US" w:bidi="ar-SA"/>
              </w:rPr>
              <w:t>一</w:t>
            </w:r>
          </w:p>
        </w:tc>
        <w:tc>
          <w:tcPr>
            <w:tcW w:w="1263" w:type="pct"/>
            <w:tcBorders>
              <w:tl2br w:val="nil"/>
              <w:tr2bl w:val="nil"/>
            </w:tcBorders>
            <w:vAlign w:val="center"/>
          </w:tcPr>
          <w:p w14:paraId="3490F855">
            <w:pPr>
              <w:widowControl/>
              <w:autoSpaceDE/>
              <w:autoSpaceDN/>
              <w:spacing w:line="360" w:lineRule="exact"/>
              <w:jc w:val="center"/>
              <w:rPr>
                <w:rFonts w:ascii="Times New Roman" w:hAnsi="Times New Roman" w:cs="Times New Roman" w:eastAsiaTheme="minorEastAsia"/>
                <w:color w:val="0000FF"/>
                <w:w w:val="99"/>
                <w:sz w:val="21"/>
                <w:szCs w:val="21"/>
                <w:lang w:val="en-US" w:bidi="ar-SA"/>
              </w:rPr>
            </w:pPr>
            <w:r>
              <w:rPr>
                <w:rFonts w:ascii="Times New Roman" w:hAnsi="Times New Roman" w:cs="Times New Roman" w:eastAsiaTheme="minorEastAsia"/>
                <w:color w:val="0000FF"/>
                <w:w w:val="99"/>
                <w:sz w:val="21"/>
                <w:szCs w:val="21"/>
                <w:lang w:val="en-US" w:bidi="ar-SA"/>
              </w:rPr>
              <w:t>二</w:t>
            </w:r>
          </w:p>
        </w:tc>
      </w:tr>
      <w:tr w14:paraId="4D393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56" w:type="pct"/>
            <w:tcBorders>
              <w:tl2br w:val="nil"/>
              <w:tr2bl w:val="nil"/>
            </w:tcBorders>
            <w:vAlign w:val="center"/>
          </w:tcPr>
          <w:p w14:paraId="11164363">
            <w:pPr>
              <w:widowControl/>
              <w:autoSpaceDE/>
              <w:autoSpaceDN/>
              <w:spacing w:line="360" w:lineRule="exact"/>
              <w:jc w:val="center"/>
              <w:rPr>
                <w:rFonts w:ascii="Times New Roman" w:hAnsi="Times New Roman" w:cs="Times New Roman" w:eastAsiaTheme="minorEastAsia"/>
                <w:color w:val="0000FF"/>
                <w:w w:val="99"/>
                <w:sz w:val="21"/>
                <w:szCs w:val="21"/>
                <w:lang w:val="en-US" w:bidi="ar-SA"/>
              </w:rPr>
            </w:pPr>
            <w:r>
              <w:rPr>
                <w:rFonts w:ascii="Times New Roman" w:hAnsi="Times New Roman" w:cs="Times New Roman" w:eastAsiaTheme="minorEastAsia"/>
                <w:color w:val="0000FF"/>
                <w:w w:val="99"/>
                <w:sz w:val="21"/>
                <w:szCs w:val="21"/>
                <w:lang w:val="en-US" w:bidi="ar-SA"/>
              </w:rPr>
              <w:t>较敏感</w:t>
            </w:r>
          </w:p>
        </w:tc>
        <w:tc>
          <w:tcPr>
            <w:tcW w:w="1190" w:type="pct"/>
            <w:tcBorders>
              <w:tl2br w:val="nil"/>
              <w:tr2bl w:val="nil"/>
            </w:tcBorders>
            <w:vAlign w:val="center"/>
          </w:tcPr>
          <w:p w14:paraId="1E23DDE5">
            <w:pPr>
              <w:widowControl/>
              <w:autoSpaceDE/>
              <w:autoSpaceDN/>
              <w:spacing w:line="360" w:lineRule="exact"/>
              <w:jc w:val="center"/>
              <w:rPr>
                <w:rFonts w:ascii="Times New Roman" w:hAnsi="Times New Roman" w:cs="Times New Roman" w:eastAsiaTheme="minorEastAsia"/>
                <w:color w:val="0000FF"/>
                <w:w w:val="99"/>
                <w:sz w:val="21"/>
                <w:szCs w:val="21"/>
                <w:lang w:val="en-US" w:bidi="ar-SA"/>
              </w:rPr>
            </w:pPr>
            <w:r>
              <w:rPr>
                <w:rFonts w:ascii="Times New Roman" w:hAnsi="Times New Roman" w:cs="Times New Roman" w:eastAsiaTheme="minorEastAsia"/>
                <w:color w:val="0000FF"/>
                <w:w w:val="99"/>
                <w:sz w:val="21"/>
                <w:szCs w:val="21"/>
                <w:lang w:val="en-US" w:bidi="ar-SA"/>
              </w:rPr>
              <w:t>一</w:t>
            </w:r>
          </w:p>
        </w:tc>
        <w:tc>
          <w:tcPr>
            <w:tcW w:w="1190" w:type="pct"/>
            <w:tcBorders>
              <w:tl2br w:val="nil"/>
              <w:tr2bl w:val="nil"/>
            </w:tcBorders>
            <w:vAlign w:val="center"/>
          </w:tcPr>
          <w:p w14:paraId="6104651E">
            <w:pPr>
              <w:widowControl/>
              <w:autoSpaceDE/>
              <w:autoSpaceDN/>
              <w:spacing w:line="360" w:lineRule="exact"/>
              <w:jc w:val="center"/>
              <w:rPr>
                <w:rFonts w:ascii="Times New Roman" w:hAnsi="Times New Roman" w:cs="Times New Roman" w:eastAsiaTheme="minorEastAsia"/>
                <w:color w:val="0000FF"/>
                <w:w w:val="99"/>
                <w:sz w:val="21"/>
                <w:szCs w:val="21"/>
                <w:lang w:val="en-US" w:bidi="ar-SA"/>
              </w:rPr>
            </w:pPr>
            <w:r>
              <w:rPr>
                <w:rFonts w:ascii="Times New Roman" w:hAnsi="Times New Roman" w:cs="Times New Roman" w:eastAsiaTheme="minorEastAsia"/>
                <w:color w:val="0000FF"/>
                <w:w w:val="99"/>
                <w:sz w:val="21"/>
                <w:szCs w:val="21"/>
                <w:lang w:val="en-US" w:bidi="ar-SA"/>
              </w:rPr>
              <w:t>二</w:t>
            </w:r>
          </w:p>
        </w:tc>
        <w:tc>
          <w:tcPr>
            <w:tcW w:w="1263" w:type="pct"/>
            <w:tcBorders>
              <w:tl2br w:val="nil"/>
              <w:tr2bl w:val="nil"/>
            </w:tcBorders>
            <w:vAlign w:val="center"/>
          </w:tcPr>
          <w:p w14:paraId="00A82251">
            <w:pPr>
              <w:widowControl/>
              <w:autoSpaceDE/>
              <w:autoSpaceDN/>
              <w:spacing w:line="360" w:lineRule="exact"/>
              <w:jc w:val="center"/>
              <w:rPr>
                <w:rFonts w:ascii="Times New Roman" w:hAnsi="Times New Roman" w:cs="Times New Roman" w:eastAsiaTheme="minorEastAsia"/>
                <w:color w:val="0000FF"/>
                <w:w w:val="99"/>
                <w:sz w:val="21"/>
                <w:szCs w:val="21"/>
                <w:lang w:val="en-US" w:bidi="ar-SA"/>
              </w:rPr>
            </w:pPr>
            <w:r>
              <w:rPr>
                <w:rFonts w:ascii="Times New Roman" w:hAnsi="Times New Roman" w:cs="Times New Roman" w:eastAsiaTheme="minorEastAsia"/>
                <w:color w:val="0000FF"/>
                <w:w w:val="99"/>
                <w:sz w:val="21"/>
                <w:szCs w:val="21"/>
                <w:lang w:val="en-US" w:bidi="ar-SA"/>
              </w:rPr>
              <w:t>三</w:t>
            </w:r>
          </w:p>
        </w:tc>
      </w:tr>
      <w:tr w14:paraId="1A88A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56" w:type="pct"/>
            <w:tcBorders>
              <w:tl2br w:val="nil"/>
              <w:tr2bl w:val="nil"/>
            </w:tcBorders>
            <w:vAlign w:val="center"/>
          </w:tcPr>
          <w:p w14:paraId="282F6769">
            <w:pPr>
              <w:widowControl/>
              <w:autoSpaceDE/>
              <w:autoSpaceDN/>
              <w:spacing w:line="360" w:lineRule="exact"/>
              <w:jc w:val="center"/>
              <w:rPr>
                <w:rFonts w:ascii="Times New Roman" w:hAnsi="Times New Roman" w:cs="Times New Roman" w:eastAsiaTheme="minorEastAsia"/>
                <w:color w:val="0000FF"/>
                <w:w w:val="99"/>
                <w:sz w:val="21"/>
                <w:szCs w:val="21"/>
                <w:lang w:val="en-US" w:bidi="ar-SA"/>
              </w:rPr>
            </w:pPr>
            <w:r>
              <w:rPr>
                <w:rFonts w:ascii="Times New Roman" w:hAnsi="Times New Roman" w:cs="Times New Roman" w:eastAsiaTheme="minorEastAsia"/>
                <w:color w:val="0000FF"/>
                <w:w w:val="99"/>
                <w:sz w:val="21"/>
                <w:szCs w:val="21"/>
                <w:lang w:val="en-US" w:bidi="ar-SA"/>
              </w:rPr>
              <w:t>不敏感</w:t>
            </w:r>
          </w:p>
        </w:tc>
        <w:tc>
          <w:tcPr>
            <w:tcW w:w="1190" w:type="pct"/>
            <w:tcBorders>
              <w:tl2br w:val="nil"/>
              <w:tr2bl w:val="nil"/>
            </w:tcBorders>
            <w:vAlign w:val="center"/>
          </w:tcPr>
          <w:p w14:paraId="3D9EE243">
            <w:pPr>
              <w:widowControl/>
              <w:autoSpaceDE/>
              <w:autoSpaceDN/>
              <w:spacing w:line="360" w:lineRule="exact"/>
              <w:jc w:val="center"/>
              <w:rPr>
                <w:rFonts w:ascii="Times New Roman" w:hAnsi="Times New Roman" w:cs="Times New Roman" w:eastAsiaTheme="minorEastAsia"/>
                <w:color w:val="0000FF"/>
                <w:w w:val="99"/>
                <w:sz w:val="21"/>
                <w:szCs w:val="21"/>
                <w:lang w:val="en-US" w:bidi="ar-SA"/>
              </w:rPr>
            </w:pPr>
            <w:r>
              <w:rPr>
                <w:rFonts w:ascii="Times New Roman" w:hAnsi="Times New Roman" w:cs="Times New Roman" w:eastAsiaTheme="minorEastAsia"/>
                <w:color w:val="0000FF"/>
                <w:w w:val="99"/>
                <w:sz w:val="21"/>
                <w:szCs w:val="21"/>
                <w:shd w:val="pct15" w:color="auto" w:fill="FFFFFF"/>
                <w:lang w:val="en-US" w:bidi="ar-SA"/>
              </w:rPr>
              <w:t>二</w:t>
            </w:r>
          </w:p>
        </w:tc>
        <w:tc>
          <w:tcPr>
            <w:tcW w:w="1190" w:type="pct"/>
            <w:tcBorders>
              <w:tl2br w:val="nil"/>
              <w:tr2bl w:val="nil"/>
            </w:tcBorders>
            <w:vAlign w:val="center"/>
          </w:tcPr>
          <w:p w14:paraId="135B0A3F">
            <w:pPr>
              <w:widowControl/>
              <w:autoSpaceDE/>
              <w:autoSpaceDN/>
              <w:spacing w:line="360" w:lineRule="exact"/>
              <w:jc w:val="center"/>
              <w:rPr>
                <w:rFonts w:ascii="Times New Roman" w:hAnsi="Times New Roman" w:cs="Times New Roman" w:eastAsiaTheme="minorEastAsia"/>
                <w:color w:val="0000FF"/>
                <w:w w:val="99"/>
                <w:sz w:val="21"/>
                <w:szCs w:val="21"/>
                <w:lang w:val="en-US" w:bidi="ar-SA"/>
              </w:rPr>
            </w:pPr>
            <w:r>
              <w:rPr>
                <w:rFonts w:ascii="Times New Roman" w:hAnsi="Times New Roman" w:cs="Times New Roman" w:eastAsiaTheme="minorEastAsia"/>
                <w:color w:val="0000FF"/>
                <w:w w:val="99"/>
                <w:sz w:val="21"/>
                <w:szCs w:val="21"/>
                <w:lang w:val="en-US" w:bidi="ar-SA"/>
              </w:rPr>
              <w:t>三</w:t>
            </w:r>
          </w:p>
        </w:tc>
        <w:tc>
          <w:tcPr>
            <w:tcW w:w="1263" w:type="pct"/>
            <w:tcBorders>
              <w:tl2br w:val="nil"/>
              <w:tr2bl w:val="nil"/>
            </w:tcBorders>
            <w:vAlign w:val="center"/>
          </w:tcPr>
          <w:p w14:paraId="26A4C790">
            <w:pPr>
              <w:widowControl/>
              <w:autoSpaceDE/>
              <w:autoSpaceDN/>
              <w:spacing w:line="360" w:lineRule="exact"/>
              <w:jc w:val="center"/>
              <w:rPr>
                <w:rFonts w:ascii="Times New Roman" w:hAnsi="Times New Roman" w:cs="Times New Roman" w:eastAsiaTheme="minorEastAsia"/>
                <w:color w:val="0000FF"/>
                <w:w w:val="99"/>
                <w:sz w:val="21"/>
                <w:szCs w:val="21"/>
                <w:lang w:val="en-US" w:bidi="ar-SA"/>
              </w:rPr>
            </w:pPr>
            <w:r>
              <w:rPr>
                <w:rFonts w:ascii="Times New Roman" w:hAnsi="Times New Roman" w:cs="Times New Roman" w:eastAsiaTheme="minorEastAsia"/>
                <w:color w:val="0000FF"/>
                <w:w w:val="99"/>
                <w:sz w:val="21"/>
                <w:szCs w:val="21"/>
                <w:lang w:val="en-US" w:bidi="ar-SA"/>
              </w:rPr>
              <w:t>三</w:t>
            </w:r>
          </w:p>
        </w:tc>
      </w:tr>
    </w:tbl>
    <w:p w14:paraId="08709326">
      <w:pPr>
        <w:spacing w:line="440" w:lineRule="exact"/>
        <w:ind w:firstLine="474" w:firstLineChars="200"/>
        <w:rPr>
          <w:rFonts w:ascii="Times New Roman" w:hAnsi="Times New Roman" w:cs="Times New Roman" w:eastAsiaTheme="minorEastAsia"/>
          <w:color w:val="0000FF"/>
          <w:w w:val="99"/>
          <w:sz w:val="24"/>
          <w:szCs w:val="24"/>
          <w:lang w:val="en-US"/>
        </w:rPr>
      </w:pPr>
      <w:r>
        <w:rPr>
          <w:rFonts w:ascii="Times New Roman" w:hAnsi="Times New Roman" w:cs="Times New Roman" w:eastAsiaTheme="minorEastAsia"/>
          <w:color w:val="0000FF"/>
          <w:w w:val="99"/>
          <w:sz w:val="24"/>
          <w:szCs w:val="24"/>
        </w:rPr>
        <w:t>综上所述，建设项目地下水环境敏感程度为“不敏感”，本项目为</w:t>
      </w:r>
      <w:r>
        <w:rPr>
          <w:rFonts w:ascii="Times New Roman" w:hAnsi="Times New Roman" w:cs="Times New Roman" w:eastAsiaTheme="minorEastAsia"/>
          <w:snapToGrid w:val="0"/>
          <w:color w:val="0000FF"/>
          <w:w w:val="99"/>
          <w:sz w:val="24"/>
          <w:szCs w:val="24"/>
          <w:lang w:val="en-US" w:bidi="ar-SA"/>
        </w:rPr>
        <w:t>I</w:t>
      </w:r>
      <w:r>
        <w:rPr>
          <w:rFonts w:ascii="Times New Roman" w:hAnsi="Times New Roman" w:cs="Times New Roman" w:eastAsiaTheme="minorEastAsia"/>
          <w:color w:val="0000FF"/>
          <w:w w:val="99"/>
          <w:sz w:val="24"/>
          <w:szCs w:val="24"/>
        </w:rPr>
        <w:t>类项目，依据评价工作等级划分原则，地下水评价工作等级为“二级”。</w:t>
      </w:r>
    </w:p>
    <w:p w14:paraId="61C9C6A9">
      <w:pPr>
        <w:pStyle w:val="5"/>
        <w:keepNext/>
        <w:keepLines/>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70" w:name="_Toc117794533"/>
      <w:r>
        <w:rPr>
          <w:rFonts w:ascii="Times New Roman" w:hAnsi="Times New Roman" w:cs="Times New Roman" w:eastAsiaTheme="minorEastAsia"/>
          <w:color w:val="000000" w:themeColor="text1"/>
          <w:w w:val="99"/>
          <w:kern w:val="2"/>
          <w:lang w:val="en-US" w:bidi="ar-SA"/>
          <w14:textFill>
            <w14:solidFill>
              <w14:schemeClr w14:val="tx1"/>
            </w14:solidFill>
          </w14:textFill>
        </w:rPr>
        <w:t>2.5.4 声环境</w:t>
      </w:r>
      <w:bookmarkEnd w:id="70"/>
    </w:p>
    <w:p w14:paraId="14D72188">
      <w:pPr>
        <w:spacing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根据《环境影响评价技术导则 声环境》（HJ2.4-2021）中规定的声环境影响评价工作等级划分原则：建设项目所处的声环境功能区为GB3096规定的1类、2类地区，或建设项目建设前后评价范围内声环境保护目标噪声级增高量达3dB(A)~5dB(A)，或受噪声影响人口数量增加较多时，评价等级为二级评价。</w:t>
      </w:r>
    </w:p>
    <w:p w14:paraId="1C2E139C">
      <w:pPr>
        <w:spacing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本工程主要噪声源主要为生产运行期</w:t>
      </w:r>
      <w:r>
        <w:rPr>
          <w:rFonts w:ascii="Times New Roman" w:hAnsi="Times New Roman" w:cs="Times New Roman" w:eastAsiaTheme="minorEastAsia"/>
          <w:color w:val="000000" w:themeColor="text1"/>
          <w:w w:val="99"/>
          <w:sz w:val="24"/>
          <w:szCs w:val="24"/>
          <w:highlight w:val="red"/>
          <w:lang w:val="en-US"/>
          <w14:textFill>
            <w14:solidFill>
              <w14:schemeClr w14:val="tx1"/>
            </w14:solidFill>
          </w14:textFill>
        </w:rPr>
        <w:t>混输泵产</w:t>
      </w:r>
      <w:r>
        <w:rPr>
          <w:rFonts w:ascii="Times New Roman" w:hAnsi="Times New Roman" w:cs="Times New Roman" w:eastAsiaTheme="minorEastAsia"/>
          <w:color w:val="000000" w:themeColor="text1"/>
          <w:w w:val="99"/>
          <w:sz w:val="24"/>
          <w:szCs w:val="24"/>
          <w:lang w:val="en-US"/>
          <w14:textFill>
            <w14:solidFill>
              <w14:schemeClr w14:val="tx1"/>
            </w14:solidFill>
          </w14:textFill>
        </w:rPr>
        <w:t>生的持续性噪声源，噪声源的种类及数量较少，运行期噪声源强度不高，周围居民受影响人口数量增加不多，敏感目标噪声级增高量在5dB(A)以下，且项目所处的声环境功能区为GB3096 2类地区，因此，声环境评价等级为二级。</w:t>
      </w:r>
    </w:p>
    <w:p w14:paraId="022D59AF">
      <w:pPr>
        <w:pStyle w:val="5"/>
        <w:keepNext/>
        <w:keepLines/>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71" w:name="_Toc117794534"/>
      <w:r>
        <w:rPr>
          <w:rFonts w:ascii="Times New Roman" w:hAnsi="Times New Roman" w:cs="Times New Roman" w:eastAsiaTheme="minorEastAsia"/>
          <w:color w:val="000000" w:themeColor="text1"/>
          <w:w w:val="99"/>
          <w:kern w:val="2"/>
          <w:lang w:val="en-US" w:bidi="ar-SA"/>
          <w14:textFill>
            <w14:solidFill>
              <w14:schemeClr w14:val="tx1"/>
            </w14:solidFill>
          </w14:textFill>
        </w:rPr>
        <w:t>2.5.5 土壤环境</w:t>
      </w:r>
      <w:bookmarkEnd w:id="71"/>
    </w:p>
    <w:p w14:paraId="20D62FB2">
      <w:pPr>
        <w:pStyle w:val="31"/>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根据《环境影响评价技术导则 土壤环境》（试行）（HJ964-2018），建设项目土壤环境影响评价工作等级的划分应依据建设项目所属行业分类和土壤环境敏感程度分级进行判定：</w:t>
      </w:r>
    </w:p>
    <w:p w14:paraId="53F07E15">
      <w:pPr>
        <w:pStyle w:val="107"/>
        <w:tabs>
          <w:tab w:val="left" w:pos="1571"/>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hint="eastAsia"/>
          <w:color w:val="000000" w:themeColor="text1"/>
          <w:w w:val="99"/>
          <w:sz w:val="24"/>
          <w:szCs w:val="24"/>
          <w14:textFill>
            <w14:solidFill>
              <w14:schemeClr w14:val="tx1"/>
            </w14:solidFill>
          </w14:textFill>
        </w:rPr>
        <w:t>①</w:t>
      </w:r>
      <w:r>
        <w:rPr>
          <w:rFonts w:ascii="Times New Roman" w:hAnsi="Times New Roman" w:cs="Times New Roman" w:eastAsiaTheme="minorEastAsia"/>
          <w:color w:val="000000" w:themeColor="text1"/>
          <w:w w:val="99"/>
          <w:sz w:val="24"/>
          <w:szCs w:val="24"/>
          <w14:textFill>
            <w14:solidFill>
              <w14:schemeClr w14:val="tx1"/>
            </w14:solidFill>
          </w14:textFill>
        </w:rPr>
        <w:t>建设项目行业分类：对照《环境影响评价技术导则 土壤环境》（试行）（HJ964-2018）附录A，本项目属于</w:t>
      </w:r>
      <w:r>
        <w:rPr>
          <w:rFonts w:ascii="Times New Roman" w:hAnsi="Times New Roman" w:cs="Times New Roman" w:eastAsiaTheme="minorEastAsia"/>
          <w:color w:val="000000" w:themeColor="text1"/>
          <w:w w:val="99"/>
          <w:position w:val="2"/>
          <w:sz w:val="24"/>
          <w:szCs w:val="24"/>
          <w:lang w:val="en-US"/>
          <w14:textFill>
            <w14:solidFill>
              <w14:schemeClr w14:val="tx1"/>
            </w14:solidFill>
          </w14:textFill>
        </w:rPr>
        <w:t>石油开采类</w:t>
      </w:r>
      <w:r>
        <w:rPr>
          <w:rFonts w:ascii="Times New Roman" w:hAnsi="Times New Roman" w:cs="Times New Roman" w:eastAsiaTheme="minorEastAsia"/>
          <w:color w:val="000000" w:themeColor="text1"/>
          <w:w w:val="99"/>
          <w:sz w:val="24"/>
          <w:szCs w:val="24"/>
          <w14:textFill>
            <w14:solidFill>
              <w14:schemeClr w14:val="tx1"/>
            </w14:solidFill>
          </w14:textFill>
        </w:rPr>
        <w:t>项目，按土壤环境影响评价项目类别划分为</w:t>
      </w:r>
      <w:r>
        <w:rPr>
          <w:rFonts w:ascii="Times New Roman" w:hAnsi="Times New Roman" w:cs="Times New Roman" w:eastAsiaTheme="minorEastAsia"/>
          <w:snapToGrid w:val="0"/>
          <w:color w:val="000000" w:themeColor="text1"/>
          <w:w w:val="99"/>
          <w:sz w:val="24"/>
          <w:szCs w:val="24"/>
          <w:lang w:val="en-US" w:bidi="ar-SA"/>
          <w14:textFill>
            <w14:solidFill>
              <w14:schemeClr w14:val="tx1"/>
            </w14:solidFill>
          </w14:textFill>
        </w:rPr>
        <w:t>I</w:t>
      </w:r>
      <w:r>
        <w:rPr>
          <w:rFonts w:ascii="Times New Roman" w:hAnsi="Times New Roman" w:cs="Times New Roman" w:eastAsiaTheme="minorEastAsia"/>
          <w:color w:val="000000" w:themeColor="text1"/>
          <w:w w:val="99"/>
          <w:sz w:val="24"/>
          <w:szCs w:val="24"/>
          <w14:textFill>
            <w14:solidFill>
              <w14:schemeClr w14:val="tx1"/>
            </w14:solidFill>
          </w14:textFill>
        </w:rPr>
        <w:t>类。</w:t>
      </w:r>
    </w:p>
    <w:p w14:paraId="4C21C1DF">
      <w:pPr>
        <w:pStyle w:val="107"/>
        <w:tabs>
          <w:tab w:val="left" w:pos="1571"/>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hint="eastAsia"/>
          <w:color w:val="000000" w:themeColor="text1"/>
          <w:w w:val="99"/>
          <w:sz w:val="24"/>
          <w:szCs w:val="24"/>
          <w14:textFill>
            <w14:solidFill>
              <w14:schemeClr w14:val="tx1"/>
            </w14:solidFill>
          </w14:textFill>
        </w:rPr>
        <w:t>②</w:t>
      </w:r>
      <w:r>
        <w:rPr>
          <w:rFonts w:ascii="Times New Roman" w:hAnsi="Times New Roman" w:cs="Times New Roman" w:eastAsiaTheme="minorEastAsia"/>
          <w:color w:val="000000" w:themeColor="text1"/>
          <w:w w:val="99"/>
          <w:sz w:val="24"/>
          <w:szCs w:val="24"/>
          <w14:textFill>
            <w14:solidFill>
              <w14:schemeClr w14:val="tx1"/>
            </w14:solidFill>
          </w14:textFill>
        </w:rPr>
        <w:t>土壤环境敏感程度分级：管线周边分布有耕地，因此本项目土壤敏感程度为敏感，污染影响型敏感程度分级表见表</w:t>
      </w:r>
      <w:r>
        <w:rPr>
          <w:rFonts w:ascii="Times New Roman" w:hAnsi="Times New Roman" w:cs="Times New Roman" w:eastAsiaTheme="minorEastAsia"/>
          <w:color w:val="000000" w:themeColor="text1"/>
          <w:w w:val="99"/>
          <w:sz w:val="24"/>
          <w:szCs w:val="24"/>
          <w:lang w:val="en-US"/>
          <w14:textFill>
            <w14:solidFill>
              <w14:schemeClr w14:val="tx1"/>
            </w14:solidFill>
          </w14:textFill>
        </w:rPr>
        <w:t>2.5-7。</w:t>
      </w:r>
    </w:p>
    <w:p w14:paraId="46176479">
      <w:pPr>
        <w:pStyle w:val="107"/>
        <w:tabs>
          <w:tab w:val="left" w:pos="1571"/>
        </w:tabs>
        <w:spacing w:line="440" w:lineRule="exact"/>
        <w:ind w:left="440" w:leftChars="200" w:firstLine="0"/>
        <w:jc w:val="both"/>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r>
        <w:rPr>
          <w:rFonts w:ascii="Times New Roman" w:hAnsi="Times New Roman" w:cs="Times New Roman" w:eastAsiaTheme="minorEastAsia"/>
          <w:b/>
          <w:bCs/>
          <w:color w:val="000000" w:themeColor="text1"/>
          <w:w w:val="99"/>
          <w:sz w:val="24"/>
          <w:szCs w:val="24"/>
          <w14:textFill>
            <w14:solidFill>
              <w14:schemeClr w14:val="tx1"/>
            </w14:solidFill>
          </w14:textFill>
        </w:rPr>
        <w:t>表</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2.5-7        污染影响型敏感程度分级表</w:t>
      </w:r>
    </w:p>
    <w:tbl>
      <w:tblPr>
        <w:tblStyle w:val="80"/>
        <w:tblW w:w="90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3"/>
        <w:gridCol w:w="7923"/>
      </w:tblGrid>
      <w:tr w14:paraId="4B316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63" w:type="dxa"/>
            <w:tcBorders>
              <w:tl2br w:val="nil"/>
              <w:tr2bl w:val="nil"/>
            </w:tcBorders>
            <w:vAlign w:val="center"/>
          </w:tcPr>
          <w:p w14:paraId="0A765558">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敏感程度</w:t>
            </w:r>
          </w:p>
        </w:tc>
        <w:tc>
          <w:tcPr>
            <w:tcW w:w="7923" w:type="dxa"/>
            <w:tcBorders>
              <w:tl2br w:val="nil"/>
              <w:tr2bl w:val="nil"/>
            </w:tcBorders>
            <w:vAlign w:val="center"/>
          </w:tcPr>
          <w:p w14:paraId="78B4CD35">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判别依据</w:t>
            </w:r>
          </w:p>
        </w:tc>
      </w:tr>
      <w:tr w14:paraId="53FB6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63" w:type="dxa"/>
            <w:tcBorders>
              <w:tl2br w:val="nil"/>
              <w:tr2bl w:val="nil"/>
            </w:tcBorders>
            <w:vAlign w:val="center"/>
          </w:tcPr>
          <w:p w14:paraId="420759AA">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敏感</w:t>
            </w:r>
          </w:p>
        </w:tc>
        <w:tc>
          <w:tcPr>
            <w:tcW w:w="7923" w:type="dxa"/>
            <w:tcBorders>
              <w:tl2br w:val="nil"/>
              <w:tr2bl w:val="nil"/>
            </w:tcBorders>
            <w:vAlign w:val="center"/>
          </w:tcPr>
          <w:p w14:paraId="2F07A96C">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建设项目周边存在耕地、园地、牧草地、饮用水水源地或居民区、学校、医院、疗养院、养老院等土壤环境敏感目标的</w:t>
            </w:r>
          </w:p>
        </w:tc>
      </w:tr>
      <w:tr w14:paraId="1AF3C3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63" w:type="dxa"/>
            <w:tcBorders>
              <w:tl2br w:val="nil"/>
              <w:tr2bl w:val="nil"/>
            </w:tcBorders>
            <w:vAlign w:val="center"/>
          </w:tcPr>
          <w:p w14:paraId="6E7E6ECC">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较敏感</w:t>
            </w:r>
          </w:p>
        </w:tc>
        <w:tc>
          <w:tcPr>
            <w:tcW w:w="7923" w:type="dxa"/>
            <w:tcBorders>
              <w:tl2br w:val="nil"/>
              <w:tr2bl w:val="nil"/>
            </w:tcBorders>
            <w:vAlign w:val="center"/>
          </w:tcPr>
          <w:p w14:paraId="036D80D3">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建设项目周边存在其他土壤环境敏感目标的</w:t>
            </w:r>
          </w:p>
        </w:tc>
      </w:tr>
      <w:tr w14:paraId="1D10F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63" w:type="dxa"/>
            <w:tcBorders>
              <w:tl2br w:val="nil"/>
              <w:tr2bl w:val="nil"/>
            </w:tcBorders>
            <w:vAlign w:val="center"/>
          </w:tcPr>
          <w:p w14:paraId="14A9267E">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不敏感</w:t>
            </w:r>
          </w:p>
        </w:tc>
        <w:tc>
          <w:tcPr>
            <w:tcW w:w="7923" w:type="dxa"/>
            <w:tcBorders>
              <w:tl2br w:val="nil"/>
              <w:tr2bl w:val="nil"/>
            </w:tcBorders>
            <w:vAlign w:val="center"/>
          </w:tcPr>
          <w:p w14:paraId="38367AC7">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其他情况</w:t>
            </w:r>
          </w:p>
        </w:tc>
      </w:tr>
    </w:tbl>
    <w:p w14:paraId="2EEC9BCB">
      <w:pPr>
        <w:pStyle w:val="31"/>
        <w:spacing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hint="eastAsia"/>
          <w:color w:val="000000" w:themeColor="text1"/>
          <w:w w:val="99"/>
          <w:sz w:val="24"/>
          <w:szCs w:val="24"/>
          <w14:textFill>
            <w14:solidFill>
              <w14:schemeClr w14:val="tx1"/>
            </w14:solidFill>
          </w14:textFill>
        </w:rPr>
        <w:t>③</w:t>
      </w:r>
      <w:r>
        <w:rPr>
          <w:rFonts w:ascii="Times New Roman" w:hAnsi="Times New Roman" w:cs="Times New Roman" w:eastAsiaTheme="minorEastAsia"/>
          <w:color w:val="000000" w:themeColor="text1"/>
          <w:w w:val="99"/>
          <w:sz w:val="24"/>
          <w:szCs w:val="24"/>
          <w14:textFill>
            <w14:solidFill>
              <w14:schemeClr w14:val="tx1"/>
            </w14:solidFill>
          </w14:textFill>
        </w:rPr>
        <w:t>建设项目占地规模分级：根据《环境影响评价技术导则 土壤环境（试行）》（HJ964-2018）：将建设项目占地规模分为大型（≥50hm</w:t>
      </w:r>
      <w:r>
        <w:rPr>
          <w:rFonts w:ascii="Times New Roman" w:hAnsi="Times New Roman" w:cs="Times New Roman" w:eastAsiaTheme="minorEastAsia"/>
          <w:color w:val="000000" w:themeColor="text1"/>
          <w:w w:val="99"/>
          <w:sz w:val="24"/>
          <w:szCs w:val="24"/>
          <w:vertAlign w:val="superscript"/>
          <w14:textFill>
            <w14:solidFill>
              <w14:schemeClr w14:val="tx1"/>
            </w14:solidFill>
          </w14:textFill>
        </w:rPr>
        <w:t>2</w:t>
      </w:r>
      <w:r>
        <w:rPr>
          <w:rFonts w:ascii="Times New Roman" w:hAnsi="Times New Roman" w:cs="Times New Roman" w:eastAsiaTheme="minorEastAsia"/>
          <w:color w:val="000000" w:themeColor="text1"/>
          <w:w w:val="99"/>
          <w:sz w:val="24"/>
          <w:szCs w:val="24"/>
          <w14:textFill>
            <w14:solidFill>
              <w14:schemeClr w14:val="tx1"/>
            </w14:solidFill>
          </w14:textFill>
        </w:rPr>
        <w:t>）、中型（5~50hm</w:t>
      </w:r>
      <w:r>
        <w:rPr>
          <w:rFonts w:ascii="Times New Roman" w:hAnsi="Times New Roman" w:cs="Times New Roman" w:eastAsiaTheme="minorEastAsia"/>
          <w:color w:val="000000" w:themeColor="text1"/>
          <w:w w:val="99"/>
          <w:sz w:val="24"/>
          <w:szCs w:val="24"/>
          <w:vertAlign w:val="superscript"/>
          <w14:textFill>
            <w14:solidFill>
              <w14:schemeClr w14:val="tx1"/>
            </w14:solidFill>
          </w14:textFill>
        </w:rPr>
        <w:t>2</w:t>
      </w:r>
      <w:r>
        <w:rPr>
          <w:rFonts w:ascii="Times New Roman" w:hAnsi="Times New Roman" w:cs="Times New Roman" w:eastAsiaTheme="minorEastAsia"/>
          <w:color w:val="000000" w:themeColor="text1"/>
          <w:w w:val="99"/>
          <w:sz w:val="24"/>
          <w:szCs w:val="24"/>
          <w14:textFill>
            <w14:solidFill>
              <w14:schemeClr w14:val="tx1"/>
            </w14:solidFill>
          </w14:textFill>
        </w:rPr>
        <w:t>）、小型（≤5hm</w:t>
      </w:r>
      <w:r>
        <w:rPr>
          <w:rFonts w:ascii="Times New Roman" w:hAnsi="Times New Roman" w:cs="Times New Roman" w:eastAsiaTheme="minorEastAsia"/>
          <w:color w:val="000000" w:themeColor="text1"/>
          <w:w w:val="99"/>
          <w:sz w:val="24"/>
          <w:szCs w:val="24"/>
          <w:vertAlign w:val="superscript"/>
          <w14:textFill>
            <w14:solidFill>
              <w14:schemeClr w14:val="tx1"/>
            </w14:solidFill>
          </w14:textFill>
        </w:rPr>
        <w:t>2</w:t>
      </w:r>
      <w:r>
        <w:rPr>
          <w:rFonts w:ascii="Times New Roman" w:hAnsi="Times New Roman" w:cs="Times New Roman" w:eastAsiaTheme="minorEastAsia"/>
          <w:color w:val="000000" w:themeColor="text1"/>
          <w:w w:val="99"/>
          <w:sz w:val="24"/>
          <w:szCs w:val="24"/>
          <w14:textFill>
            <w14:solidFill>
              <w14:schemeClr w14:val="tx1"/>
            </w14:solidFill>
          </w14:textFill>
        </w:rPr>
        <w:t>），本工程新增永久占地规模为</w:t>
      </w:r>
      <w:r>
        <w:rPr>
          <w:rFonts w:ascii="Times New Roman" w:hAnsi="Times New Roman" w:cs="Times New Roman" w:eastAsiaTheme="minorEastAsia"/>
          <w:color w:val="000000" w:themeColor="text1"/>
          <w:w w:val="99"/>
          <w:sz w:val="24"/>
          <w:szCs w:val="24"/>
          <w:lang w:val="en-US"/>
          <w14:textFill>
            <w14:solidFill>
              <w14:schemeClr w14:val="tx1"/>
            </w14:solidFill>
          </w14:textFill>
        </w:rPr>
        <w:t>0hm</w:t>
      </w:r>
      <w:r>
        <w:rPr>
          <w:rFonts w:ascii="Times New Roman" w:hAnsi="Times New Roman" w:cs="Times New Roman" w:eastAsiaTheme="minorEastAsia"/>
          <w:color w:val="000000" w:themeColor="text1"/>
          <w:w w:val="99"/>
          <w:sz w:val="24"/>
          <w:szCs w:val="24"/>
          <w:vertAlign w:val="superscript"/>
          <w:lang w:val="en-US"/>
          <w14:textFill>
            <w14:solidFill>
              <w14:schemeClr w14:val="tx1"/>
            </w14:solidFill>
          </w14:textFill>
        </w:rPr>
        <w:t>2</w:t>
      </w:r>
      <w:r>
        <w:rPr>
          <w:rFonts w:ascii="Times New Roman" w:hAnsi="Times New Roman" w:cs="Times New Roman" w:eastAsiaTheme="minorEastAsia"/>
          <w:color w:val="000000" w:themeColor="text1"/>
          <w:w w:val="99"/>
          <w:sz w:val="24"/>
          <w:szCs w:val="24"/>
          <w:lang w:val="en-US"/>
          <w14:textFill>
            <w14:solidFill>
              <w14:schemeClr w14:val="tx1"/>
            </w14:solidFill>
          </w14:textFill>
        </w:rPr>
        <w:t>，</w:t>
      </w:r>
      <w:r>
        <w:rPr>
          <w:rFonts w:ascii="Times New Roman" w:hAnsi="Times New Roman" w:cs="Times New Roman" w:eastAsiaTheme="minorEastAsia"/>
          <w:color w:val="000000" w:themeColor="text1"/>
          <w:w w:val="99"/>
          <w:sz w:val="24"/>
          <w:szCs w:val="24"/>
          <w14:textFill>
            <w14:solidFill>
              <w14:schemeClr w14:val="tx1"/>
            </w14:solidFill>
          </w14:textFill>
        </w:rPr>
        <w:t>占地规模属于小型。具体等级划分表见表</w:t>
      </w:r>
      <w:r>
        <w:rPr>
          <w:rFonts w:ascii="Times New Roman" w:hAnsi="Times New Roman" w:cs="Times New Roman" w:eastAsiaTheme="minorEastAsia"/>
          <w:color w:val="000000" w:themeColor="text1"/>
          <w:w w:val="99"/>
          <w:sz w:val="24"/>
          <w:szCs w:val="24"/>
          <w:lang w:val="en-US"/>
          <w14:textFill>
            <w14:solidFill>
              <w14:schemeClr w14:val="tx1"/>
            </w14:solidFill>
          </w14:textFill>
        </w:rPr>
        <w:t>2.5-8。</w:t>
      </w:r>
    </w:p>
    <w:p w14:paraId="46218B85">
      <w:pPr>
        <w:pStyle w:val="107"/>
        <w:tabs>
          <w:tab w:val="left" w:pos="1571"/>
        </w:tabs>
        <w:spacing w:line="440" w:lineRule="exact"/>
        <w:ind w:left="440" w:leftChars="200" w:firstLine="0"/>
        <w:jc w:val="both"/>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r>
        <w:rPr>
          <w:rFonts w:ascii="Times New Roman" w:hAnsi="Times New Roman" w:cs="Times New Roman" w:eastAsiaTheme="minorEastAsia"/>
          <w:b/>
          <w:bCs/>
          <w:color w:val="000000" w:themeColor="text1"/>
          <w:w w:val="99"/>
          <w:sz w:val="24"/>
          <w:szCs w:val="24"/>
          <w14:textFill>
            <w14:solidFill>
              <w14:schemeClr w14:val="tx1"/>
            </w14:solidFill>
          </w14:textFill>
        </w:rPr>
        <w:t>表</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2.5-8        污染影响型评价工作等级划分表</w:t>
      </w:r>
    </w:p>
    <w:tbl>
      <w:tblPr>
        <w:tblStyle w:val="80"/>
        <w:tblW w:w="908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80"/>
        <w:gridCol w:w="626"/>
        <w:gridCol w:w="797"/>
        <w:gridCol w:w="866"/>
        <w:gridCol w:w="854"/>
        <w:gridCol w:w="856"/>
        <w:gridCol w:w="705"/>
        <w:gridCol w:w="694"/>
        <w:gridCol w:w="870"/>
        <w:gridCol w:w="834"/>
      </w:tblGrid>
      <w:tr w14:paraId="4E22E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80" w:type="dxa"/>
            <w:vMerge w:val="restart"/>
            <w:tcBorders>
              <w:tl2br w:val="nil"/>
              <w:tr2bl w:val="nil"/>
            </w:tcBorders>
            <w:vAlign w:val="center"/>
          </w:tcPr>
          <w:p w14:paraId="0FF23FD1">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lang w:val="en-US" w:bidi="ar-SA"/>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23495</wp:posOffset>
                      </wp:positionH>
                      <wp:positionV relativeFrom="paragraph">
                        <wp:posOffset>-9525</wp:posOffset>
                      </wp:positionV>
                      <wp:extent cx="1228725" cy="495300"/>
                      <wp:effectExtent l="0" t="0" r="28575" b="19050"/>
                      <wp:wrapNone/>
                      <wp:docPr id="9" name="Line 12"/>
                      <wp:cNvGraphicFramePr/>
                      <a:graphic xmlns:a="http://schemas.openxmlformats.org/drawingml/2006/main">
                        <a:graphicData uri="http://schemas.microsoft.com/office/word/2010/wordprocessingShape">
                          <wps:wsp>
                            <wps:cNvCnPr>
                              <a:cxnSpLocks noChangeShapeType="1"/>
                            </wps:cNvCnPr>
                            <wps:spPr bwMode="auto">
                              <a:xfrm>
                                <a:off x="0" y="0"/>
                                <a:ext cx="1228725" cy="495300"/>
                              </a:xfrm>
                              <a:prstGeom prst="line">
                                <a:avLst/>
                              </a:prstGeom>
                              <a:noFill/>
                              <a:ln w="6350">
                                <a:solidFill>
                                  <a:schemeClr val="dk1">
                                    <a:lumMod val="100000"/>
                                    <a:lumOff val="0"/>
                                  </a:schemeClr>
                                </a:solidFill>
                                <a:miter lim="800000"/>
                              </a:ln>
                            </wps:spPr>
                            <wps:bodyPr/>
                          </wps:wsp>
                        </a:graphicData>
                      </a:graphic>
                    </wp:anchor>
                  </w:drawing>
                </mc:Choice>
                <mc:Fallback>
                  <w:pict>
                    <v:line id="Line 12" o:spid="_x0000_s1026" o:spt="20" style="position:absolute;left:0pt;margin-left:1.85pt;margin-top:-0.75pt;height:39pt;width:96.75pt;z-index:251659264;mso-width-relative:page;mso-height-relative:page;" filled="f" stroked="t" coordsize="21600,21600" o:gfxdata="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w+PQC&#10;1QAAAAcBAAAPAAAAAAAAAAEAIAAAACIAAABkcnMvZG93bnJldi54bWxQSwECFAAUAAAACACHTuJA&#10;XgfZ0+sBAADoAwAADgAAAAAAAAABACAAAAAkAQAAZHJzL2Uyb0RvYy54bWxQSwUGAAAAAAYABgBZ&#10;AQAAgQUAAAAA&#10;">
                      <v:fill on="f" focussize="0,0"/>
                      <v:stroke weight="0.5pt" color="#000000 [3216]" miterlimit="8" joinstyle="miter"/>
                      <v:imagedata o:title=""/>
                      <o:lock v:ext="edit" aspectratio="f"/>
                    </v:line>
                  </w:pict>
                </mc:Fallback>
              </mc:AlternateContent>
            </w:r>
            <w:r>
              <w:rPr>
                <w:rFonts w:ascii="Times New Roman" w:hAnsi="Times New Roman" w:cs="Times New Roman" w:eastAsiaTheme="minorEastAsia"/>
                <w:color w:val="000000" w:themeColor="text1"/>
                <w:w w:val="99"/>
                <w:kern w:val="2"/>
                <w:lang w:val="en-US" w:bidi="ar-SA"/>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1270</wp:posOffset>
                      </wp:positionV>
                      <wp:extent cx="590550" cy="676275"/>
                      <wp:effectExtent l="0" t="0" r="19050" b="28575"/>
                      <wp:wrapNone/>
                      <wp:docPr id="33" name="Line 11"/>
                      <wp:cNvGraphicFramePr/>
                      <a:graphic xmlns:a="http://schemas.openxmlformats.org/drawingml/2006/main">
                        <a:graphicData uri="http://schemas.microsoft.com/office/word/2010/wordprocessingShape">
                          <wps:wsp>
                            <wps:cNvCnPr>
                              <a:cxnSpLocks noChangeShapeType="1"/>
                            </wps:cNvCnPr>
                            <wps:spPr bwMode="auto">
                              <a:xfrm>
                                <a:off x="0" y="0"/>
                                <a:ext cx="590550" cy="676275"/>
                              </a:xfrm>
                              <a:prstGeom prst="line">
                                <a:avLst/>
                              </a:prstGeom>
                              <a:noFill/>
                              <a:ln w="6350">
                                <a:solidFill>
                                  <a:schemeClr val="tx1">
                                    <a:lumMod val="100000"/>
                                    <a:lumOff val="0"/>
                                  </a:schemeClr>
                                </a:solidFill>
                                <a:miter lim="800000"/>
                              </a:ln>
                            </wps:spPr>
                            <wps:bodyPr/>
                          </wps:wsp>
                        </a:graphicData>
                      </a:graphic>
                    </wp:anchor>
                  </w:drawing>
                </mc:Choice>
                <mc:Fallback>
                  <w:pict>
                    <v:line id="Line 11" o:spid="_x0000_s1026" o:spt="20" style="position:absolute;left:0pt;margin-left:0pt;margin-top:0.1pt;height:53.25pt;width:46.5pt;z-index:251660288;mso-width-relative:page;mso-height-relative:page;" filled="f" stroked="t" coordsize="21600,21600" o:gfxdata="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I+JdnNIAAAAE&#10;AQAADwAAAAAAAAABACAAAAAiAAAAZHJzL2Rvd25yZXYueG1sUEsBAhQAFAAAAAgAh07iQMi++Xrp&#10;AQAA6AMAAA4AAAAAAAAAAQAgAAAAIQEAAGRycy9lMm9Eb2MueG1sUEsFBgAAAAAGAAYAWQEAAHwF&#10;AAAAAA==&#10;">
                      <v:fill on="f" focussize="0,0"/>
                      <v:stroke weight="0.5pt" color="#000000 [3229]" miterlimit="8" joinstyle="miter"/>
                      <v:imagedata o:title=""/>
                      <o:lock v:ext="edit" aspectratio="f"/>
                    </v:line>
                  </w:pict>
                </mc:Fallback>
              </mc:AlternateConten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            占地规模</w:t>
            </w:r>
          </w:p>
          <w:p w14:paraId="5B86E7E0">
            <w:pPr>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敏感          评价</w:t>
            </w:r>
          </w:p>
          <w:p w14:paraId="617A69FE">
            <w:pPr>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程度          等级</w:t>
            </w:r>
          </w:p>
        </w:tc>
        <w:tc>
          <w:tcPr>
            <w:tcW w:w="2289" w:type="dxa"/>
            <w:gridSpan w:val="3"/>
            <w:tcBorders>
              <w:tl2br w:val="nil"/>
              <w:tr2bl w:val="nil"/>
            </w:tcBorders>
            <w:vAlign w:val="center"/>
          </w:tcPr>
          <w:p w14:paraId="30412B83">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I类</w:t>
            </w:r>
          </w:p>
        </w:tc>
        <w:tc>
          <w:tcPr>
            <w:tcW w:w="2415" w:type="dxa"/>
            <w:gridSpan w:val="3"/>
            <w:tcBorders>
              <w:tl2br w:val="nil"/>
              <w:tr2bl w:val="nil"/>
            </w:tcBorders>
            <w:vAlign w:val="center"/>
          </w:tcPr>
          <w:p w14:paraId="4F2F0C31">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II类</w:t>
            </w:r>
          </w:p>
        </w:tc>
        <w:tc>
          <w:tcPr>
            <w:tcW w:w="2398" w:type="dxa"/>
            <w:gridSpan w:val="3"/>
            <w:tcBorders>
              <w:tl2br w:val="nil"/>
              <w:tr2bl w:val="nil"/>
            </w:tcBorders>
            <w:vAlign w:val="center"/>
          </w:tcPr>
          <w:p w14:paraId="5AF39834">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III类</w:t>
            </w:r>
          </w:p>
        </w:tc>
      </w:tr>
      <w:tr w14:paraId="23616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80" w:type="dxa"/>
            <w:vMerge w:val="continue"/>
            <w:tcBorders>
              <w:bottom w:val="single" w:color="000000" w:sz="4" w:space="0"/>
              <w:tl2br w:val="nil"/>
              <w:tr2bl w:val="nil"/>
            </w:tcBorders>
            <w:vAlign w:val="center"/>
          </w:tcPr>
          <w:p w14:paraId="2CC52939">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26" w:type="dxa"/>
            <w:tcBorders>
              <w:tl2br w:val="nil"/>
              <w:tr2bl w:val="nil"/>
            </w:tcBorders>
            <w:vAlign w:val="center"/>
          </w:tcPr>
          <w:p w14:paraId="22CB4C65">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大</w:t>
            </w:r>
          </w:p>
        </w:tc>
        <w:tc>
          <w:tcPr>
            <w:tcW w:w="797" w:type="dxa"/>
            <w:tcBorders>
              <w:tl2br w:val="nil"/>
              <w:tr2bl w:val="nil"/>
            </w:tcBorders>
            <w:vAlign w:val="center"/>
          </w:tcPr>
          <w:p w14:paraId="6C3E8C9D">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中</w:t>
            </w:r>
          </w:p>
        </w:tc>
        <w:tc>
          <w:tcPr>
            <w:tcW w:w="866" w:type="dxa"/>
            <w:tcBorders>
              <w:tl2br w:val="nil"/>
              <w:tr2bl w:val="nil"/>
            </w:tcBorders>
            <w:vAlign w:val="center"/>
          </w:tcPr>
          <w:p w14:paraId="36A55FA4">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小</w:t>
            </w:r>
          </w:p>
        </w:tc>
        <w:tc>
          <w:tcPr>
            <w:tcW w:w="854" w:type="dxa"/>
            <w:tcBorders>
              <w:tl2br w:val="nil"/>
              <w:tr2bl w:val="nil"/>
            </w:tcBorders>
            <w:vAlign w:val="center"/>
          </w:tcPr>
          <w:p w14:paraId="0152F31E">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大</w:t>
            </w:r>
          </w:p>
        </w:tc>
        <w:tc>
          <w:tcPr>
            <w:tcW w:w="856" w:type="dxa"/>
            <w:tcBorders>
              <w:tl2br w:val="nil"/>
              <w:tr2bl w:val="nil"/>
            </w:tcBorders>
            <w:vAlign w:val="center"/>
          </w:tcPr>
          <w:p w14:paraId="664585E3">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中</w:t>
            </w:r>
          </w:p>
        </w:tc>
        <w:tc>
          <w:tcPr>
            <w:tcW w:w="705" w:type="dxa"/>
            <w:tcBorders>
              <w:tl2br w:val="nil"/>
              <w:tr2bl w:val="nil"/>
            </w:tcBorders>
            <w:vAlign w:val="center"/>
          </w:tcPr>
          <w:p w14:paraId="142E33F4">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小</w:t>
            </w:r>
          </w:p>
        </w:tc>
        <w:tc>
          <w:tcPr>
            <w:tcW w:w="694" w:type="dxa"/>
            <w:tcBorders>
              <w:tl2br w:val="nil"/>
              <w:tr2bl w:val="nil"/>
            </w:tcBorders>
            <w:vAlign w:val="center"/>
          </w:tcPr>
          <w:p w14:paraId="4B8BD874">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大</w:t>
            </w:r>
          </w:p>
        </w:tc>
        <w:tc>
          <w:tcPr>
            <w:tcW w:w="870" w:type="dxa"/>
            <w:tcBorders>
              <w:tl2br w:val="nil"/>
              <w:tr2bl w:val="nil"/>
            </w:tcBorders>
            <w:vAlign w:val="center"/>
          </w:tcPr>
          <w:p w14:paraId="4EFBB88D">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中</w:t>
            </w:r>
          </w:p>
        </w:tc>
        <w:tc>
          <w:tcPr>
            <w:tcW w:w="834" w:type="dxa"/>
            <w:tcBorders>
              <w:tl2br w:val="nil"/>
              <w:tr2bl w:val="nil"/>
            </w:tcBorders>
            <w:vAlign w:val="center"/>
          </w:tcPr>
          <w:p w14:paraId="29E3CDF8">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小</w:t>
            </w:r>
          </w:p>
        </w:tc>
      </w:tr>
      <w:tr w14:paraId="4E254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80" w:type="dxa"/>
            <w:tcBorders>
              <w:tl2br w:val="nil"/>
              <w:tr2bl w:val="nil"/>
            </w:tcBorders>
            <w:vAlign w:val="center"/>
          </w:tcPr>
          <w:p w14:paraId="6AC3F3DE">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敏感</w:t>
            </w:r>
          </w:p>
        </w:tc>
        <w:tc>
          <w:tcPr>
            <w:tcW w:w="626" w:type="dxa"/>
            <w:tcBorders>
              <w:tl2br w:val="nil"/>
              <w:tr2bl w:val="nil"/>
            </w:tcBorders>
            <w:vAlign w:val="center"/>
          </w:tcPr>
          <w:p w14:paraId="7A6F8D1F">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一级</w:t>
            </w:r>
          </w:p>
        </w:tc>
        <w:tc>
          <w:tcPr>
            <w:tcW w:w="797" w:type="dxa"/>
            <w:tcBorders>
              <w:tl2br w:val="nil"/>
              <w:tr2bl w:val="nil"/>
            </w:tcBorders>
            <w:vAlign w:val="center"/>
          </w:tcPr>
          <w:p w14:paraId="2485D9AC">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一级</w:t>
            </w:r>
          </w:p>
        </w:tc>
        <w:tc>
          <w:tcPr>
            <w:tcW w:w="866" w:type="dxa"/>
            <w:tcBorders>
              <w:tl2br w:val="nil"/>
              <w:tr2bl w:val="nil"/>
            </w:tcBorders>
            <w:vAlign w:val="center"/>
          </w:tcPr>
          <w:p w14:paraId="3DFC5541">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shd w:val="pct15" w:color="auto" w:fill="FFFFFF"/>
                <w:lang w:val="en-US" w:bidi="ar-SA"/>
                <w14:textFill>
                  <w14:solidFill>
                    <w14:schemeClr w14:val="tx1"/>
                  </w14:solidFill>
                </w14:textFill>
              </w:rPr>
              <w:t>一级</w:t>
            </w:r>
          </w:p>
        </w:tc>
        <w:tc>
          <w:tcPr>
            <w:tcW w:w="854" w:type="dxa"/>
            <w:tcBorders>
              <w:tl2br w:val="nil"/>
              <w:tr2bl w:val="nil"/>
            </w:tcBorders>
            <w:vAlign w:val="center"/>
          </w:tcPr>
          <w:p w14:paraId="145F7A2E">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二级</w:t>
            </w:r>
          </w:p>
        </w:tc>
        <w:tc>
          <w:tcPr>
            <w:tcW w:w="856" w:type="dxa"/>
            <w:tcBorders>
              <w:tl2br w:val="nil"/>
              <w:tr2bl w:val="nil"/>
            </w:tcBorders>
            <w:vAlign w:val="center"/>
          </w:tcPr>
          <w:p w14:paraId="2DDEE8D7">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二级</w:t>
            </w:r>
          </w:p>
        </w:tc>
        <w:tc>
          <w:tcPr>
            <w:tcW w:w="705" w:type="dxa"/>
            <w:tcBorders>
              <w:tl2br w:val="nil"/>
              <w:tr2bl w:val="nil"/>
            </w:tcBorders>
            <w:vAlign w:val="center"/>
          </w:tcPr>
          <w:p w14:paraId="5B974770">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二级</w:t>
            </w:r>
          </w:p>
        </w:tc>
        <w:tc>
          <w:tcPr>
            <w:tcW w:w="694" w:type="dxa"/>
            <w:tcBorders>
              <w:tl2br w:val="nil"/>
              <w:tr2bl w:val="nil"/>
            </w:tcBorders>
            <w:vAlign w:val="center"/>
          </w:tcPr>
          <w:p w14:paraId="559C6A87">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三级</w:t>
            </w:r>
          </w:p>
        </w:tc>
        <w:tc>
          <w:tcPr>
            <w:tcW w:w="870" w:type="dxa"/>
            <w:tcBorders>
              <w:tl2br w:val="nil"/>
              <w:tr2bl w:val="nil"/>
            </w:tcBorders>
            <w:vAlign w:val="center"/>
          </w:tcPr>
          <w:p w14:paraId="6CAFAAE3">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三级</w:t>
            </w:r>
          </w:p>
        </w:tc>
        <w:tc>
          <w:tcPr>
            <w:tcW w:w="834" w:type="dxa"/>
            <w:tcBorders>
              <w:tl2br w:val="nil"/>
              <w:tr2bl w:val="nil"/>
            </w:tcBorders>
            <w:vAlign w:val="center"/>
          </w:tcPr>
          <w:p w14:paraId="2A3BAB3F">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三级</w:t>
            </w:r>
          </w:p>
        </w:tc>
      </w:tr>
      <w:tr w14:paraId="70115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80" w:type="dxa"/>
            <w:tcBorders>
              <w:tl2br w:val="nil"/>
              <w:tr2bl w:val="nil"/>
            </w:tcBorders>
            <w:vAlign w:val="center"/>
          </w:tcPr>
          <w:p w14:paraId="085C4407">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较敏感</w:t>
            </w:r>
          </w:p>
        </w:tc>
        <w:tc>
          <w:tcPr>
            <w:tcW w:w="626" w:type="dxa"/>
            <w:tcBorders>
              <w:tl2br w:val="nil"/>
              <w:tr2bl w:val="nil"/>
            </w:tcBorders>
            <w:vAlign w:val="center"/>
          </w:tcPr>
          <w:p w14:paraId="56AA749E">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一级</w:t>
            </w:r>
          </w:p>
        </w:tc>
        <w:tc>
          <w:tcPr>
            <w:tcW w:w="797" w:type="dxa"/>
            <w:tcBorders>
              <w:tl2br w:val="nil"/>
              <w:tr2bl w:val="nil"/>
            </w:tcBorders>
            <w:vAlign w:val="center"/>
          </w:tcPr>
          <w:p w14:paraId="6448B474">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一级</w:t>
            </w:r>
          </w:p>
        </w:tc>
        <w:tc>
          <w:tcPr>
            <w:tcW w:w="866" w:type="dxa"/>
            <w:tcBorders>
              <w:tl2br w:val="nil"/>
              <w:tr2bl w:val="nil"/>
            </w:tcBorders>
            <w:vAlign w:val="center"/>
          </w:tcPr>
          <w:p w14:paraId="543FA4ED">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二级</w:t>
            </w:r>
          </w:p>
        </w:tc>
        <w:tc>
          <w:tcPr>
            <w:tcW w:w="854" w:type="dxa"/>
            <w:tcBorders>
              <w:tl2br w:val="nil"/>
              <w:tr2bl w:val="nil"/>
            </w:tcBorders>
            <w:vAlign w:val="center"/>
          </w:tcPr>
          <w:p w14:paraId="28A6E952">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二级</w:t>
            </w:r>
          </w:p>
        </w:tc>
        <w:tc>
          <w:tcPr>
            <w:tcW w:w="856" w:type="dxa"/>
            <w:tcBorders>
              <w:tl2br w:val="nil"/>
              <w:tr2bl w:val="nil"/>
            </w:tcBorders>
            <w:vAlign w:val="center"/>
          </w:tcPr>
          <w:p w14:paraId="2651C4BC">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二级</w:t>
            </w:r>
          </w:p>
        </w:tc>
        <w:tc>
          <w:tcPr>
            <w:tcW w:w="705" w:type="dxa"/>
            <w:tcBorders>
              <w:tl2br w:val="nil"/>
              <w:tr2bl w:val="nil"/>
            </w:tcBorders>
            <w:vAlign w:val="center"/>
          </w:tcPr>
          <w:p w14:paraId="29F520E3">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三级</w:t>
            </w:r>
          </w:p>
        </w:tc>
        <w:tc>
          <w:tcPr>
            <w:tcW w:w="694" w:type="dxa"/>
            <w:tcBorders>
              <w:tl2br w:val="nil"/>
              <w:tr2bl w:val="nil"/>
            </w:tcBorders>
            <w:vAlign w:val="center"/>
          </w:tcPr>
          <w:p w14:paraId="3BFB6DF8">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三级</w:t>
            </w:r>
          </w:p>
        </w:tc>
        <w:tc>
          <w:tcPr>
            <w:tcW w:w="870" w:type="dxa"/>
            <w:tcBorders>
              <w:tl2br w:val="nil"/>
              <w:tr2bl w:val="nil"/>
            </w:tcBorders>
            <w:vAlign w:val="center"/>
          </w:tcPr>
          <w:p w14:paraId="37B6A434">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三级</w:t>
            </w:r>
          </w:p>
        </w:tc>
        <w:tc>
          <w:tcPr>
            <w:tcW w:w="834" w:type="dxa"/>
            <w:tcBorders>
              <w:tl2br w:val="nil"/>
              <w:tr2bl w:val="nil"/>
            </w:tcBorders>
            <w:vAlign w:val="center"/>
          </w:tcPr>
          <w:p w14:paraId="74C621F3">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r>
      <w:tr w14:paraId="22B75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80" w:type="dxa"/>
            <w:tcBorders>
              <w:tl2br w:val="nil"/>
              <w:tr2bl w:val="nil"/>
            </w:tcBorders>
            <w:vAlign w:val="center"/>
          </w:tcPr>
          <w:p w14:paraId="64406816">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不敏感</w:t>
            </w:r>
          </w:p>
        </w:tc>
        <w:tc>
          <w:tcPr>
            <w:tcW w:w="626" w:type="dxa"/>
            <w:tcBorders>
              <w:tl2br w:val="nil"/>
              <w:tr2bl w:val="nil"/>
            </w:tcBorders>
            <w:vAlign w:val="center"/>
          </w:tcPr>
          <w:p w14:paraId="15E5F16E">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一级</w:t>
            </w:r>
          </w:p>
        </w:tc>
        <w:tc>
          <w:tcPr>
            <w:tcW w:w="797" w:type="dxa"/>
            <w:tcBorders>
              <w:tl2br w:val="nil"/>
              <w:tr2bl w:val="nil"/>
            </w:tcBorders>
            <w:vAlign w:val="center"/>
          </w:tcPr>
          <w:p w14:paraId="316BCFD8">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二级</w:t>
            </w:r>
          </w:p>
        </w:tc>
        <w:tc>
          <w:tcPr>
            <w:tcW w:w="866" w:type="dxa"/>
            <w:tcBorders>
              <w:tl2br w:val="nil"/>
              <w:tr2bl w:val="nil"/>
            </w:tcBorders>
            <w:vAlign w:val="center"/>
          </w:tcPr>
          <w:p w14:paraId="101164DE">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二级</w:t>
            </w:r>
          </w:p>
        </w:tc>
        <w:tc>
          <w:tcPr>
            <w:tcW w:w="854" w:type="dxa"/>
            <w:tcBorders>
              <w:tl2br w:val="nil"/>
              <w:tr2bl w:val="nil"/>
            </w:tcBorders>
            <w:vAlign w:val="center"/>
          </w:tcPr>
          <w:p w14:paraId="0657527F">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二级</w:t>
            </w:r>
          </w:p>
        </w:tc>
        <w:tc>
          <w:tcPr>
            <w:tcW w:w="856" w:type="dxa"/>
            <w:tcBorders>
              <w:tl2br w:val="nil"/>
              <w:tr2bl w:val="nil"/>
            </w:tcBorders>
            <w:vAlign w:val="center"/>
          </w:tcPr>
          <w:p w14:paraId="5F048E4D">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三级</w:t>
            </w:r>
          </w:p>
        </w:tc>
        <w:tc>
          <w:tcPr>
            <w:tcW w:w="705" w:type="dxa"/>
            <w:tcBorders>
              <w:tl2br w:val="nil"/>
              <w:tr2bl w:val="nil"/>
            </w:tcBorders>
            <w:vAlign w:val="center"/>
          </w:tcPr>
          <w:p w14:paraId="4CD41AB4">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三级</w:t>
            </w:r>
          </w:p>
        </w:tc>
        <w:tc>
          <w:tcPr>
            <w:tcW w:w="694" w:type="dxa"/>
            <w:tcBorders>
              <w:tl2br w:val="nil"/>
              <w:tr2bl w:val="nil"/>
            </w:tcBorders>
            <w:vAlign w:val="center"/>
          </w:tcPr>
          <w:p w14:paraId="00115977">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三级</w:t>
            </w:r>
          </w:p>
        </w:tc>
        <w:tc>
          <w:tcPr>
            <w:tcW w:w="870" w:type="dxa"/>
            <w:tcBorders>
              <w:tl2br w:val="nil"/>
              <w:tr2bl w:val="nil"/>
            </w:tcBorders>
            <w:vAlign w:val="center"/>
          </w:tcPr>
          <w:p w14:paraId="34A1D730">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834" w:type="dxa"/>
            <w:tcBorders>
              <w:tl2br w:val="nil"/>
              <w:tr2bl w:val="nil"/>
            </w:tcBorders>
            <w:vAlign w:val="center"/>
          </w:tcPr>
          <w:p w14:paraId="3FC925AE">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r>
      <w:tr w14:paraId="67343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082" w:type="dxa"/>
            <w:gridSpan w:val="10"/>
            <w:tcBorders>
              <w:tl2br w:val="nil"/>
              <w:tr2bl w:val="nil"/>
            </w:tcBorders>
            <w:vAlign w:val="center"/>
          </w:tcPr>
          <w:p w14:paraId="6DD6DEF4">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注：“-”表示可不开展土壤环境影响评价工作。</w:t>
            </w:r>
          </w:p>
        </w:tc>
      </w:tr>
    </w:tbl>
    <w:p w14:paraId="598D69C3">
      <w:pPr>
        <w:pStyle w:val="107"/>
        <w:tabs>
          <w:tab w:val="left" w:pos="1571"/>
        </w:tabs>
        <w:spacing w:line="440" w:lineRule="exact"/>
        <w:ind w:left="0" w:firstLine="474" w:firstLineChars="200"/>
        <w:jc w:val="both"/>
        <w:rPr>
          <w:rFonts w:ascii="Times New Roman" w:hAnsi="Times New Roman" w:cs="Times New Roman" w:eastAsiaTheme="minorEastAsia"/>
          <w:color w:val="000000" w:themeColor="text1"/>
          <w:w w:val="99"/>
          <w:sz w:val="28"/>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综上分析，根据《环境影响评价技术导则 土壤环境（试行）》（HJ964-2018）中相关规定，本项目为污染影响型的一级评价。</w:t>
      </w:r>
    </w:p>
    <w:p w14:paraId="211F4E62">
      <w:pPr>
        <w:pStyle w:val="5"/>
        <w:keepNext/>
        <w:keepLines/>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72" w:name="_Toc117794535"/>
      <w:r>
        <w:rPr>
          <w:rFonts w:ascii="Times New Roman" w:hAnsi="Times New Roman" w:cs="Times New Roman" w:eastAsiaTheme="minorEastAsia"/>
          <w:color w:val="000000" w:themeColor="text1"/>
          <w:w w:val="99"/>
          <w:kern w:val="2"/>
          <w:lang w:val="en-US" w:bidi="ar-SA"/>
          <w14:textFill>
            <w14:solidFill>
              <w14:schemeClr w14:val="tx1"/>
            </w14:solidFill>
          </w14:textFill>
        </w:rPr>
        <w:t>2.5.6 生态环境</w:t>
      </w:r>
      <w:bookmarkEnd w:id="72"/>
    </w:p>
    <w:p w14:paraId="56DBD360">
      <w:pPr>
        <w:pStyle w:val="107"/>
        <w:tabs>
          <w:tab w:val="left" w:pos="1571"/>
        </w:tabs>
        <w:spacing w:line="440" w:lineRule="exact"/>
        <w:ind w:left="0" w:firstLine="474" w:firstLineChars="200"/>
        <w:jc w:val="both"/>
        <w:rPr>
          <w:rFonts w:ascii="Times New Roman" w:hAnsi="Times New Roman" w:cs="Times New Roman" w:eastAsiaTheme="minorEastAsia"/>
          <w:snapToGrid w:val="0"/>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本项目不新增永久占地</w:t>
      </w:r>
      <w:r>
        <w:rPr>
          <w:rFonts w:ascii="Times New Roman" w:hAnsi="Times New Roman" w:cs="Times New Roman" w:eastAsiaTheme="minorEastAsia"/>
          <w:color w:val="000000" w:themeColor="text1"/>
          <w:w w:val="99"/>
          <w:sz w:val="24"/>
          <w:szCs w:val="24"/>
          <w:lang w:val="en-US"/>
          <w14:textFill>
            <w14:solidFill>
              <w14:schemeClr w14:val="tx1"/>
            </w14:solidFill>
          </w14:textFill>
        </w:rPr>
        <w:t>，</w:t>
      </w:r>
      <w:r>
        <w:rPr>
          <w:rFonts w:ascii="Times New Roman" w:hAnsi="Times New Roman" w:cs="Times New Roman" w:eastAsiaTheme="minorEastAsia"/>
          <w:color w:val="000000" w:themeColor="text1"/>
          <w:w w:val="99"/>
          <w:sz w:val="24"/>
          <w:szCs w:val="24"/>
          <w14:textFill>
            <w14:solidFill>
              <w14:schemeClr w14:val="tx1"/>
            </w14:solidFill>
          </w14:textFill>
        </w:rPr>
        <w:t>临时占地面积</w:t>
      </w:r>
      <w:r>
        <w:rPr>
          <w:rFonts w:hint="eastAsia" w:ascii="Times New Roman" w:hAnsi="Times New Roman" w:cs="Times New Roman" w:eastAsiaTheme="minorEastAsia"/>
          <w:color w:val="000000" w:themeColor="text1"/>
          <w:w w:val="99"/>
          <w:sz w:val="24"/>
          <w:szCs w:val="24"/>
          <w:lang w:val="en-US" w:eastAsia="zh-CN"/>
          <w14:textFill>
            <w14:solidFill>
              <w14:schemeClr w14:val="tx1"/>
            </w14:solidFill>
          </w14:textFill>
        </w:rPr>
        <w:t>4.5hm2</w:t>
      </w: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0.2337km</w:t>
      </w:r>
      <w:r>
        <w:rPr>
          <w:rFonts w:ascii="Times New Roman" w:hAnsi="Times New Roman" w:cs="Times New Roman" w:eastAsiaTheme="minorEastAsia"/>
          <w:color w:val="000000" w:themeColor="text1"/>
          <w:w w:val="99"/>
          <w:sz w:val="24"/>
          <w:szCs w:val="24"/>
          <w:vertAlign w:val="superscript"/>
          <w:lang w:val="en-US"/>
          <w14:textFill>
            <w14:solidFill>
              <w14:schemeClr w14:val="tx1"/>
            </w14:solidFill>
          </w14:textFill>
        </w:rPr>
        <w:t>2</w:t>
      </w:r>
      <w:r>
        <w:rPr>
          <w:rFonts w:ascii="Times New Roman" w:hAnsi="Times New Roman" w:cs="Times New Roman" w:eastAsiaTheme="minorEastAsia"/>
          <w:color w:val="000000" w:themeColor="text1"/>
          <w:w w:val="99"/>
          <w:sz w:val="24"/>
          <w:szCs w:val="24"/>
          <w14:textFill>
            <w14:solidFill>
              <w14:schemeClr w14:val="tx1"/>
            </w14:solidFill>
          </w14:textFill>
        </w:rPr>
        <w:t>）。项目占地面积小于</w:t>
      </w:r>
      <w:r>
        <w:rPr>
          <w:rFonts w:ascii="Times New Roman" w:hAnsi="Times New Roman" w:cs="Times New Roman" w:eastAsiaTheme="minorEastAsia"/>
          <w:color w:val="000000" w:themeColor="text1"/>
          <w:w w:val="99"/>
          <w:sz w:val="24"/>
          <w:szCs w:val="24"/>
          <w:lang w:val="en-US"/>
          <w14:textFill>
            <w14:solidFill>
              <w14:schemeClr w14:val="tx1"/>
            </w14:solidFill>
          </w14:textFill>
        </w:rPr>
        <w:t>20</w:t>
      </w:r>
      <w:r>
        <w:rPr>
          <w:rFonts w:ascii="Times New Roman" w:hAnsi="Times New Roman" w:cs="Times New Roman" w:eastAsiaTheme="minorEastAsia"/>
          <w:color w:val="000000" w:themeColor="text1"/>
          <w:w w:val="99"/>
          <w:sz w:val="24"/>
          <w:szCs w:val="24"/>
          <w14:textFill>
            <w14:solidFill>
              <w14:schemeClr w14:val="tx1"/>
            </w14:solidFill>
          </w14:textFill>
        </w:rPr>
        <w:t>km</w:t>
      </w:r>
      <w:r>
        <w:rPr>
          <w:rFonts w:ascii="Times New Roman" w:hAnsi="Times New Roman" w:cs="Times New Roman" w:eastAsiaTheme="minorEastAsia"/>
          <w:color w:val="000000" w:themeColor="text1"/>
          <w:w w:val="99"/>
          <w:sz w:val="24"/>
          <w:szCs w:val="24"/>
          <w:vertAlign w:val="superscript"/>
          <w14:textFill>
            <w14:solidFill>
              <w14:schemeClr w14:val="tx1"/>
            </w14:solidFill>
          </w14:textFill>
        </w:rPr>
        <w:t>2</w:t>
      </w:r>
      <w:r>
        <w:rPr>
          <w:rFonts w:ascii="Times New Roman" w:hAnsi="Times New Roman" w:cs="Times New Roman" w:eastAsiaTheme="minorEastAsia"/>
          <w:color w:val="000000" w:themeColor="text1"/>
          <w:w w:val="99"/>
          <w:sz w:val="24"/>
          <w:szCs w:val="24"/>
          <w14:textFill>
            <w14:solidFill>
              <w14:schemeClr w14:val="tx1"/>
            </w14:solidFill>
          </w14:textFill>
        </w:rPr>
        <w:t>，区域内主要为耕地（非基本农田）、一般草地（非基本草原），属于一般区域。</w:t>
      </w:r>
      <w:r>
        <w:rPr>
          <w:rFonts w:ascii="Times New Roman" w:hAnsi="Times New Roman" w:cs="Times New Roman" w:eastAsiaTheme="minorEastAsia"/>
          <w:snapToGrid w:val="0"/>
          <w:color w:val="000000" w:themeColor="text1"/>
          <w:w w:val="99"/>
          <w:sz w:val="24"/>
          <w:szCs w:val="24"/>
          <w14:textFill>
            <w14:solidFill>
              <w14:schemeClr w14:val="tx1"/>
            </w14:solidFill>
          </w14:textFill>
        </w:rPr>
        <w:t>占地范围内没有自然保护区、世界文化和自然遗产地、风景名胜区、森林公园、地质公园、重要湿地、珍稀濒危野生动植物天然集中分布区等，项目不在生态保护红线内；本项目建设不影响地下水水位，项目土壤影响范围内无天然林、公益林、湿地等生态保护目标</w:t>
      </w:r>
      <w:r>
        <w:rPr>
          <w:rFonts w:ascii="Times New Roman" w:hAnsi="Times New Roman" w:cs="Times New Roman" w:eastAsiaTheme="minorEastAsia"/>
          <w:color w:val="000000" w:themeColor="text1"/>
          <w:w w:val="99"/>
          <w:kern w:val="2"/>
          <w:sz w:val="24"/>
          <w:szCs w:val="24"/>
          <w14:textFill>
            <w14:solidFill>
              <w14:schemeClr w14:val="tx1"/>
            </w14:solidFill>
          </w14:textFill>
        </w:rPr>
        <w:t>，因此</w:t>
      </w:r>
      <w:r>
        <w:rPr>
          <w:rFonts w:ascii="Times New Roman" w:hAnsi="Times New Roman" w:cs="Times New Roman" w:eastAsiaTheme="minorEastAsia"/>
          <w:snapToGrid w:val="0"/>
          <w:color w:val="000000" w:themeColor="text1"/>
          <w:w w:val="99"/>
          <w:sz w:val="24"/>
          <w:szCs w:val="24"/>
          <w14:textFill>
            <w14:solidFill>
              <w14:schemeClr w14:val="tx1"/>
            </w14:solidFill>
          </w14:textFill>
        </w:rPr>
        <w:t>根据《环境影响评价技术导则 生态影响》（HJ19-2022）规定，本项目生态环境评价等级为三级。</w:t>
      </w:r>
      <w:r>
        <w:rPr>
          <w:rFonts w:ascii="Times New Roman" w:hAnsi="Times New Roman" w:cs="Times New Roman" w:eastAsiaTheme="minorEastAsia"/>
          <w:snapToGrid w:val="0"/>
          <w:color w:val="000000" w:themeColor="text1"/>
          <w:w w:val="99"/>
          <w:sz w:val="24"/>
          <w:szCs w:val="24"/>
          <w:lang w:val="en-US"/>
          <w14:textFill>
            <w14:solidFill>
              <w14:schemeClr w14:val="tx1"/>
            </w14:solidFill>
          </w14:textFill>
        </w:rPr>
        <w:t>本工程生态环境影响评价工作等级判定见表2.5-9。</w:t>
      </w:r>
    </w:p>
    <w:p w14:paraId="035C164E">
      <w:pPr>
        <w:widowControl/>
        <w:autoSpaceDE/>
        <w:autoSpaceDN/>
        <w:spacing w:line="500" w:lineRule="exact"/>
        <w:ind w:firstLine="476" w:firstLineChars="200"/>
        <w:rPr>
          <w:rFonts w:ascii="Times New Roman" w:hAnsi="Times New Roman" w:cs="Times New Roman"/>
          <w:b/>
          <w:snapToGrid w:val="0"/>
          <w:color w:val="000000" w:themeColor="text1"/>
          <w:w w:val="99"/>
          <w:sz w:val="24"/>
          <w:szCs w:val="24"/>
          <w:lang w:val="en-US"/>
          <w14:textFill>
            <w14:solidFill>
              <w14:schemeClr w14:val="tx1"/>
            </w14:solidFill>
          </w14:textFill>
        </w:rPr>
      </w:pPr>
      <w:r>
        <w:rPr>
          <w:rFonts w:ascii="Times New Roman" w:hAnsi="Times New Roman" w:cs="Times New Roman"/>
          <w:b/>
          <w:snapToGrid w:val="0"/>
          <w:color w:val="000000" w:themeColor="text1"/>
          <w:w w:val="99"/>
          <w:sz w:val="24"/>
          <w:szCs w:val="24"/>
          <w:lang w:val="en-US"/>
          <w14:textFill>
            <w14:solidFill>
              <w14:schemeClr w14:val="tx1"/>
            </w14:solidFill>
          </w14:textFill>
        </w:rPr>
        <w:t>表2.5-9    生态影响评价工作等级划分表</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69"/>
        <w:gridCol w:w="4757"/>
        <w:gridCol w:w="3637"/>
      </w:tblGrid>
      <w:tr w14:paraId="36774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9" w:type="pct"/>
            <w:tcMar>
              <w:left w:w="85" w:type="dxa"/>
            </w:tcMar>
            <w:vAlign w:val="center"/>
          </w:tcPr>
          <w:p w14:paraId="7ED06328">
            <w:pPr>
              <w:widowControl/>
              <w:autoSpaceDE/>
              <w:autoSpaceDN/>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评价等级</w:t>
            </w:r>
          </w:p>
        </w:tc>
        <w:tc>
          <w:tcPr>
            <w:tcW w:w="2568" w:type="pct"/>
            <w:tcMar>
              <w:left w:w="85" w:type="dxa"/>
            </w:tcMar>
            <w:vAlign w:val="center"/>
          </w:tcPr>
          <w:p w14:paraId="1B78F7E9">
            <w:pPr>
              <w:widowControl/>
              <w:autoSpaceDE/>
              <w:autoSpaceDN/>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判定内容</w:t>
            </w:r>
          </w:p>
        </w:tc>
        <w:tc>
          <w:tcPr>
            <w:tcW w:w="1963" w:type="pct"/>
            <w:tcMar>
              <w:left w:w="85" w:type="dxa"/>
            </w:tcMar>
            <w:vAlign w:val="center"/>
          </w:tcPr>
          <w:p w14:paraId="0ACB5B39">
            <w:pPr>
              <w:widowControl/>
              <w:autoSpaceDE/>
              <w:autoSpaceDN/>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本项目</w:t>
            </w:r>
          </w:p>
        </w:tc>
      </w:tr>
      <w:tr w14:paraId="0E518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9" w:type="pct"/>
            <w:tcMar>
              <w:left w:w="85" w:type="dxa"/>
            </w:tcMar>
            <w:vAlign w:val="center"/>
          </w:tcPr>
          <w:p w14:paraId="191DFE28">
            <w:pPr>
              <w:widowControl/>
              <w:autoSpaceDE/>
              <w:autoSpaceDN/>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一级</w:t>
            </w:r>
          </w:p>
        </w:tc>
        <w:tc>
          <w:tcPr>
            <w:tcW w:w="2568" w:type="pct"/>
            <w:tcMar>
              <w:left w:w="85" w:type="dxa"/>
            </w:tcMar>
            <w:vAlign w:val="center"/>
          </w:tcPr>
          <w:p w14:paraId="2EABF6E2">
            <w:pPr>
              <w:widowControl/>
              <w:autoSpaceDE/>
              <w:autoSpaceDN/>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涉及国家公园、自然保护区、世界自然遗产、重要生境时</w:t>
            </w:r>
          </w:p>
        </w:tc>
        <w:tc>
          <w:tcPr>
            <w:tcW w:w="1963" w:type="pct"/>
            <w:tcMar>
              <w:left w:w="85" w:type="dxa"/>
            </w:tcMar>
            <w:vAlign w:val="center"/>
          </w:tcPr>
          <w:p w14:paraId="162B1857">
            <w:pPr>
              <w:widowControl/>
              <w:autoSpaceDE/>
              <w:autoSpaceDN/>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不涉及</w:t>
            </w:r>
          </w:p>
        </w:tc>
      </w:tr>
      <w:tr w14:paraId="2EF29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9" w:type="pct"/>
            <w:tcMar>
              <w:left w:w="85" w:type="dxa"/>
            </w:tcMar>
            <w:vAlign w:val="center"/>
          </w:tcPr>
          <w:p w14:paraId="6977F098">
            <w:pPr>
              <w:widowControl/>
              <w:autoSpaceDE/>
              <w:autoSpaceDN/>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二级</w:t>
            </w:r>
          </w:p>
        </w:tc>
        <w:tc>
          <w:tcPr>
            <w:tcW w:w="2568" w:type="pct"/>
            <w:tcMar>
              <w:left w:w="85" w:type="dxa"/>
            </w:tcMar>
            <w:vAlign w:val="center"/>
          </w:tcPr>
          <w:p w14:paraId="3955F7CC">
            <w:pPr>
              <w:widowControl/>
              <w:autoSpaceDE/>
              <w:autoSpaceDN/>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涉及自然公园</w:t>
            </w:r>
          </w:p>
        </w:tc>
        <w:tc>
          <w:tcPr>
            <w:tcW w:w="1963" w:type="pct"/>
            <w:tcMar>
              <w:left w:w="85" w:type="dxa"/>
            </w:tcMar>
            <w:vAlign w:val="center"/>
          </w:tcPr>
          <w:p w14:paraId="32101B43">
            <w:pPr>
              <w:widowControl/>
              <w:autoSpaceDE/>
              <w:autoSpaceDN/>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不涉及</w:t>
            </w:r>
          </w:p>
        </w:tc>
      </w:tr>
      <w:tr w14:paraId="20C3B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9" w:type="pct"/>
            <w:tcMar>
              <w:left w:w="85" w:type="dxa"/>
            </w:tcMar>
            <w:vAlign w:val="center"/>
          </w:tcPr>
          <w:p w14:paraId="2CA901BA">
            <w:pPr>
              <w:widowControl/>
              <w:autoSpaceDE/>
              <w:autoSpaceDN/>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不低于二级</w:t>
            </w:r>
          </w:p>
        </w:tc>
        <w:tc>
          <w:tcPr>
            <w:tcW w:w="2568" w:type="pct"/>
            <w:tcMar>
              <w:left w:w="85" w:type="dxa"/>
            </w:tcMar>
            <w:vAlign w:val="center"/>
          </w:tcPr>
          <w:p w14:paraId="6AB3F6B6">
            <w:pPr>
              <w:widowControl/>
              <w:autoSpaceDE/>
              <w:autoSpaceDN/>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①涉及生态保护红线时；根据HJ2.3判断属于水文要素影响型且地表水评价等级不低于二级的建设项目；②根据HJ610、HJ964判断地下水水位或土壤影响范围内分布有天然林、公益林、湿地等生态保护目标的建设项目；③当工程占地规模大于20km</w:t>
            </w:r>
            <w:r>
              <w:rPr>
                <w:rFonts w:hint="eastAsia" w:ascii="Times New Roman" w:hAnsi="Times New Roman" w:cs="Times New Roman"/>
                <w:color w:val="000000" w:themeColor="text1"/>
                <w:w w:val="99"/>
                <w:sz w:val="21"/>
                <w:szCs w:val="21"/>
                <w:vertAlign w:val="superscript"/>
                <w:lang w:val="en-US" w:bidi="ar-SA"/>
                <w14:textFill>
                  <w14:solidFill>
                    <w14:schemeClr w14:val="tx1"/>
                  </w14:solidFill>
                </w14:textFill>
              </w:rPr>
              <w:t>2</w:t>
            </w:r>
            <w:r>
              <w:rPr>
                <w:rFonts w:hint="eastAsia" w:ascii="Times New Roman" w:hAnsi="Times New Roman" w:cs="Times New Roman"/>
                <w:color w:val="000000" w:themeColor="text1"/>
                <w:w w:val="99"/>
                <w:sz w:val="21"/>
                <w:szCs w:val="21"/>
                <w:lang w:val="en-US" w:bidi="ar-SA"/>
                <w14:textFill>
                  <w14:solidFill>
                    <w14:schemeClr w14:val="tx1"/>
                  </w14:solidFill>
                </w14:textFill>
              </w:rPr>
              <w:t>时（包括永久和临时占用陆域和水域）。</w:t>
            </w:r>
          </w:p>
        </w:tc>
        <w:tc>
          <w:tcPr>
            <w:tcW w:w="1963" w:type="pct"/>
            <w:tcMar>
              <w:left w:w="85" w:type="dxa"/>
            </w:tcMar>
            <w:vAlign w:val="center"/>
          </w:tcPr>
          <w:p w14:paraId="150CA286">
            <w:pPr>
              <w:widowControl/>
              <w:autoSpaceDE/>
              <w:autoSpaceDN/>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本项目不涉及</w:t>
            </w:r>
            <w:r>
              <w:rPr>
                <w:rFonts w:hint="eastAsia" w:ascii="Times New Roman" w:hAnsi="Times New Roman" w:cs="Times New Roman"/>
                <w:color w:val="000000" w:themeColor="text1"/>
                <w:w w:val="99"/>
                <w:sz w:val="21"/>
                <w:szCs w:val="21"/>
                <w:lang w:val="en-US" w:bidi="ar-SA"/>
                <w14:textFill>
                  <w14:solidFill>
                    <w14:schemeClr w14:val="tx1"/>
                  </w14:solidFill>
                </w14:textFill>
              </w:rPr>
              <w:t>生态保护红线，地表水为</w:t>
            </w:r>
            <w:r>
              <w:rPr>
                <w:rFonts w:ascii="Times New Roman" w:hAnsi="Times New Roman" w:cs="Times New Roman"/>
                <w:color w:val="000000" w:themeColor="text1"/>
                <w:w w:val="99"/>
                <w:sz w:val="21"/>
                <w:szCs w:val="21"/>
                <w:lang w:val="en-US" w:bidi="ar-SA"/>
                <w14:textFill>
                  <w14:solidFill>
                    <w14:schemeClr w14:val="tx1"/>
                  </w14:solidFill>
                </w14:textFill>
              </w:rPr>
              <w:t>水污染影响型，评价等级为三级</w:t>
            </w:r>
            <w:r>
              <w:rPr>
                <w:rFonts w:hint="eastAsia" w:ascii="Times New Roman" w:hAnsi="Times New Roman" w:cs="Times New Roman"/>
                <w:color w:val="000000" w:themeColor="text1"/>
                <w:w w:val="99"/>
                <w:sz w:val="21"/>
                <w:szCs w:val="21"/>
                <w:lang w:val="en-US" w:bidi="ar-SA"/>
                <w14:textFill>
                  <w14:solidFill>
                    <w14:schemeClr w14:val="tx1"/>
                  </w14:solidFill>
                </w14:textFill>
              </w:rPr>
              <w:t>B；</w:t>
            </w:r>
            <w:r>
              <w:rPr>
                <w:rFonts w:ascii="Times New Roman" w:hAnsi="Times New Roman" w:cs="Times New Roman"/>
                <w:color w:val="000000" w:themeColor="text1"/>
                <w:w w:val="99"/>
                <w:sz w:val="21"/>
                <w:szCs w:val="21"/>
                <w:lang w:val="en-US"/>
                <w14:textFill>
                  <w14:solidFill>
                    <w14:schemeClr w14:val="tx1"/>
                  </w14:solidFill>
                </w14:textFill>
              </w:rPr>
              <w:t>项目建设不影响地下水水位，土壤范围内无</w:t>
            </w:r>
            <w:r>
              <w:rPr>
                <w:rFonts w:hint="eastAsia" w:ascii="Times New Roman" w:hAnsi="Times New Roman" w:cs="Times New Roman"/>
                <w:color w:val="000000" w:themeColor="text1"/>
                <w:w w:val="99"/>
                <w:sz w:val="21"/>
                <w:szCs w:val="21"/>
                <w:lang w:val="en-US"/>
                <w14:textFill>
                  <w14:solidFill>
                    <w14:schemeClr w14:val="tx1"/>
                  </w14:solidFill>
                </w14:textFill>
              </w:rPr>
              <w:t>天然林、公益林、湿地等生态保护目标，项目占地</w:t>
            </w:r>
            <w:r>
              <w:rPr>
                <w:rFonts w:ascii="Times New Roman" w:hAnsi="Times New Roman" w:cs="Times New Roman"/>
                <w:color w:val="000000" w:themeColor="text1"/>
                <w:w w:val="99"/>
                <w:sz w:val="21"/>
                <w:szCs w:val="21"/>
                <w:lang w:val="en-US"/>
                <w14:textFill>
                  <w14:solidFill>
                    <w14:schemeClr w14:val="tx1"/>
                  </w14:solidFill>
                </w14:textFill>
              </w:rPr>
              <w:t>0.2337km</w:t>
            </w:r>
            <w:r>
              <w:rPr>
                <w:rFonts w:ascii="Times New Roman" w:hAnsi="Times New Roman" w:cs="Times New Roman"/>
                <w:color w:val="000000" w:themeColor="text1"/>
                <w:w w:val="99"/>
                <w:sz w:val="21"/>
                <w:szCs w:val="21"/>
                <w:vertAlign w:val="superscript"/>
                <w:lang w:val="en-US"/>
                <w14:textFill>
                  <w14:solidFill>
                    <w14:schemeClr w14:val="tx1"/>
                  </w14:solidFill>
                </w14:textFill>
              </w:rPr>
              <w:t>2</w:t>
            </w:r>
            <w:r>
              <w:rPr>
                <w:rFonts w:ascii="Times New Roman" w:hAnsi="Times New Roman" w:cs="Times New Roman"/>
                <w:color w:val="000000" w:themeColor="text1"/>
                <w:w w:val="99"/>
                <w:sz w:val="21"/>
                <w:szCs w:val="21"/>
                <w:lang w:val="en-US"/>
                <w14:textFill>
                  <w14:solidFill>
                    <w14:schemeClr w14:val="tx1"/>
                  </w14:solidFill>
                </w14:textFill>
              </w:rPr>
              <w:t>。</w:t>
            </w:r>
            <w:r>
              <w:rPr>
                <w:rFonts w:ascii="Times New Roman" w:hAnsi="Times New Roman" w:cs="Times New Roman"/>
                <w:color w:val="000000" w:themeColor="text1"/>
                <w:w w:val="99"/>
                <w:sz w:val="21"/>
                <w:szCs w:val="21"/>
                <w:lang w:val="en-US" w:bidi="ar-SA"/>
                <w14:textFill>
                  <w14:solidFill>
                    <w14:schemeClr w14:val="tx1"/>
                  </w14:solidFill>
                </w14:textFill>
              </w:rPr>
              <w:t xml:space="preserve"> </w:t>
            </w:r>
          </w:p>
        </w:tc>
      </w:tr>
      <w:tr w14:paraId="5AE20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9" w:type="pct"/>
            <w:tcMar>
              <w:left w:w="85" w:type="dxa"/>
            </w:tcMar>
            <w:vAlign w:val="center"/>
          </w:tcPr>
          <w:p w14:paraId="0EA62DE2">
            <w:pPr>
              <w:widowControl/>
              <w:autoSpaceDE/>
              <w:autoSpaceDN/>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三级</w:t>
            </w:r>
          </w:p>
        </w:tc>
        <w:tc>
          <w:tcPr>
            <w:tcW w:w="2568" w:type="pct"/>
            <w:tcMar>
              <w:left w:w="85" w:type="dxa"/>
            </w:tcMar>
            <w:vAlign w:val="center"/>
          </w:tcPr>
          <w:p w14:paraId="183AFC57">
            <w:pPr>
              <w:widowControl/>
              <w:autoSpaceDE/>
              <w:autoSpaceDN/>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以上之外的</w:t>
            </w:r>
          </w:p>
        </w:tc>
        <w:tc>
          <w:tcPr>
            <w:tcW w:w="1963" w:type="pct"/>
            <w:tcMar>
              <w:left w:w="85" w:type="dxa"/>
            </w:tcMar>
            <w:vAlign w:val="center"/>
          </w:tcPr>
          <w:p w14:paraId="29EF42CA">
            <w:pPr>
              <w:widowControl/>
              <w:autoSpaceDE/>
              <w:autoSpaceDN/>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涉及</w:t>
            </w:r>
          </w:p>
        </w:tc>
      </w:tr>
      <w:tr w14:paraId="29461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9" w:type="pct"/>
            <w:tcMar>
              <w:left w:w="85" w:type="dxa"/>
            </w:tcMar>
            <w:vAlign w:val="center"/>
          </w:tcPr>
          <w:p w14:paraId="2C39B08C">
            <w:pPr>
              <w:widowControl/>
              <w:autoSpaceDE/>
              <w:autoSpaceDN/>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说明</w:t>
            </w:r>
          </w:p>
        </w:tc>
        <w:tc>
          <w:tcPr>
            <w:tcW w:w="2568" w:type="pct"/>
            <w:tcMar>
              <w:left w:w="85" w:type="dxa"/>
            </w:tcMar>
            <w:vAlign w:val="center"/>
          </w:tcPr>
          <w:p w14:paraId="3C36BFFA">
            <w:pPr>
              <w:widowControl/>
              <w:autoSpaceDE/>
              <w:autoSpaceDN/>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①改扩建项目的占地范围以新增占地（包括陆域和水域）确定；②当评价等级判定同时符合上述多种情况时，应采用其中最高的评价等级；③建设项目涉及经论证对保护生物多样性具有重要意义的区域时，可适当上调评价等级。④建设项目同时涉及陆生、水生生态影响时，可针对陆生生态、水生生态分别判定评价等级。⑤在矿山开采可能导致矿区土地利用类型明显改变，或拦河闸坝建设可能明显改变水文情势等情况下，评价等级应上调一级。⑥线性工程可分段确定评价等级。线性工程地下穿越或地表跨越生态敏感区，在生态敏感区范围内无永久、临时占地时，评价等级可下调一级。⑦涉海工程评价等级判定参照 GB/T 19485。</w:t>
            </w:r>
          </w:p>
        </w:tc>
        <w:tc>
          <w:tcPr>
            <w:tcW w:w="1963" w:type="pct"/>
            <w:tcMar>
              <w:left w:w="85" w:type="dxa"/>
            </w:tcMar>
            <w:vAlign w:val="center"/>
          </w:tcPr>
          <w:p w14:paraId="1B6FC0D9">
            <w:pPr>
              <w:widowControl/>
              <w:autoSpaceDE/>
              <w:autoSpaceDN/>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w:t>
            </w:r>
          </w:p>
        </w:tc>
      </w:tr>
      <w:tr w14:paraId="17E16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69" w:type="pct"/>
            <w:tcMar>
              <w:left w:w="85" w:type="dxa"/>
            </w:tcMar>
            <w:vAlign w:val="center"/>
          </w:tcPr>
          <w:p w14:paraId="00AC2E53">
            <w:pPr>
              <w:widowControl/>
              <w:autoSpaceDE/>
              <w:autoSpaceDN/>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简单分析</w:t>
            </w:r>
          </w:p>
        </w:tc>
        <w:tc>
          <w:tcPr>
            <w:tcW w:w="2568" w:type="pct"/>
            <w:tcMar>
              <w:left w:w="85" w:type="dxa"/>
            </w:tcMar>
            <w:vAlign w:val="center"/>
          </w:tcPr>
          <w:p w14:paraId="6879E996">
            <w:pPr>
              <w:widowControl/>
              <w:autoSpaceDE/>
              <w:autoSpaceDN/>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w:t>
            </w:r>
          </w:p>
        </w:tc>
        <w:tc>
          <w:tcPr>
            <w:tcW w:w="1963" w:type="pct"/>
            <w:tcMar>
              <w:left w:w="85" w:type="dxa"/>
            </w:tcMar>
            <w:vAlign w:val="center"/>
          </w:tcPr>
          <w:p w14:paraId="28030B9E">
            <w:pPr>
              <w:widowControl/>
              <w:autoSpaceDE/>
              <w:autoSpaceDN/>
              <w:spacing w:line="36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本项目为生态影响类项目</w:t>
            </w:r>
          </w:p>
        </w:tc>
      </w:tr>
    </w:tbl>
    <w:p w14:paraId="599C0F5C">
      <w:pPr>
        <w:pStyle w:val="5"/>
        <w:keepNext/>
        <w:keepLines/>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73" w:name="_Toc117794536"/>
      <w:r>
        <w:rPr>
          <w:rFonts w:ascii="Times New Roman" w:hAnsi="Times New Roman" w:cs="Times New Roman" w:eastAsiaTheme="minorEastAsia"/>
          <w:color w:val="000000" w:themeColor="text1"/>
          <w:w w:val="99"/>
          <w:kern w:val="2"/>
          <w:lang w:val="en-US" w:bidi="ar-SA"/>
          <w14:textFill>
            <w14:solidFill>
              <w14:schemeClr w14:val="tx1"/>
            </w14:solidFill>
          </w14:textFill>
        </w:rPr>
        <w:t>2.5.7 风险评价</w:t>
      </w:r>
      <w:bookmarkEnd w:id="73"/>
    </w:p>
    <w:p w14:paraId="53062F70">
      <w:pPr>
        <w:widowControl/>
        <w:adjustRightInd w:val="0"/>
        <w:spacing w:line="440" w:lineRule="exact"/>
        <w:ind w:firstLine="474" w:firstLineChars="200"/>
        <w:jc w:val="both"/>
        <w:rPr>
          <w:rFonts w:ascii="Times New Roman" w:hAnsi="Times New Roman" w:cs="Times New Roman" w:eastAsiaTheme="minorEastAsia"/>
          <w:color w:val="000000" w:themeColor="text1"/>
          <w:w w:val="99"/>
          <w:sz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本项目涉及的物质主要为原油和石油气（天然气），</w:t>
      </w:r>
      <w:r>
        <w:rPr>
          <w:rFonts w:ascii="Times New Roman" w:hAnsi="Times New Roman" w:cs="Times New Roman" w:eastAsiaTheme="minorEastAsia"/>
          <w:color w:val="000000" w:themeColor="text1"/>
          <w:w w:val="99"/>
          <w:sz w:val="24"/>
          <w14:textFill>
            <w14:solidFill>
              <w14:schemeClr w14:val="tx1"/>
            </w14:solidFill>
          </w14:textFill>
        </w:rPr>
        <w:t>结合本项目工程内容，确定本工程涉及的主要风险源为集输管道。</w:t>
      </w:r>
    </w:p>
    <w:p w14:paraId="2F56AE8F">
      <w:pPr>
        <w:pStyle w:val="107"/>
        <w:tabs>
          <w:tab w:val="left" w:pos="1571"/>
        </w:tabs>
        <w:spacing w:line="440" w:lineRule="exact"/>
        <w:ind w:left="0" w:firstLine="474" w:firstLineChars="200"/>
        <w:jc w:val="both"/>
        <w:rPr>
          <w:rFonts w:ascii="Times New Roman" w:hAnsi="Times New Roman" w:cs="Times New Roman" w:eastAsiaTheme="minorEastAsia"/>
          <w:color w:val="000000" w:themeColor="text1"/>
          <w:w w:val="99"/>
          <w:sz w:val="24"/>
          <w14:textFill>
            <w14:solidFill>
              <w14:schemeClr w14:val="tx1"/>
            </w14:solidFill>
          </w14:textFill>
        </w:rPr>
      </w:pPr>
      <w:r>
        <w:rPr>
          <w:rFonts w:ascii="Times New Roman" w:hAnsi="Times New Roman" w:cs="Times New Roman" w:eastAsiaTheme="minorEastAsia"/>
          <w:color w:val="000000" w:themeColor="text1"/>
          <w:w w:val="99"/>
          <w:sz w:val="24"/>
          <w14:textFill>
            <w14:solidFill>
              <w14:schemeClr w14:val="tx1"/>
            </w14:solidFill>
          </w14:textFill>
        </w:rPr>
        <w:t>本项目集油管道中</w:t>
      </w:r>
      <w:r>
        <w:rPr>
          <w:rFonts w:ascii="Times New Roman" w:hAnsi="Times New Roman" w:cs="Times New Roman" w:eastAsiaTheme="minorEastAsia"/>
          <w:color w:val="000000" w:themeColor="text1"/>
          <w:w w:val="99"/>
          <w:sz w:val="24"/>
          <w:lang w:val="en-US"/>
          <w14:textFill>
            <w14:solidFill>
              <w14:schemeClr w14:val="tx1"/>
            </w14:solidFill>
          </w14:textFill>
        </w:rPr>
        <w:t>管径最大、</w:t>
      </w:r>
      <w:r>
        <w:rPr>
          <w:rFonts w:ascii="Times New Roman" w:hAnsi="Times New Roman" w:cs="Times New Roman" w:eastAsiaTheme="minorEastAsia"/>
          <w:color w:val="000000" w:themeColor="text1"/>
          <w:w w:val="99"/>
          <w:sz w:val="24"/>
          <w:szCs w:val="24"/>
          <w:lang w:val="en-US"/>
          <w14:textFill>
            <w14:solidFill>
              <w14:schemeClr w14:val="tx1"/>
            </w14:solidFill>
          </w14:textFill>
        </w:rPr>
        <w:t>长度最长的集输管线规格为φ168×5，长度为7.35km，</w:t>
      </w:r>
      <w:r>
        <w:rPr>
          <w:rFonts w:ascii="Times New Roman" w:hAnsi="Times New Roman" w:cs="Times New Roman" w:eastAsiaTheme="minorEastAsia"/>
          <w:color w:val="000000" w:themeColor="text1"/>
          <w:w w:val="99"/>
          <w:sz w:val="24"/>
          <w14:textFill>
            <w14:solidFill>
              <w14:schemeClr w14:val="tx1"/>
            </w14:solidFill>
          </w14:textFill>
        </w:rPr>
        <w:t>原油密度</w:t>
      </w:r>
      <w:r>
        <w:rPr>
          <w:rFonts w:ascii="Times New Roman" w:hAnsi="Times New Roman" w:cs="Times New Roman" w:eastAsiaTheme="minorEastAsia"/>
          <w:color w:val="000000" w:themeColor="text1"/>
          <w:w w:val="99"/>
          <w:sz w:val="24"/>
          <w:lang w:val="en-US"/>
          <w14:textFill>
            <w14:solidFill>
              <w14:schemeClr w14:val="tx1"/>
            </w14:solidFill>
          </w14:textFill>
        </w:rPr>
        <w:t>0.84t</w:t>
      </w:r>
      <w:r>
        <w:rPr>
          <w:rFonts w:ascii="Times New Roman" w:hAnsi="Times New Roman" w:cs="Times New Roman" w:eastAsiaTheme="minorEastAsia"/>
          <w:color w:val="000000" w:themeColor="text1"/>
          <w:w w:val="99"/>
          <w:sz w:val="24"/>
          <w14:textFill>
            <w14:solidFill>
              <w14:schemeClr w14:val="tx1"/>
            </w14:solidFill>
          </w14:textFill>
        </w:rPr>
        <w:t>/m</w:t>
      </w:r>
      <w:r>
        <w:rPr>
          <w:rFonts w:ascii="Times New Roman" w:hAnsi="Times New Roman" w:cs="Times New Roman" w:eastAsiaTheme="minorEastAsia"/>
          <w:color w:val="000000" w:themeColor="text1"/>
          <w:w w:val="99"/>
          <w:sz w:val="24"/>
          <w:vertAlign w:val="superscript"/>
          <w14:textFill>
            <w14:solidFill>
              <w14:schemeClr w14:val="tx1"/>
            </w14:solidFill>
          </w14:textFill>
        </w:rPr>
        <w:t>3</w:t>
      </w:r>
      <w:r>
        <w:rPr>
          <w:rFonts w:ascii="Times New Roman" w:hAnsi="Times New Roman" w:cs="Times New Roman" w:eastAsiaTheme="minorEastAsia"/>
          <w:color w:val="000000" w:themeColor="text1"/>
          <w:w w:val="99"/>
          <w:sz w:val="24"/>
          <w14:textFill>
            <w14:solidFill>
              <w14:schemeClr w14:val="tx1"/>
            </w14:solidFill>
          </w14:textFill>
        </w:rPr>
        <w:t>，则最大原油储量为π(</w:t>
      </w:r>
      <w:r>
        <w:rPr>
          <w:rFonts w:ascii="Times New Roman" w:hAnsi="Times New Roman" w:cs="Times New Roman" w:eastAsiaTheme="minorEastAsia"/>
          <w:color w:val="000000" w:themeColor="text1"/>
          <w:w w:val="99"/>
          <w:sz w:val="24"/>
          <w:lang w:val="en-US"/>
          <w14:textFill>
            <w14:solidFill>
              <w14:schemeClr w14:val="tx1"/>
            </w14:solidFill>
          </w14:textFill>
        </w:rPr>
        <w:t>168</w:t>
      </w:r>
      <w:r>
        <w:rPr>
          <w:rFonts w:ascii="Times New Roman" w:hAnsi="Times New Roman" w:cs="Times New Roman" w:eastAsiaTheme="minorEastAsia"/>
          <w:color w:val="000000" w:themeColor="text1"/>
          <w:w w:val="99"/>
          <w:sz w:val="24"/>
          <w14:textFill>
            <w14:solidFill>
              <w14:schemeClr w14:val="tx1"/>
            </w14:solidFill>
          </w14:textFill>
        </w:rPr>
        <w:t>/2/1000</w:t>
      </w:r>
      <w:r>
        <w:rPr>
          <w:rFonts w:ascii="Times New Roman" w:hAnsi="Times New Roman" w:cs="Times New Roman" w:eastAsiaTheme="minorEastAsia"/>
          <w:color w:val="000000" w:themeColor="text1"/>
          <w:w w:val="99"/>
          <w:sz w:val="24"/>
          <w:vertAlign w:val="superscript"/>
          <w14:textFill>
            <w14:solidFill>
              <w14:schemeClr w14:val="tx1"/>
            </w14:solidFill>
          </w14:textFill>
        </w:rPr>
        <w:t>)2</w:t>
      </w:r>
      <w:r>
        <w:rPr>
          <w:rFonts w:ascii="Times New Roman" w:hAnsi="Times New Roman" w:cs="Times New Roman" w:eastAsiaTheme="minorEastAsia"/>
          <w:color w:val="000000" w:themeColor="text1"/>
          <w:w w:val="99"/>
          <w:sz w:val="24"/>
          <w14:textFill>
            <w14:solidFill>
              <w14:schemeClr w14:val="tx1"/>
            </w14:solidFill>
          </w14:textFill>
        </w:rPr>
        <w:t>×</w:t>
      </w:r>
      <w:r>
        <w:rPr>
          <w:rFonts w:ascii="Times New Roman" w:hAnsi="Times New Roman" w:cs="Times New Roman" w:eastAsiaTheme="minorEastAsia"/>
          <w:color w:val="000000" w:themeColor="text1"/>
          <w:w w:val="99"/>
          <w:sz w:val="24"/>
          <w:lang w:val="en-US"/>
          <w14:textFill>
            <w14:solidFill>
              <w14:schemeClr w14:val="tx1"/>
            </w14:solidFill>
          </w14:textFill>
        </w:rPr>
        <w:t>7.35</w:t>
      </w:r>
      <w:r>
        <w:rPr>
          <w:rFonts w:ascii="Times New Roman" w:hAnsi="Times New Roman" w:cs="Times New Roman" w:eastAsiaTheme="minorEastAsia"/>
          <w:color w:val="000000" w:themeColor="text1"/>
          <w:w w:val="99"/>
          <w:sz w:val="24"/>
          <w14:textFill>
            <w14:solidFill>
              <w14:schemeClr w14:val="tx1"/>
            </w14:solidFill>
          </w14:textFill>
        </w:rPr>
        <w:t>×1000×</w:t>
      </w:r>
      <w:r>
        <w:rPr>
          <w:rFonts w:ascii="Times New Roman" w:hAnsi="Times New Roman" w:cs="Times New Roman" w:eastAsiaTheme="minorEastAsia"/>
          <w:color w:val="000000" w:themeColor="text1"/>
          <w:w w:val="99"/>
          <w:sz w:val="24"/>
          <w:lang w:val="en-US"/>
          <w14:textFill>
            <w14:solidFill>
              <w14:schemeClr w14:val="tx1"/>
            </w14:solidFill>
          </w14:textFill>
        </w:rPr>
        <w:t>0.84=136.8</w:t>
      </w:r>
      <w:r>
        <w:rPr>
          <w:rFonts w:ascii="Times New Roman" w:hAnsi="Times New Roman" w:cs="Times New Roman" w:eastAsiaTheme="minorEastAsia"/>
          <w:color w:val="000000" w:themeColor="text1"/>
          <w:w w:val="99"/>
          <w:sz w:val="24"/>
          <w14:textFill>
            <w14:solidFill>
              <w14:schemeClr w14:val="tx1"/>
            </w14:solidFill>
          </w14:textFill>
        </w:rPr>
        <w:t>t，</w:t>
      </w:r>
      <w:r>
        <w:rPr>
          <w:rFonts w:ascii="Times New Roman" w:hAnsi="Times New Roman" w:cs="Times New Roman" w:eastAsiaTheme="minorEastAsia"/>
          <w:color w:val="000000" w:themeColor="text1"/>
          <w:w w:val="99"/>
          <w:sz w:val="24"/>
          <w:szCs w:val="24"/>
          <w:lang w:val="en-US"/>
          <w14:textFill>
            <w14:solidFill>
              <w14:schemeClr w14:val="tx1"/>
            </w14:solidFill>
          </w14:textFill>
        </w:rPr>
        <w:t>本项目油气比31.45m</w:t>
      </w:r>
      <w:r>
        <w:rPr>
          <w:rFonts w:ascii="Times New Roman" w:hAnsi="Times New Roman" w:cs="Times New Roman" w:eastAsiaTheme="minorEastAsia"/>
          <w:color w:val="000000" w:themeColor="text1"/>
          <w:w w:val="99"/>
          <w:sz w:val="24"/>
          <w:szCs w:val="24"/>
          <w:vertAlign w:val="superscript"/>
          <w:lang w:val="en-US"/>
          <w14:textFill>
            <w14:solidFill>
              <w14:schemeClr w14:val="tx1"/>
            </w14:solidFill>
          </w14:textFill>
        </w:rPr>
        <w:t>3</w:t>
      </w:r>
      <w:r>
        <w:rPr>
          <w:rFonts w:ascii="Times New Roman" w:hAnsi="Times New Roman" w:cs="Times New Roman" w:eastAsiaTheme="minorEastAsia"/>
          <w:color w:val="000000" w:themeColor="text1"/>
          <w:w w:val="99"/>
          <w:sz w:val="24"/>
          <w:szCs w:val="24"/>
          <w:lang w:val="en-US"/>
          <w14:textFill>
            <w14:solidFill>
              <w14:schemeClr w14:val="tx1"/>
            </w14:solidFill>
          </w14:textFill>
        </w:rPr>
        <w:t>/t，</w:t>
      </w:r>
      <w:r>
        <w:rPr>
          <w:rFonts w:ascii="Times New Roman" w:hAnsi="Times New Roman" w:cs="Times New Roman" w:eastAsiaTheme="minorEastAsia"/>
          <w:color w:val="000000" w:themeColor="text1"/>
          <w:w w:val="99"/>
          <w:sz w:val="24"/>
          <w14:textFill>
            <w14:solidFill>
              <w14:schemeClr w14:val="tx1"/>
            </w14:solidFill>
          </w14:textFill>
        </w:rPr>
        <w:t>最大储气量为</w:t>
      </w:r>
      <w:r>
        <w:rPr>
          <w:rFonts w:ascii="Times New Roman" w:hAnsi="Times New Roman" w:cs="Times New Roman" w:eastAsiaTheme="minorEastAsia"/>
          <w:color w:val="000000" w:themeColor="text1"/>
          <w:w w:val="99"/>
          <w:sz w:val="24"/>
          <w:lang w:val="en-US"/>
          <w14:textFill>
            <w14:solidFill>
              <w14:schemeClr w14:val="tx1"/>
            </w14:solidFill>
          </w14:textFill>
        </w:rPr>
        <w:t>136.8</w:t>
      </w:r>
      <w:r>
        <w:rPr>
          <w:rFonts w:ascii="Times New Roman" w:hAnsi="Times New Roman" w:cs="Times New Roman" w:eastAsiaTheme="minorEastAsia"/>
          <w:color w:val="000000" w:themeColor="text1"/>
          <w:w w:val="99"/>
          <w:sz w:val="24"/>
          <w14:textFill>
            <w14:solidFill>
              <w14:schemeClr w14:val="tx1"/>
            </w14:solidFill>
          </w14:textFill>
        </w:rPr>
        <w:t>×</w:t>
      </w:r>
      <w:r>
        <w:rPr>
          <w:rFonts w:ascii="Times New Roman" w:hAnsi="Times New Roman" w:cs="Times New Roman" w:eastAsiaTheme="minorEastAsia"/>
          <w:color w:val="000000" w:themeColor="text1"/>
          <w:w w:val="99"/>
          <w:sz w:val="24"/>
          <w:lang w:val="en-US"/>
          <w14:textFill>
            <w14:solidFill>
              <w14:schemeClr w14:val="tx1"/>
            </w14:solidFill>
          </w14:textFill>
        </w:rPr>
        <w:t>31.45=4302.05</w:t>
      </w:r>
      <w:r>
        <w:rPr>
          <w:rFonts w:ascii="Times New Roman" w:hAnsi="Times New Roman" w:cs="Times New Roman" w:eastAsiaTheme="minorEastAsia"/>
          <w:color w:val="000000" w:themeColor="text1"/>
          <w:w w:val="99"/>
          <w:sz w:val="24"/>
          <w14:textFill>
            <w14:solidFill>
              <w14:schemeClr w14:val="tx1"/>
            </w14:solidFill>
          </w14:textFill>
        </w:rPr>
        <w:t>m</w:t>
      </w:r>
      <w:r>
        <w:rPr>
          <w:rFonts w:ascii="Times New Roman" w:hAnsi="Times New Roman" w:cs="Times New Roman" w:eastAsiaTheme="minorEastAsia"/>
          <w:color w:val="000000" w:themeColor="text1"/>
          <w:w w:val="99"/>
          <w:sz w:val="24"/>
          <w:vertAlign w:val="superscript"/>
          <w14:textFill>
            <w14:solidFill>
              <w14:schemeClr w14:val="tx1"/>
            </w14:solidFill>
          </w14:textFill>
        </w:rPr>
        <w:t>3</w:t>
      </w:r>
      <w:r>
        <w:rPr>
          <w:rFonts w:ascii="Times New Roman" w:hAnsi="Times New Roman" w:cs="Times New Roman" w:eastAsiaTheme="minorEastAsia"/>
          <w:color w:val="000000" w:themeColor="text1"/>
          <w:w w:val="99"/>
          <w:sz w:val="24"/>
          <w14:textFill>
            <w14:solidFill>
              <w14:schemeClr w14:val="tx1"/>
            </w14:solidFill>
          </w14:textFill>
        </w:rPr>
        <w:t>。伴生气标态密度0.7</w:t>
      </w:r>
      <w:r>
        <w:rPr>
          <w:rFonts w:ascii="Times New Roman" w:hAnsi="Times New Roman" w:cs="Times New Roman" w:eastAsiaTheme="minorEastAsia"/>
          <w:color w:val="000000" w:themeColor="text1"/>
          <w:w w:val="99"/>
          <w:sz w:val="24"/>
          <w:lang w:val="en-US"/>
          <w14:textFill>
            <w14:solidFill>
              <w14:schemeClr w14:val="tx1"/>
            </w14:solidFill>
          </w14:textFill>
        </w:rPr>
        <w:t>174</w:t>
      </w:r>
      <w:r>
        <w:rPr>
          <w:rFonts w:ascii="Times New Roman" w:hAnsi="Times New Roman" w:cs="Times New Roman" w:eastAsiaTheme="minorEastAsia"/>
          <w:color w:val="000000" w:themeColor="text1"/>
          <w:w w:val="99"/>
          <w:sz w:val="24"/>
          <w14:textFill>
            <w14:solidFill>
              <w14:schemeClr w14:val="tx1"/>
            </w14:solidFill>
          </w14:textFill>
        </w:rPr>
        <w:t>kg/m</w:t>
      </w:r>
      <w:r>
        <w:rPr>
          <w:rFonts w:ascii="Times New Roman" w:hAnsi="Times New Roman" w:cs="Times New Roman" w:eastAsiaTheme="minorEastAsia"/>
          <w:color w:val="000000" w:themeColor="text1"/>
          <w:w w:val="99"/>
          <w:sz w:val="24"/>
          <w:vertAlign w:val="superscript"/>
          <w14:textFill>
            <w14:solidFill>
              <w14:schemeClr w14:val="tx1"/>
            </w14:solidFill>
          </w14:textFill>
        </w:rPr>
        <w:t>3</w:t>
      </w:r>
      <w:r>
        <w:rPr>
          <w:rFonts w:ascii="Times New Roman" w:hAnsi="Times New Roman" w:cs="Times New Roman" w:eastAsiaTheme="minorEastAsia"/>
          <w:color w:val="000000" w:themeColor="text1"/>
          <w:w w:val="99"/>
          <w:sz w:val="24"/>
          <w14:textFill>
            <w14:solidFill>
              <w14:schemeClr w14:val="tx1"/>
            </w14:solidFill>
          </w14:textFill>
        </w:rPr>
        <w:t>，则管道中天然气最大储量为</w:t>
      </w:r>
      <w:r>
        <w:rPr>
          <w:rFonts w:ascii="Times New Roman" w:hAnsi="Times New Roman" w:cs="Times New Roman" w:eastAsiaTheme="minorEastAsia"/>
          <w:color w:val="000000" w:themeColor="text1"/>
          <w:w w:val="99"/>
          <w:sz w:val="24"/>
          <w:lang w:val="en-US"/>
          <w14:textFill>
            <w14:solidFill>
              <w14:schemeClr w14:val="tx1"/>
            </w14:solidFill>
          </w14:textFill>
        </w:rPr>
        <w:t>4302.05</w:t>
      </w:r>
      <w:r>
        <w:rPr>
          <w:rFonts w:ascii="Times New Roman" w:hAnsi="Times New Roman" w:cs="Times New Roman" w:eastAsiaTheme="minorEastAsia"/>
          <w:color w:val="000000" w:themeColor="text1"/>
          <w:w w:val="99"/>
          <w:sz w:val="24"/>
          <w14:textFill>
            <w14:solidFill>
              <w14:schemeClr w14:val="tx1"/>
            </w14:solidFill>
          </w14:textFill>
        </w:rPr>
        <w:t>×0.7</w:t>
      </w:r>
      <w:r>
        <w:rPr>
          <w:rFonts w:ascii="Times New Roman" w:hAnsi="Times New Roman" w:cs="Times New Roman" w:eastAsiaTheme="minorEastAsia"/>
          <w:color w:val="000000" w:themeColor="text1"/>
          <w:w w:val="99"/>
          <w:sz w:val="24"/>
          <w:lang w:val="en-US"/>
          <w14:textFill>
            <w14:solidFill>
              <w14:schemeClr w14:val="tx1"/>
            </w14:solidFill>
          </w14:textFill>
        </w:rPr>
        <w:t>174</w:t>
      </w:r>
      <w:r>
        <w:rPr>
          <w:rFonts w:ascii="Times New Roman" w:hAnsi="Times New Roman" w:cs="Times New Roman" w:eastAsiaTheme="minorEastAsia"/>
          <w:color w:val="000000" w:themeColor="text1"/>
          <w:w w:val="99"/>
          <w:sz w:val="24"/>
          <w14:textFill>
            <w14:solidFill>
              <w14:schemeClr w14:val="tx1"/>
            </w14:solidFill>
          </w14:textFill>
        </w:rPr>
        <w:t>/1000=</w:t>
      </w:r>
      <w:r>
        <w:rPr>
          <w:rFonts w:ascii="Times New Roman" w:hAnsi="Times New Roman" w:cs="Times New Roman" w:eastAsiaTheme="minorEastAsia"/>
          <w:color w:val="000000" w:themeColor="text1"/>
          <w:w w:val="99"/>
          <w:sz w:val="24"/>
          <w:lang w:val="en-US"/>
          <w14:textFill>
            <w14:solidFill>
              <w14:schemeClr w14:val="tx1"/>
            </w14:solidFill>
          </w14:textFill>
        </w:rPr>
        <w:t>3.086</w:t>
      </w:r>
      <w:r>
        <w:rPr>
          <w:rFonts w:ascii="Times New Roman" w:hAnsi="Times New Roman" w:cs="Times New Roman" w:eastAsiaTheme="minorEastAsia"/>
          <w:color w:val="000000" w:themeColor="text1"/>
          <w:w w:val="99"/>
          <w:sz w:val="24"/>
          <w14:textFill>
            <w14:solidFill>
              <w14:schemeClr w14:val="tx1"/>
            </w14:solidFill>
          </w14:textFill>
        </w:rPr>
        <w:t>t。</w:t>
      </w:r>
    </w:p>
    <w:p w14:paraId="2B7379BE">
      <w:pPr>
        <w:pStyle w:val="107"/>
        <w:tabs>
          <w:tab w:val="left" w:pos="4154"/>
          <w:tab w:val="center" w:pos="8305"/>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根据《建设项目环境风险评价技术导则》（HJ169-2018），定量分析危险物质数量与临界量的比值（Q），见表</w:t>
      </w:r>
      <w:r>
        <w:rPr>
          <w:rFonts w:ascii="Times New Roman" w:hAnsi="Times New Roman" w:cs="Times New Roman" w:eastAsiaTheme="minorEastAsia"/>
          <w:color w:val="000000" w:themeColor="text1"/>
          <w:w w:val="99"/>
          <w:sz w:val="24"/>
          <w:szCs w:val="24"/>
          <w:lang w:val="en-US"/>
          <w14:textFill>
            <w14:solidFill>
              <w14:schemeClr w14:val="tx1"/>
            </w14:solidFill>
          </w14:textFill>
        </w:rPr>
        <w:t>2.5-10。</w:t>
      </w:r>
    </w:p>
    <w:p w14:paraId="0812470B">
      <w:pPr>
        <w:pStyle w:val="107"/>
        <w:tabs>
          <w:tab w:val="left" w:pos="4154"/>
          <w:tab w:val="center" w:pos="8305"/>
        </w:tabs>
        <w:spacing w:line="500" w:lineRule="exact"/>
        <w:ind w:left="440" w:leftChars="200" w:firstLine="0"/>
        <w:jc w:val="both"/>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r>
        <w:rPr>
          <w:rFonts w:ascii="Times New Roman" w:hAnsi="Times New Roman" w:cs="Times New Roman" w:eastAsiaTheme="minorEastAsia"/>
          <w:b/>
          <w:bCs/>
          <w:color w:val="000000" w:themeColor="text1"/>
          <w:w w:val="99"/>
          <w:sz w:val="24"/>
          <w:szCs w:val="24"/>
          <w14:textFill>
            <w14:solidFill>
              <w14:schemeClr w14:val="tx1"/>
            </w14:solidFill>
          </w14:textFill>
        </w:rPr>
        <w:t>表</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2.5-10        危险物质数量与临界量的比值（Q）确定情况</w:t>
      </w:r>
    </w:p>
    <w:tbl>
      <w:tblPr>
        <w:tblStyle w:val="80"/>
        <w:tblW w:w="49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2031"/>
        <w:gridCol w:w="1518"/>
        <w:gridCol w:w="1412"/>
        <w:gridCol w:w="1210"/>
        <w:gridCol w:w="1243"/>
        <w:gridCol w:w="1195"/>
      </w:tblGrid>
      <w:tr w14:paraId="0F49F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356" w:type="pct"/>
            <w:vAlign w:val="center"/>
          </w:tcPr>
          <w:p w14:paraId="403C1C61">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14:textFill>
                  <w14:solidFill>
                    <w14:schemeClr w14:val="tx1"/>
                  </w14:solidFill>
                </w14:textFill>
              </w:rPr>
            </w:pPr>
            <w:r>
              <w:rPr>
                <w:rFonts w:ascii="Times New Roman" w:hAnsi="Times New Roman" w:cs="Times New Roman" w:eastAsiaTheme="minorEastAsia"/>
                <w:color w:val="000000" w:themeColor="text1"/>
                <w:w w:val="99"/>
                <w:sz w:val="21"/>
                <w14:textFill>
                  <w14:solidFill>
                    <w14:schemeClr w14:val="tx1"/>
                  </w14:solidFill>
                </w14:textFill>
              </w:rPr>
              <w:t>序号</w:t>
            </w:r>
          </w:p>
        </w:tc>
        <w:tc>
          <w:tcPr>
            <w:tcW w:w="1095" w:type="pct"/>
            <w:vAlign w:val="center"/>
          </w:tcPr>
          <w:p w14:paraId="5D199598">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14:textFill>
                  <w14:solidFill>
                    <w14:schemeClr w14:val="tx1"/>
                  </w14:solidFill>
                </w14:textFill>
              </w:rPr>
              <w:t>危险物质</w:t>
            </w:r>
          </w:p>
        </w:tc>
        <w:tc>
          <w:tcPr>
            <w:tcW w:w="818" w:type="pct"/>
            <w:vAlign w:val="center"/>
          </w:tcPr>
          <w:p w14:paraId="398CD8B0">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14:textFill>
                  <w14:solidFill>
                    <w14:schemeClr w14:val="tx1"/>
                  </w14:solidFill>
                </w14:textFill>
              </w:rPr>
            </w:pPr>
            <w:r>
              <w:rPr>
                <w:rFonts w:ascii="Times New Roman" w:hAnsi="Times New Roman" w:cs="Times New Roman" w:eastAsiaTheme="minorEastAsia"/>
                <w:color w:val="000000" w:themeColor="text1"/>
                <w:w w:val="99"/>
                <w:sz w:val="21"/>
                <w14:textFill>
                  <w14:solidFill>
                    <w14:schemeClr w14:val="tx1"/>
                  </w14:solidFill>
                </w14:textFill>
              </w:rPr>
              <w:t>CAS号</w:t>
            </w:r>
          </w:p>
        </w:tc>
        <w:tc>
          <w:tcPr>
            <w:tcW w:w="761" w:type="pct"/>
            <w:vAlign w:val="center"/>
          </w:tcPr>
          <w:p w14:paraId="6B61A410">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lang w:val="en-US"/>
                <w14:textFill>
                  <w14:solidFill>
                    <w14:schemeClr w14:val="tx1"/>
                  </w14:solidFill>
                </w14:textFill>
              </w:rPr>
            </w:pPr>
            <w:r>
              <w:rPr>
                <w:rFonts w:ascii="Times New Roman" w:hAnsi="Times New Roman" w:cs="Times New Roman" w:eastAsiaTheme="minorEastAsia"/>
                <w:color w:val="000000" w:themeColor="text1"/>
                <w:w w:val="99"/>
                <w:sz w:val="21"/>
                <w14:textFill>
                  <w14:solidFill>
                    <w14:schemeClr w14:val="tx1"/>
                  </w14:solidFill>
                </w14:textFill>
              </w:rPr>
              <w:t>最大存在量（t）</w:t>
            </w:r>
          </w:p>
        </w:tc>
        <w:tc>
          <w:tcPr>
            <w:tcW w:w="652" w:type="pct"/>
            <w:vAlign w:val="center"/>
          </w:tcPr>
          <w:p w14:paraId="1BDFE8A2">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14:textFill>
                  <w14:solidFill>
                    <w14:schemeClr w14:val="tx1"/>
                  </w14:solidFill>
                </w14:textFill>
              </w:rPr>
              <w:t>临界量（t）</w:t>
            </w:r>
          </w:p>
        </w:tc>
        <w:tc>
          <w:tcPr>
            <w:tcW w:w="670" w:type="pct"/>
            <w:vAlign w:val="center"/>
          </w:tcPr>
          <w:p w14:paraId="77EC5B33">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14:textFill>
                  <w14:solidFill>
                    <w14:schemeClr w14:val="tx1"/>
                  </w14:solidFill>
                </w14:textFill>
              </w:rPr>
            </w:pPr>
            <w:r>
              <w:rPr>
                <w:rFonts w:ascii="Times New Roman" w:hAnsi="Times New Roman" w:cs="Times New Roman" w:eastAsiaTheme="minorEastAsia"/>
                <w:color w:val="000000" w:themeColor="text1"/>
                <w:w w:val="99"/>
                <w:sz w:val="21"/>
                <w14:textFill>
                  <w14:solidFill>
                    <w14:schemeClr w14:val="tx1"/>
                  </w14:solidFill>
                </w14:textFill>
              </w:rPr>
              <w:t>qn/Q</w:t>
            </w:r>
          </w:p>
        </w:tc>
        <w:tc>
          <w:tcPr>
            <w:tcW w:w="644" w:type="pct"/>
            <w:vAlign w:val="center"/>
          </w:tcPr>
          <w:p w14:paraId="4173B740">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14:textFill>
                  <w14:solidFill>
                    <w14:schemeClr w14:val="tx1"/>
                  </w14:solidFill>
                </w14:textFill>
              </w:rPr>
            </w:pPr>
            <w:r>
              <w:rPr>
                <w:rFonts w:ascii="Times New Roman" w:hAnsi="Times New Roman" w:cs="Times New Roman" w:eastAsiaTheme="minorEastAsia"/>
                <w:color w:val="000000" w:themeColor="text1"/>
                <w:w w:val="99"/>
                <w:sz w:val="21"/>
                <w14:textFill>
                  <w14:solidFill>
                    <w14:schemeClr w14:val="tx1"/>
                  </w14:solidFill>
                </w14:textFill>
              </w:rPr>
              <w:t>ΣQ</w:t>
            </w:r>
          </w:p>
        </w:tc>
      </w:tr>
      <w:tr w14:paraId="44B1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356" w:type="pct"/>
            <w:vAlign w:val="center"/>
          </w:tcPr>
          <w:p w14:paraId="23D5EA4D">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14:textFill>
                  <w14:solidFill>
                    <w14:schemeClr w14:val="tx1"/>
                  </w14:solidFill>
                </w14:textFill>
              </w:rPr>
            </w:pPr>
            <w:r>
              <w:rPr>
                <w:rFonts w:ascii="Times New Roman" w:hAnsi="Times New Roman" w:cs="Times New Roman" w:eastAsiaTheme="minorEastAsia"/>
                <w:color w:val="000000" w:themeColor="text1"/>
                <w:w w:val="99"/>
                <w:sz w:val="21"/>
                <w14:textFill>
                  <w14:solidFill>
                    <w14:schemeClr w14:val="tx1"/>
                  </w14:solidFill>
                </w14:textFill>
              </w:rPr>
              <w:t>1</w:t>
            </w:r>
          </w:p>
        </w:tc>
        <w:tc>
          <w:tcPr>
            <w:tcW w:w="1095" w:type="pct"/>
            <w:vAlign w:val="center"/>
          </w:tcPr>
          <w:p w14:paraId="608A6390">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1"/>
                <w14:textFill>
                  <w14:solidFill>
                    <w14:schemeClr w14:val="tx1"/>
                  </w14:solidFill>
                </w14:textFill>
              </w:rPr>
              <w:t>石油气（天然气）</w:t>
            </w:r>
          </w:p>
        </w:tc>
        <w:tc>
          <w:tcPr>
            <w:tcW w:w="818" w:type="pct"/>
            <w:vAlign w:val="center"/>
          </w:tcPr>
          <w:p w14:paraId="381A721D">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lang w:val="en-US"/>
                <w14:textFill>
                  <w14:solidFill>
                    <w14:schemeClr w14:val="tx1"/>
                  </w14:solidFill>
                </w14:textFill>
              </w:rPr>
            </w:pPr>
            <w:r>
              <w:rPr>
                <w:rFonts w:ascii="Times New Roman" w:hAnsi="Times New Roman" w:cs="Times New Roman" w:eastAsiaTheme="minorEastAsia"/>
                <w:color w:val="000000" w:themeColor="text1"/>
                <w:w w:val="99"/>
                <w:sz w:val="21"/>
                <w14:textFill>
                  <w14:solidFill>
                    <w14:schemeClr w14:val="tx1"/>
                  </w14:solidFill>
                </w14:textFill>
              </w:rPr>
              <w:t>68476-85-7</w:t>
            </w:r>
          </w:p>
        </w:tc>
        <w:tc>
          <w:tcPr>
            <w:tcW w:w="761" w:type="pct"/>
            <w:vAlign w:val="center"/>
          </w:tcPr>
          <w:p w14:paraId="6998A477">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lang w:val="en-US"/>
                <w14:textFill>
                  <w14:solidFill>
                    <w14:schemeClr w14:val="tx1"/>
                  </w14:solidFill>
                </w14:textFill>
              </w:rPr>
            </w:pPr>
            <w:r>
              <w:rPr>
                <w:rFonts w:ascii="Times New Roman" w:hAnsi="Times New Roman" w:cs="Times New Roman" w:eastAsiaTheme="minorEastAsia"/>
                <w:color w:val="000000" w:themeColor="text1"/>
                <w:w w:val="99"/>
                <w:sz w:val="21"/>
                <w:lang w:val="en-US"/>
                <w14:textFill>
                  <w14:solidFill>
                    <w14:schemeClr w14:val="tx1"/>
                  </w14:solidFill>
                </w14:textFill>
              </w:rPr>
              <w:t>3.086</w:t>
            </w:r>
          </w:p>
        </w:tc>
        <w:tc>
          <w:tcPr>
            <w:tcW w:w="652" w:type="pct"/>
            <w:vAlign w:val="center"/>
          </w:tcPr>
          <w:p w14:paraId="1FEA5295">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14:textFill>
                  <w14:solidFill>
                    <w14:schemeClr w14:val="tx1"/>
                  </w14:solidFill>
                </w14:textFill>
              </w:rPr>
              <w:t>10</w:t>
            </w:r>
          </w:p>
        </w:tc>
        <w:tc>
          <w:tcPr>
            <w:tcW w:w="670" w:type="pct"/>
            <w:vAlign w:val="center"/>
          </w:tcPr>
          <w:p w14:paraId="7B6EE070">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lang w:val="en-US"/>
                <w14:textFill>
                  <w14:solidFill>
                    <w14:schemeClr w14:val="tx1"/>
                  </w14:solidFill>
                </w14:textFill>
              </w:rPr>
            </w:pPr>
            <w:r>
              <w:rPr>
                <w:rFonts w:ascii="Times New Roman" w:hAnsi="Times New Roman" w:cs="Times New Roman" w:eastAsiaTheme="minorEastAsia"/>
                <w:color w:val="000000" w:themeColor="text1"/>
                <w:w w:val="99"/>
                <w:sz w:val="21"/>
                <w:lang w:val="en-US"/>
                <w14:textFill>
                  <w14:solidFill>
                    <w14:schemeClr w14:val="tx1"/>
                  </w14:solidFill>
                </w14:textFill>
              </w:rPr>
              <w:t>0.3086</w:t>
            </w:r>
          </w:p>
        </w:tc>
        <w:tc>
          <w:tcPr>
            <w:tcW w:w="644" w:type="pct"/>
            <w:vMerge w:val="restart"/>
            <w:vAlign w:val="center"/>
          </w:tcPr>
          <w:p w14:paraId="67A51F5F">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lang w:val="en-US"/>
                <w14:textFill>
                  <w14:solidFill>
                    <w14:schemeClr w14:val="tx1"/>
                  </w14:solidFill>
                </w14:textFill>
              </w:rPr>
            </w:pPr>
            <w:r>
              <w:rPr>
                <w:rFonts w:ascii="Times New Roman" w:hAnsi="Times New Roman" w:cs="Times New Roman" w:eastAsiaTheme="minorEastAsia"/>
                <w:color w:val="000000" w:themeColor="text1"/>
                <w:w w:val="99"/>
                <w:sz w:val="21"/>
                <w:lang w:val="en-US"/>
                <w14:textFill>
                  <w14:solidFill>
                    <w14:schemeClr w14:val="tx1"/>
                  </w14:solidFill>
                </w14:textFill>
              </w:rPr>
              <w:t>0.36152</w:t>
            </w:r>
          </w:p>
        </w:tc>
      </w:tr>
      <w:tr w14:paraId="40CC3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56" w:type="pct"/>
            <w:vAlign w:val="center"/>
          </w:tcPr>
          <w:p w14:paraId="66DF73C6">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lang w:val="en-US"/>
                <w14:textFill>
                  <w14:solidFill>
                    <w14:schemeClr w14:val="tx1"/>
                  </w14:solidFill>
                </w14:textFill>
              </w:rPr>
            </w:pPr>
            <w:r>
              <w:rPr>
                <w:rFonts w:ascii="Times New Roman" w:hAnsi="Times New Roman" w:cs="Times New Roman" w:eastAsiaTheme="minorEastAsia"/>
                <w:color w:val="000000" w:themeColor="text1"/>
                <w:w w:val="99"/>
                <w:sz w:val="21"/>
                <w:lang w:val="en-US"/>
                <w14:textFill>
                  <w14:solidFill>
                    <w14:schemeClr w14:val="tx1"/>
                  </w14:solidFill>
                </w14:textFill>
              </w:rPr>
              <w:t>2</w:t>
            </w:r>
          </w:p>
        </w:tc>
        <w:tc>
          <w:tcPr>
            <w:tcW w:w="1095" w:type="pct"/>
            <w:vAlign w:val="center"/>
          </w:tcPr>
          <w:p w14:paraId="25695E4E">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1"/>
                <w14:textFill>
                  <w14:solidFill>
                    <w14:schemeClr w14:val="tx1"/>
                  </w14:solidFill>
                </w14:textFill>
              </w:rPr>
              <w:t>油类物质</w:t>
            </w:r>
            <w:r>
              <w:rPr>
                <w:rFonts w:ascii="Times New Roman" w:hAnsi="Times New Roman" w:cs="Times New Roman" w:eastAsiaTheme="minorEastAsia"/>
                <w:color w:val="000000" w:themeColor="text1"/>
                <w:w w:val="99"/>
                <w:sz w:val="21"/>
                <w14:textFill>
                  <w14:solidFill>
                    <w14:schemeClr w14:val="tx1"/>
                  </w14:solidFill>
                </w14:textFill>
              </w:rPr>
              <w:t>（石油）</w:t>
            </w:r>
          </w:p>
        </w:tc>
        <w:tc>
          <w:tcPr>
            <w:tcW w:w="818" w:type="pct"/>
            <w:vAlign w:val="center"/>
          </w:tcPr>
          <w:p w14:paraId="565394FA">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lang w:val="en-US"/>
                <w14:textFill>
                  <w14:solidFill>
                    <w14:schemeClr w14:val="tx1"/>
                  </w14:solidFill>
                </w14:textFill>
              </w:rPr>
            </w:pPr>
            <w:r>
              <w:rPr>
                <w:rFonts w:ascii="Times New Roman" w:hAnsi="Times New Roman" w:cs="Times New Roman" w:eastAsiaTheme="minorEastAsia"/>
                <w:color w:val="000000" w:themeColor="text1"/>
                <w:w w:val="99"/>
                <w:sz w:val="21"/>
                <w:lang w:val="en-US"/>
                <w14:textFill>
                  <w14:solidFill>
                    <w14:schemeClr w14:val="tx1"/>
                  </w14:solidFill>
                </w14:textFill>
              </w:rPr>
              <w:t>/</w:t>
            </w:r>
          </w:p>
        </w:tc>
        <w:tc>
          <w:tcPr>
            <w:tcW w:w="761" w:type="pct"/>
            <w:vAlign w:val="center"/>
          </w:tcPr>
          <w:p w14:paraId="5F870EF7">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lang w:val="en-US"/>
                <w14:textFill>
                  <w14:solidFill>
                    <w14:schemeClr w14:val="tx1"/>
                  </w14:solidFill>
                </w14:textFill>
              </w:rPr>
            </w:pPr>
            <w:r>
              <w:rPr>
                <w:rFonts w:ascii="Times New Roman" w:hAnsi="Times New Roman" w:cs="Times New Roman" w:eastAsiaTheme="minorEastAsia"/>
                <w:color w:val="000000" w:themeColor="text1"/>
                <w:w w:val="99"/>
                <w:sz w:val="21"/>
                <w:lang w:val="en-US"/>
                <w14:textFill>
                  <w14:solidFill>
                    <w14:schemeClr w14:val="tx1"/>
                  </w14:solidFill>
                </w14:textFill>
              </w:rPr>
              <w:t>136.8</w:t>
            </w:r>
          </w:p>
        </w:tc>
        <w:tc>
          <w:tcPr>
            <w:tcW w:w="652" w:type="pct"/>
            <w:vAlign w:val="center"/>
          </w:tcPr>
          <w:p w14:paraId="5B55F2E5">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14:textFill>
                  <w14:solidFill>
                    <w14:schemeClr w14:val="tx1"/>
                  </w14:solidFill>
                </w14:textFill>
              </w:rPr>
              <w:t>2500</w:t>
            </w:r>
          </w:p>
        </w:tc>
        <w:tc>
          <w:tcPr>
            <w:tcW w:w="670" w:type="pct"/>
            <w:vAlign w:val="center"/>
          </w:tcPr>
          <w:p w14:paraId="0B541AE1">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lang w:val="en-US"/>
                <w14:textFill>
                  <w14:solidFill>
                    <w14:schemeClr w14:val="tx1"/>
                  </w14:solidFill>
                </w14:textFill>
              </w:rPr>
            </w:pPr>
            <w:r>
              <w:rPr>
                <w:rFonts w:ascii="Times New Roman" w:hAnsi="Times New Roman" w:cs="Times New Roman" w:eastAsiaTheme="minorEastAsia"/>
                <w:color w:val="000000" w:themeColor="text1"/>
                <w:w w:val="99"/>
                <w:sz w:val="21"/>
                <w:lang w:val="en-US"/>
                <w14:textFill>
                  <w14:solidFill>
                    <w14:schemeClr w14:val="tx1"/>
                  </w14:solidFill>
                </w14:textFill>
              </w:rPr>
              <w:t>0.05472</w:t>
            </w:r>
          </w:p>
        </w:tc>
        <w:tc>
          <w:tcPr>
            <w:tcW w:w="644" w:type="pct"/>
            <w:vMerge w:val="continue"/>
            <w:vAlign w:val="center"/>
          </w:tcPr>
          <w:p w14:paraId="3497DB7E">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14:textFill>
                  <w14:solidFill>
                    <w14:schemeClr w14:val="tx1"/>
                  </w14:solidFill>
                </w14:textFill>
              </w:rPr>
            </w:pPr>
          </w:p>
        </w:tc>
      </w:tr>
    </w:tbl>
    <w:p w14:paraId="76185492">
      <w:pPr>
        <w:pStyle w:val="107"/>
        <w:tabs>
          <w:tab w:val="left" w:pos="4154"/>
          <w:tab w:val="center" w:pos="8305"/>
        </w:tabs>
        <w:spacing w:line="50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根据《建设项目环境风险评价技术导则》（HJ169-2018）中评价等级的判定方法，Q为</w:t>
      </w:r>
      <w:r>
        <w:rPr>
          <w:rFonts w:ascii="Times New Roman" w:hAnsi="Times New Roman" w:cs="Times New Roman" w:eastAsiaTheme="minorEastAsia"/>
          <w:color w:val="000000" w:themeColor="text1"/>
          <w:w w:val="99"/>
          <w:sz w:val="24"/>
          <w:szCs w:val="24"/>
          <w:lang w:val="en-US"/>
          <w14:textFill>
            <w14:solidFill>
              <w14:schemeClr w14:val="tx1"/>
            </w14:solidFill>
          </w14:textFill>
        </w:rPr>
        <w:t>0.36152</w:t>
      </w:r>
      <w:r>
        <w:rPr>
          <w:rFonts w:ascii="Times New Roman" w:hAnsi="Times New Roman" w:cs="Times New Roman" w:eastAsiaTheme="minorEastAsia"/>
          <w:color w:val="000000" w:themeColor="text1"/>
          <w:w w:val="99"/>
          <w:sz w:val="24"/>
          <w:szCs w:val="24"/>
          <w14:textFill>
            <w14:solidFill>
              <w14:schemeClr w14:val="tx1"/>
            </w14:solidFill>
          </w14:textFill>
        </w:rPr>
        <w:t>＜1，因此，判定本项目环境风险潜势为I，确定本工程风险评价等级为简单分析。</w:t>
      </w:r>
    </w:p>
    <w:p w14:paraId="1E715103">
      <w:pPr>
        <w:pStyle w:val="107"/>
        <w:tabs>
          <w:tab w:val="left" w:pos="4154"/>
          <w:tab w:val="center" w:pos="8305"/>
        </w:tabs>
        <w:spacing w:line="500" w:lineRule="exact"/>
        <w:ind w:left="440" w:leftChars="200" w:firstLine="0"/>
        <w:jc w:val="both"/>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r>
        <w:rPr>
          <w:rFonts w:ascii="Times New Roman" w:hAnsi="Times New Roman" w:cs="Times New Roman" w:eastAsiaTheme="minorEastAsia"/>
          <w:b/>
          <w:bCs/>
          <w:color w:val="000000" w:themeColor="text1"/>
          <w:w w:val="99"/>
          <w:sz w:val="24"/>
          <w:szCs w:val="24"/>
          <w14:textFill>
            <w14:solidFill>
              <w14:schemeClr w14:val="tx1"/>
            </w14:solidFill>
          </w14:textFill>
        </w:rPr>
        <w:t>表</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2.5-11       风险评价工作级别表</w:t>
      </w:r>
    </w:p>
    <w:tbl>
      <w:tblPr>
        <w:tblStyle w:val="8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1855"/>
        <w:gridCol w:w="1856"/>
        <w:gridCol w:w="1855"/>
        <w:gridCol w:w="1862"/>
      </w:tblGrid>
      <w:tr w14:paraId="40E1E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999" w:type="pct"/>
            <w:vAlign w:val="center"/>
          </w:tcPr>
          <w:p w14:paraId="7C3DB02F">
            <w:pPr>
              <w:tabs>
                <w:tab w:val="left" w:pos="4154"/>
                <w:tab w:val="center" w:pos="8305"/>
              </w:tabs>
              <w:adjustRightInd w:val="0"/>
              <w:snapToGrid w:val="0"/>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环境风险潜势</w:t>
            </w:r>
          </w:p>
        </w:tc>
        <w:tc>
          <w:tcPr>
            <w:tcW w:w="999" w:type="pct"/>
            <w:vAlign w:val="center"/>
          </w:tcPr>
          <w:p w14:paraId="659D01F1">
            <w:pPr>
              <w:tabs>
                <w:tab w:val="left" w:pos="4154"/>
                <w:tab w:val="center" w:pos="8305"/>
              </w:tabs>
              <w:adjustRightInd w:val="0"/>
              <w:snapToGrid w:val="0"/>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Ⅳ、Ⅳ+</w:t>
            </w:r>
          </w:p>
        </w:tc>
        <w:tc>
          <w:tcPr>
            <w:tcW w:w="1000" w:type="pct"/>
            <w:vAlign w:val="center"/>
          </w:tcPr>
          <w:p w14:paraId="536078F4">
            <w:pPr>
              <w:tabs>
                <w:tab w:val="left" w:pos="4154"/>
                <w:tab w:val="center" w:pos="8305"/>
              </w:tabs>
              <w:adjustRightInd w:val="0"/>
              <w:snapToGrid w:val="0"/>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Ⅲ</w:t>
            </w:r>
          </w:p>
        </w:tc>
        <w:tc>
          <w:tcPr>
            <w:tcW w:w="999" w:type="pct"/>
            <w:vAlign w:val="center"/>
          </w:tcPr>
          <w:p w14:paraId="370D12E4">
            <w:pPr>
              <w:tabs>
                <w:tab w:val="left" w:pos="4154"/>
                <w:tab w:val="center" w:pos="8305"/>
              </w:tabs>
              <w:adjustRightInd w:val="0"/>
              <w:snapToGrid w:val="0"/>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Ⅱ</w:t>
            </w:r>
          </w:p>
        </w:tc>
        <w:tc>
          <w:tcPr>
            <w:tcW w:w="1000" w:type="pct"/>
            <w:vAlign w:val="center"/>
          </w:tcPr>
          <w:p w14:paraId="0B9A7E09">
            <w:pPr>
              <w:tabs>
                <w:tab w:val="left" w:pos="4154"/>
                <w:tab w:val="center" w:pos="8305"/>
              </w:tabs>
              <w:adjustRightInd w:val="0"/>
              <w:snapToGrid w:val="0"/>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Ⅰ</w:t>
            </w:r>
          </w:p>
        </w:tc>
      </w:tr>
      <w:tr w14:paraId="208CB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3507FC69">
            <w:pPr>
              <w:tabs>
                <w:tab w:val="left" w:pos="4154"/>
                <w:tab w:val="center" w:pos="8305"/>
              </w:tabs>
              <w:adjustRightInd w:val="0"/>
              <w:snapToGrid w:val="0"/>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评价工作等级</w:t>
            </w:r>
          </w:p>
        </w:tc>
        <w:tc>
          <w:tcPr>
            <w:tcW w:w="999" w:type="pct"/>
            <w:vAlign w:val="center"/>
          </w:tcPr>
          <w:p w14:paraId="0E6B0FEE">
            <w:pPr>
              <w:tabs>
                <w:tab w:val="left" w:pos="4154"/>
                <w:tab w:val="center" w:pos="8305"/>
              </w:tabs>
              <w:adjustRightInd w:val="0"/>
              <w:snapToGrid w:val="0"/>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一</w:t>
            </w:r>
          </w:p>
        </w:tc>
        <w:tc>
          <w:tcPr>
            <w:tcW w:w="1000" w:type="pct"/>
            <w:vAlign w:val="center"/>
          </w:tcPr>
          <w:p w14:paraId="3C4ED163">
            <w:pPr>
              <w:tabs>
                <w:tab w:val="left" w:pos="4154"/>
                <w:tab w:val="center" w:pos="8305"/>
              </w:tabs>
              <w:adjustRightInd w:val="0"/>
              <w:snapToGrid w:val="0"/>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二</w:t>
            </w:r>
          </w:p>
        </w:tc>
        <w:tc>
          <w:tcPr>
            <w:tcW w:w="999" w:type="pct"/>
            <w:vAlign w:val="center"/>
          </w:tcPr>
          <w:p w14:paraId="36C39816">
            <w:pPr>
              <w:tabs>
                <w:tab w:val="left" w:pos="4154"/>
                <w:tab w:val="center" w:pos="8305"/>
              </w:tabs>
              <w:adjustRightInd w:val="0"/>
              <w:snapToGrid w:val="0"/>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三</w:t>
            </w:r>
          </w:p>
        </w:tc>
        <w:tc>
          <w:tcPr>
            <w:tcW w:w="1000" w:type="pct"/>
            <w:vAlign w:val="center"/>
          </w:tcPr>
          <w:p w14:paraId="08AE44A9">
            <w:pPr>
              <w:tabs>
                <w:tab w:val="left" w:pos="4154"/>
                <w:tab w:val="center" w:pos="8305"/>
              </w:tabs>
              <w:adjustRightInd w:val="0"/>
              <w:snapToGrid w:val="0"/>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简单分析a</w:t>
            </w:r>
          </w:p>
        </w:tc>
      </w:tr>
      <w:tr w14:paraId="39493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50827ED9">
            <w:pPr>
              <w:tabs>
                <w:tab w:val="left" w:pos="4154"/>
                <w:tab w:val="center" w:pos="8305"/>
              </w:tabs>
              <w:adjustRightInd w:val="0"/>
              <w:snapToGrid w:val="0"/>
              <w:spacing w:line="360" w:lineRule="exact"/>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a是相对于详细评价工作内容而言，在描述危险物质、环境影响途径、环境危害后果、风险防范措施等方面给出的定性的说明。见附录A。</w:t>
            </w:r>
          </w:p>
        </w:tc>
      </w:tr>
    </w:tbl>
    <w:p w14:paraId="4874F09C">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74" w:name="_Toc117794537"/>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2.6 评价范围及环境保护目标</w:t>
      </w:r>
      <w:bookmarkEnd w:id="74"/>
    </w:p>
    <w:p w14:paraId="493F6EA2">
      <w:pPr>
        <w:pStyle w:val="107"/>
        <w:tabs>
          <w:tab w:val="left" w:pos="1571"/>
        </w:tabs>
        <w:spacing w:before="60" w:after="60" w:line="440" w:lineRule="exact"/>
        <w:ind w:left="0" w:firstLine="0"/>
        <w:jc w:val="both"/>
        <w:outlineLvl w:val="2"/>
        <w:rPr>
          <w:rFonts w:ascii="Times New Roman" w:hAnsi="Times New Roman" w:cs="Times New Roman" w:eastAsiaTheme="minorEastAsia"/>
          <w:b/>
          <w:bCs/>
          <w:color w:val="000000" w:themeColor="text1"/>
          <w:w w:val="99"/>
          <w:sz w:val="24"/>
          <w:szCs w:val="24"/>
          <w14:textFill>
            <w14:solidFill>
              <w14:schemeClr w14:val="tx1"/>
            </w14:solidFill>
          </w14:textFill>
        </w:rPr>
      </w:pPr>
      <w:bookmarkStart w:id="75" w:name="_Toc117794538"/>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2.6.1 大气环境评价范围及保护目标</w:t>
      </w:r>
      <w:bookmarkEnd w:id="75"/>
    </w:p>
    <w:p w14:paraId="21840E27">
      <w:pPr>
        <w:pStyle w:val="107"/>
        <w:tabs>
          <w:tab w:val="left" w:pos="1571"/>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本项目为三级评价项目不需设置大气环境影响评价范围。大气环境保护目标主要为管线中心线两侧200m范围内的大气环境。大气环境保护目标具体见表2.6-1。大气环境</w:t>
      </w:r>
      <w:r>
        <w:rPr>
          <w:rFonts w:ascii="Times New Roman" w:hAnsi="Times New Roman" w:cs="Times New Roman" w:eastAsiaTheme="minorEastAsia"/>
          <w:color w:val="000000" w:themeColor="text1"/>
          <w:w w:val="99"/>
          <w:sz w:val="24"/>
          <w:szCs w:val="24"/>
          <w:lang w:val="en-US"/>
          <w14:textFill>
            <w14:solidFill>
              <w14:schemeClr w14:val="tx1"/>
            </w14:solidFill>
          </w14:textFill>
        </w:rPr>
        <w:t>保护目标分布见附图6。</w:t>
      </w:r>
    </w:p>
    <w:p w14:paraId="72FEE34F">
      <w:pPr>
        <w:pStyle w:val="107"/>
        <w:tabs>
          <w:tab w:val="left" w:pos="1571"/>
        </w:tabs>
        <w:spacing w:line="440" w:lineRule="exact"/>
        <w:ind w:left="440" w:leftChars="200" w:firstLine="0"/>
        <w:jc w:val="both"/>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r>
        <w:rPr>
          <w:rFonts w:ascii="Times New Roman" w:hAnsi="Times New Roman" w:cs="Times New Roman" w:eastAsiaTheme="minorEastAsia"/>
          <w:b/>
          <w:bCs/>
          <w:color w:val="000000" w:themeColor="text1"/>
          <w:w w:val="99"/>
          <w:sz w:val="24"/>
          <w:szCs w:val="24"/>
          <w14:textFill>
            <w14:solidFill>
              <w14:schemeClr w14:val="tx1"/>
            </w14:solidFill>
          </w14:textFill>
        </w:rPr>
        <w:t>表</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2.6-1        大气环境保护目标一览表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1"/>
        <w:gridCol w:w="1306"/>
        <w:gridCol w:w="1166"/>
        <w:gridCol w:w="726"/>
        <w:gridCol w:w="1742"/>
        <w:gridCol w:w="869"/>
        <w:gridCol w:w="2326"/>
      </w:tblGrid>
      <w:tr w14:paraId="7FF5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20" w:type="pct"/>
            <w:vMerge w:val="restart"/>
            <w:tcBorders>
              <w:tl2br w:val="nil"/>
              <w:tr2bl w:val="nil"/>
            </w:tcBorders>
            <w:vAlign w:val="center"/>
          </w:tcPr>
          <w:p w14:paraId="37633DF1">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名称</w:t>
            </w:r>
          </w:p>
        </w:tc>
        <w:tc>
          <w:tcPr>
            <w:tcW w:w="1331" w:type="pct"/>
            <w:gridSpan w:val="2"/>
            <w:tcBorders>
              <w:tl2br w:val="nil"/>
              <w:tr2bl w:val="nil"/>
            </w:tcBorders>
            <w:vAlign w:val="center"/>
          </w:tcPr>
          <w:p w14:paraId="754C2448">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坐标</w:t>
            </w:r>
          </w:p>
        </w:tc>
        <w:tc>
          <w:tcPr>
            <w:tcW w:w="391" w:type="pct"/>
            <w:vMerge w:val="restart"/>
            <w:tcBorders>
              <w:tl2br w:val="nil"/>
              <w:tr2bl w:val="nil"/>
            </w:tcBorders>
            <w:vAlign w:val="center"/>
          </w:tcPr>
          <w:p w14:paraId="0518E747">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保护对象</w:t>
            </w:r>
          </w:p>
        </w:tc>
        <w:tc>
          <w:tcPr>
            <w:tcW w:w="938" w:type="pct"/>
            <w:vMerge w:val="restart"/>
            <w:tcBorders>
              <w:tl2br w:val="nil"/>
              <w:tr2bl w:val="nil"/>
            </w:tcBorders>
            <w:vAlign w:val="center"/>
          </w:tcPr>
          <w:p w14:paraId="276D51DB">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保护内容</w:t>
            </w:r>
          </w:p>
        </w:tc>
        <w:tc>
          <w:tcPr>
            <w:tcW w:w="468" w:type="pct"/>
            <w:vMerge w:val="restart"/>
            <w:tcBorders>
              <w:tl2br w:val="nil"/>
              <w:tr2bl w:val="nil"/>
            </w:tcBorders>
            <w:vAlign w:val="center"/>
          </w:tcPr>
          <w:p w14:paraId="27EA07D7">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环境功能区</w:t>
            </w:r>
          </w:p>
        </w:tc>
        <w:tc>
          <w:tcPr>
            <w:tcW w:w="1252" w:type="pct"/>
            <w:vMerge w:val="restart"/>
            <w:tcBorders>
              <w:tl2br w:val="nil"/>
              <w:tr2bl w:val="nil"/>
            </w:tcBorders>
            <w:vAlign w:val="center"/>
          </w:tcPr>
          <w:p w14:paraId="583B8F4E">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相对方位及距离</w:t>
            </w:r>
          </w:p>
        </w:tc>
      </w:tr>
      <w:tr w14:paraId="0862B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20" w:type="pct"/>
            <w:vMerge w:val="continue"/>
            <w:tcBorders>
              <w:tl2br w:val="nil"/>
              <w:tr2bl w:val="nil"/>
            </w:tcBorders>
            <w:vAlign w:val="center"/>
          </w:tcPr>
          <w:p w14:paraId="0C0028C9">
            <w:pPr>
              <w:autoSpaceDE/>
              <w:autoSpaceDN/>
              <w:spacing w:line="360" w:lineRule="exact"/>
              <w:jc w:val="center"/>
              <w:rPr>
                <w:rFonts w:ascii="Times New Roman" w:hAnsi="Times New Roman" w:cs="Times New Roman" w:eastAsiaTheme="minorEastAsia"/>
                <w:b/>
                <w:color w:val="000000" w:themeColor="text1"/>
                <w:w w:val="99"/>
                <w:kern w:val="2"/>
                <w:sz w:val="21"/>
                <w:szCs w:val="21"/>
                <w:lang w:val="en-US" w:bidi="ar-SA"/>
                <w14:textFill>
                  <w14:solidFill>
                    <w14:schemeClr w14:val="tx1"/>
                  </w14:solidFill>
                </w14:textFill>
              </w:rPr>
            </w:pPr>
          </w:p>
        </w:tc>
        <w:tc>
          <w:tcPr>
            <w:tcW w:w="703" w:type="pct"/>
            <w:tcBorders>
              <w:tl2br w:val="nil"/>
              <w:tr2bl w:val="nil"/>
            </w:tcBorders>
            <w:vAlign w:val="center"/>
          </w:tcPr>
          <w:p w14:paraId="7D29577F">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东经</w:t>
            </w:r>
          </w:p>
        </w:tc>
        <w:tc>
          <w:tcPr>
            <w:tcW w:w="628" w:type="pct"/>
            <w:tcBorders>
              <w:tl2br w:val="nil"/>
              <w:tr2bl w:val="nil"/>
            </w:tcBorders>
            <w:vAlign w:val="center"/>
          </w:tcPr>
          <w:p w14:paraId="360E90FC">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北纬</w:t>
            </w:r>
          </w:p>
        </w:tc>
        <w:tc>
          <w:tcPr>
            <w:tcW w:w="391" w:type="pct"/>
            <w:vMerge w:val="continue"/>
            <w:tcBorders>
              <w:tl2br w:val="nil"/>
              <w:tr2bl w:val="nil"/>
            </w:tcBorders>
            <w:vAlign w:val="center"/>
          </w:tcPr>
          <w:p w14:paraId="67DCD21C">
            <w:pPr>
              <w:autoSpaceDE/>
              <w:autoSpaceDN/>
              <w:spacing w:line="360" w:lineRule="exact"/>
              <w:jc w:val="center"/>
              <w:rPr>
                <w:rFonts w:ascii="Times New Roman" w:hAnsi="Times New Roman" w:cs="Times New Roman" w:eastAsiaTheme="minorEastAsia"/>
                <w:b/>
                <w:color w:val="000000" w:themeColor="text1"/>
                <w:w w:val="99"/>
                <w:kern w:val="2"/>
                <w:sz w:val="21"/>
                <w:szCs w:val="21"/>
                <w:lang w:val="en-US" w:bidi="ar-SA"/>
                <w14:textFill>
                  <w14:solidFill>
                    <w14:schemeClr w14:val="tx1"/>
                  </w14:solidFill>
                </w14:textFill>
              </w:rPr>
            </w:pPr>
          </w:p>
        </w:tc>
        <w:tc>
          <w:tcPr>
            <w:tcW w:w="938" w:type="pct"/>
            <w:vMerge w:val="continue"/>
            <w:tcBorders>
              <w:tl2br w:val="nil"/>
              <w:tr2bl w:val="nil"/>
            </w:tcBorders>
            <w:vAlign w:val="center"/>
          </w:tcPr>
          <w:p w14:paraId="1D756FB7">
            <w:pPr>
              <w:autoSpaceDE/>
              <w:autoSpaceDN/>
              <w:spacing w:line="360" w:lineRule="exact"/>
              <w:jc w:val="center"/>
              <w:rPr>
                <w:rFonts w:ascii="Times New Roman" w:hAnsi="Times New Roman" w:cs="Times New Roman" w:eastAsiaTheme="minorEastAsia"/>
                <w:b/>
                <w:color w:val="000000" w:themeColor="text1"/>
                <w:w w:val="99"/>
                <w:kern w:val="2"/>
                <w:sz w:val="21"/>
                <w:szCs w:val="21"/>
                <w:lang w:val="en-US" w:bidi="ar-SA"/>
                <w14:textFill>
                  <w14:solidFill>
                    <w14:schemeClr w14:val="tx1"/>
                  </w14:solidFill>
                </w14:textFill>
              </w:rPr>
            </w:pPr>
          </w:p>
        </w:tc>
        <w:tc>
          <w:tcPr>
            <w:tcW w:w="468" w:type="pct"/>
            <w:vMerge w:val="continue"/>
            <w:tcBorders>
              <w:tl2br w:val="nil"/>
              <w:tr2bl w:val="nil"/>
            </w:tcBorders>
            <w:vAlign w:val="center"/>
          </w:tcPr>
          <w:p w14:paraId="3D4B7667">
            <w:pPr>
              <w:autoSpaceDE/>
              <w:autoSpaceDN/>
              <w:spacing w:line="360" w:lineRule="exact"/>
              <w:jc w:val="center"/>
              <w:rPr>
                <w:rFonts w:ascii="Times New Roman" w:hAnsi="Times New Roman" w:cs="Times New Roman" w:eastAsiaTheme="minorEastAsia"/>
                <w:b/>
                <w:color w:val="000000" w:themeColor="text1"/>
                <w:w w:val="99"/>
                <w:kern w:val="2"/>
                <w:sz w:val="21"/>
                <w:szCs w:val="21"/>
                <w:lang w:val="en-US" w:bidi="ar-SA"/>
                <w14:textFill>
                  <w14:solidFill>
                    <w14:schemeClr w14:val="tx1"/>
                  </w14:solidFill>
                </w14:textFill>
              </w:rPr>
            </w:pPr>
          </w:p>
        </w:tc>
        <w:tc>
          <w:tcPr>
            <w:tcW w:w="1252" w:type="pct"/>
            <w:vMerge w:val="continue"/>
            <w:tcBorders>
              <w:tl2br w:val="nil"/>
              <w:tr2bl w:val="nil"/>
            </w:tcBorders>
            <w:vAlign w:val="center"/>
          </w:tcPr>
          <w:p w14:paraId="130A2CBB">
            <w:pPr>
              <w:autoSpaceDE/>
              <w:autoSpaceDN/>
              <w:spacing w:line="360" w:lineRule="exact"/>
              <w:jc w:val="center"/>
              <w:rPr>
                <w:rFonts w:ascii="Times New Roman" w:hAnsi="Times New Roman" w:cs="Times New Roman" w:eastAsiaTheme="minorEastAsia"/>
                <w:b/>
                <w:color w:val="000000" w:themeColor="text1"/>
                <w:w w:val="99"/>
                <w:kern w:val="2"/>
                <w:sz w:val="21"/>
                <w:szCs w:val="21"/>
                <w:lang w:val="en-US" w:bidi="ar-SA"/>
                <w14:textFill>
                  <w14:solidFill>
                    <w14:schemeClr w14:val="tx1"/>
                  </w14:solidFill>
                </w14:textFill>
              </w:rPr>
            </w:pPr>
          </w:p>
        </w:tc>
      </w:tr>
      <w:tr w14:paraId="0E65F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20" w:type="pct"/>
            <w:tcBorders>
              <w:tl2br w:val="nil"/>
              <w:tr2bl w:val="nil"/>
            </w:tcBorders>
            <w:vAlign w:val="center"/>
          </w:tcPr>
          <w:p w14:paraId="4E1B4BB6">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杏树岗村</w:t>
            </w:r>
          </w:p>
        </w:tc>
        <w:tc>
          <w:tcPr>
            <w:tcW w:w="703" w:type="pct"/>
            <w:tcBorders>
              <w:tl2br w:val="nil"/>
              <w:tr2bl w:val="nil"/>
            </w:tcBorders>
            <w:vAlign w:val="center"/>
          </w:tcPr>
          <w:p w14:paraId="08346EB2">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124.43437</w:t>
            </w:r>
          </w:p>
        </w:tc>
        <w:tc>
          <w:tcPr>
            <w:tcW w:w="628" w:type="pct"/>
            <w:tcBorders>
              <w:tl2br w:val="nil"/>
              <w:tr2bl w:val="nil"/>
            </w:tcBorders>
            <w:vAlign w:val="center"/>
          </w:tcPr>
          <w:p w14:paraId="5E875384">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46.31543</w:t>
            </w:r>
          </w:p>
        </w:tc>
        <w:tc>
          <w:tcPr>
            <w:tcW w:w="391" w:type="pct"/>
            <w:tcBorders>
              <w:tl2br w:val="nil"/>
              <w:tr2bl w:val="nil"/>
            </w:tcBorders>
            <w:vAlign w:val="center"/>
          </w:tcPr>
          <w:p w14:paraId="089BD948">
            <w:pPr>
              <w:autoSpaceDE/>
              <w:autoSpaceDN/>
              <w:spacing w:line="360" w:lineRule="exact"/>
              <w:jc w:val="center"/>
              <w:rPr>
                <w:rFonts w:ascii="Times New Roman" w:hAnsi="Times New Roman" w:cs="Times New Roman" w:eastAsiaTheme="minorEastAsia"/>
                <w:color w:val="000000" w:themeColor="text1"/>
                <w:w w:val="99"/>
                <w:lang w:val="en-US"/>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居民</w:t>
            </w:r>
          </w:p>
        </w:tc>
        <w:tc>
          <w:tcPr>
            <w:tcW w:w="938" w:type="pct"/>
            <w:tcBorders>
              <w:tl2br w:val="nil"/>
              <w:tr2bl w:val="nil"/>
            </w:tcBorders>
            <w:vAlign w:val="center"/>
          </w:tcPr>
          <w:p w14:paraId="5DEB48F7">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居民约180户，588人</w:t>
            </w:r>
          </w:p>
        </w:tc>
        <w:tc>
          <w:tcPr>
            <w:tcW w:w="468" w:type="pct"/>
            <w:tcBorders>
              <w:tl2br w:val="nil"/>
              <w:tr2bl w:val="nil"/>
            </w:tcBorders>
            <w:vAlign w:val="center"/>
          </w:tcPr>
          <w:p w14:paraId="265B1335">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二类</w:t>
            </w:r>
          </w:p>
        </w:tc>
        <w:tc>
          <w:tcPr>
            <w:tcW w:w="1252" w:type="pct"/>
            <w:tcBorders>
              <w:tl2br w:val="nil"/>
              <w:tr2bl w:val="nil"/>
            </w:tcBorders>
            <w:vAlign w:val="center"/>
          </w:tcPr>
          <w:p w14:paraId="0EFCAC2D">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龙27-斜6拉油点至新建混输阀组间集油管道南侧70m</w:t>
            </w:r>
          </w:p>
        </w:tc>
      </w:tr>
    </w:tbl>
    <w:p w14:paraId="79E56C5A">
      <w:pPr>
        <w:pStyle w:val="107"/>
        <w:tabs>
          <w:tab w:val="left" w:pos="1571"/>
        </w:tabs>
        <w:spacing w:before="60" w:after="60" w:line="440" w:lineRule="exact"/>
        <w:ind w:left="0" w:firstLine="0"/>
        <w:jc w:val="both"/>
        <w:outlineLvl w:val="2"/>
        <w:rPr>
          <w:rFonts w:ascii="Times New Roman" w:hAnsi="Times New Roman" w:cs="Times New Roman" w:eastAsiaTheme="minorEastAsia"/>
          <w:b/>
          <w:bCs/>
          <w:color w:val="000000" w:themeColor="text1"/>
          <w:w w:val="99"/>
          <w:sz w:val="24"/>
          <w:szCs w:val="24"/>
          <w14:textFill>
            <w14:solidFill>
              <w14:schemeClr w14:val="tx1"/>
            </w14:solidFill>
          </w14:textFill>
        </w:rPr>
      </w:pPr>
      <w:bookmarkStart w:id="76" w:name="_Toc117794539"/>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2.6.2 声环境评价范围及保护目标</w:t>
      </w:r>
      <w:bookmarkEnd w:id="76"/>
    </w:p>
    <w:p w14:paraId="717AB60C">
      <w:pPr>
        <w:pStyle w:val="107"/>
        <w:tabs>
          <w:tab w:val="left" w:pos="1571"/>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根据《环境影响评价技术导则 声环境》（HJ2.4-2021）的要求，结合建设项目特点，确定本工程声环境评价范围为管道中心线两侧各200m范围内的声环境。声环境保护目标具体见表2.6-2。声环境评价范围及</w:t>
      </w:r>
      <w:r>
        <w:rPr>
          <w:rFonts w:ascii="Times New Roman" w:hAnsi="Times New Roman" w:cs="Times New Roman" w:eastAsiaTheme="minorEastAsia"/>
          <w:color w:val="000000" w:themeColor="text1"/>
          <w:w w:val="99"/>
          <w:sz w:val="24"/>
          <w:szCs w:val="24"/>
          <w:lang w:val="en-US"/>
          <w14:textFill>
            <w14:solidFill>
              <w14:schemeClr w14:val="tx1"/>
            </w14:solidFill>
          </w14:textFill>
        </w:rPr>
        <w:t>保护目标分布见附图6。</w:t>
      </w:r>
    </w:p>
    <w:p w14:paraId="0BA6E638">
      <w:pPr>
        <w:pStyle w:val="107"/>
        <w:tabs>
          <w:tab w:val="left" w:pos="1571"/>
        </w:tabs>
        <w:spacing w:line="440" w:lineRule="exact"/>
        <w:ind w:left="440" w:leftChars="200" w:firstLine="0"/>
        <w:jc w:val="both"/>
        <w:rPr>
          <w:rFonts w:ascii="Times New Roman" w:hAnsi="Times New Roman" w:cs="Times New Roman" w:eastAsiaTheme="minorEastAsia"/>
          <w:b/>
          <w:bCs/>
          <w:color w:val="000000" w:themeColor="text1"/>
          <w:w w:val="99"/>
          <w:sz w:val="24"/>
          <w:szCs w:val="24"/>
          <w14:textFill>
            <w14:solidFill>
              <w14:schemeClr w14:val="tx1"/>
            </w14:solidFill>
          </w14:textFill>
        </w:rPr>
      </w:pPr>
      <w:r>
        <w:rPr>
          <w:rFonts w:ascii="Times New Roman" w:hAnsi="Times New Roman" w:cs="Times New Roman" w:eastAsiaTheme="minorEastAsia"/>
          <w:b/>
          <w:bCs/>
          <w:color w:val="000000" w:themeColor="text1"/>
          <w:w w:val="99"/>
          <w:sz w:val="24"/>
          <w:szCs w:val="24"/>
          <w14:textFill>
            <w14:solidFill>
              <w14:schemeClr w14:val="tx1"/>
            </w14:solidFill>
          </w14:textFill>
        </w:rPr>
        <w:t>表2.6-2</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 xml:space="preserve">    声环境保护目标调查表</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57" w:type="dxa"/>
          <w:bottom w:w="0" w:type="dxa"/>
          <w:right w:w="57" w:type="dxa"/>
        </w:tblCellMar>
      </w:tblPr>
      <w:tblGrid>
        <w:gridCol w:w="562"/>
        <w:gridCol w:w="876"/>
        <w:gridCol w:w="571"/>
        <w:gridCol w:w="720"/>
        <w:gridCol w:w="575"/>
        <w:gridCol w:w="1003"/>
        <w:gridCol w:w="1005"/>
        <w:gridCol w:w="1868"/>
        <w:gridCol w:w="2004"/>
      </w:tblGrid>
      <w:tr w14:paraId="5A016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306" w:type="pct"/>
            <w:vMerge w:val="restart"/>
            <w:vAlign w:val="center"/>
          </w:tcPr>
          <w:p w14:paraId="1CDAAF90">
            <w:pPr>
              <w:snapToGrid w:val="0"/>
              <w:spacing w:line="32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序号</w:t>
            </w:r>
          </w:p>
        </w:tc>
        <w:tc>
          <w:tcPr>
            <w:tcW w:w="477" w:type="pct"/>
            <w:vMerge w:val="restart"/>
            <w:vAlign w:val="center"/>
          </w:tcPr>
          <w:p w14:paraId="0C8DEA27">
            <w:pPr>
              <w:snapToGrid w:val="0"/>
              <w:spacing w:line="32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声环境保护目标名称</w:t>
            </w:r>
          </w:p>
        </w:tc>
        <w:tc>
          <w:tcPr>
            <w:tcW w:w="1016" w:type="pct"/>
            <w:gridSpan w:val="3"/>
            <w:vAlign w:val="center"/>
          </w:tcPr>
          <w:p w14:paraId="3B5C8E8B">
            <w:pPr>
              <w:snapToGrid w:val="0"/>
              <w:spacing w:line="32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空间相对位置/m</w:t>
            </w:r>
          </w:p>
        </w:tc>
        <w:tc>
          <w:tcPr>
            <w:tcW w:w="546" w:type="pct"/>
            <w:vMerge w:val="restart"/>
            <w:vAlign w:val="center"/>
          </w:tcPr>
          <w:p w14:paraId="68D5430F">
            <w:pPr>
              <w:snapToGrid w:val="0"/>
              <w:spacing w:line="32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距厂界最近距离/m</w:t>
            </w:r>
          </w:p>
        </w:tc>
        <w:tc>
          <w:tcPr>
            <w:tcW w:w="547" w:type="pct"/>
            <w:vMerge w:val="restart"/>
            <w:vAlign w:val="center"/>
          </w:tcPr>
          <w:p w14:paraId="587A8B1D">
            <w:pPr>
              <w:snapToGrid w:val="0"/>
              <w:spacing w:line="32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方位</w:t>
            </w:r>
          </w:p>
        </w:tc>
        <w:tc>
          <w:tcPr>
            <w:tcW w:w="1017" w:type="pct"/>
            <w:vMerge w:val="restart"/>
            <w:vAlign w:val="center"/>
          </w:tcPr>
          <w:p w14:paraId="7037AA41">
            <w:pPr>
              <w:snapToGrid w:val="0"/>
              <w:spacing w:line="32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执行标准/功能区类别</w:t>
            </w:r>
          </w:p>
        </w:tc>
        <w:tc>
          <w:tcPr>
            <w:tcW w:w="1091" w:type="pct"/>
            <w:vMerge w:val="restart"/>
            <w:vAlign w:val="center"/>
          </w:tcPr>
          <w:p w14:paraId="228B6DD6">
            <w:pPr>
              <w:snapToGrid w:val="0"/>
              <w:spacing w:line="32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声环境保护目标情况说明</w:t>
            </w:r>
          </w:p>
        </w:tc>
      </w:tr>
      <w:tr w14:paraId="71E80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306" w:type="pct"/>
            <w:vMerge w:val="continue"/>
            <w:vAlign w:val="center"/>
          </w:tcPr>
          <w:p w14:paraId="02A7CF16">
            <w:pPr>
              <w:snapToGrid w:val="0"/>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p>
        </w:tc>
        <w:tc>
          <w:tcPr>
            <w:tcW w:w="477" w:type="pct"/>
            <w:vMerge w:val="continue"/>
            <w:vAlign w:val="center"/>
          </w:tcPr>
          <w:p w14:paraId="7AC03BE8">
            <w:pPr>
              <w:snapToGrid w:val="0"/>
              <w:spacing w:line="32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p>
        </w:tc>
        <w:tc>
          <w:tcPr>
            <w:tcW w:w="311" w:type="pct"/>
            <w:vAlign w:val="center"/>
          </w:tcPr>
          <w:p w14:paraId="3BC726F9">
            <w:pPr>
              <w:snapToGrid w:val="0"/>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X</w:t>
            </w:r>
          </w:p>
        </w:tc>
        <w:tc>
          <w:tcPr>
            <w:tcW w:w="392" w:type="pct"/>
            <w:vAlign w:val="center"/>
          </w:tcPr>
          <w:p w14:paraId="622EFA64">
            <w:pPr>
              <w:snapToGrid w:val="0"/>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Y</w:t>
            </w:r>
          </w:p>
        </w:tc>
        <w:tc>
          <w:tcPr>
            <w:tcW w:w="313" w:type="pct"/>
            <w:vAlign w:val="center"/>
          </w:tcPr>
          <w:p w14:paraId="3F48C9A9">
            <w:pPr>
              <w:snapToGrid w:val="0"/>
              <w:spacing w:line="32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Z</w:t>
            </w:r>
          </w:p>
        </w:tc>
        <w:tc>
          <w:tcPr>
            <w:tcW w:w="546" w:type="pct"/>
            <w:vMerge w:val="continue"/>
            <w:vAlign w:val="center"/>
          </w:tcPr>
          <w:p w14:paraId="666D317B">
            <w:pPr>
              <w:snapToGrid w:val="0"/>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p>
        </w:tc>
        <w:tc>
          <w:tcPr>
            <w:tcW w:w="547" w:type="pct"/>
            <w:vMerge w:val="continue"/>
            <w:vAlign w:val="center"/>
          </w:tcPr>
          <w:p w14:paraId="06103AC4">
            <w:pPr>
              <w:snapToGrid w:val="0"/>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p>
        </w:tc>
        <w:tc>
          <w:tcPr>
            <w:tcW w:w="1017" w:type="pct"/>
            <w:vMerge w:val="continue"/>
            <w:vAlign w:val="center"/>
          </w:tcPr>
          <w:p w14:paraId="37AB2714">
            <w:pPr>
              <w:snapToGrid w:val="0"/>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p>
        </w:tc>
        <w:tc>
          <w:tcPr>
            <w:tcW w:w="1091" w:type="pct"/>
            <w:vMerge w:val="continue"/>
            <w:vAlign w:val="center"/>
          </w:tcPr>
          <w:p w14:paraId="3C06F4BF">
            <w:pPr>
              <w:snapToGrid w:val="0"/>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p>
        </w:tc>
      </w:tr>
      <w:tr w14:paraId="4707C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306" w:type="pct"/>
            <w:vAlign w:val="center"/>
          </w:tcPr>
          <w:p w14:paraId="6E20E97C">
            <w:pPr>
              <w:snapToGrid w:val="0"/>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1</w:t>
            </w:r>
          </w:p>
        </w:tc>
        <w:tc>
          <w:tcPr>
            <w:tcW w:w="477" w:type="pct"/>
            <w:vAlign w:val="center"/>
          </w:tcPr>
          <w:p w14:paraId="7FAA2E8F">
            <w:pPr>
              <w:snapToGrid w:val="0"/>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杏树岗村</w:t>
            </w:r>
          </w:p>
        </w:tc>
        <w:tc>
          <w:tcPr>
            <w:tcW w:w="311" w:type="pct"/>
            <w:vAlign w:val="center"/>
          </w:tcPr>
          <w:p w14:paraId="3EC90F2C">
            <w:pPr>
              <w:snapToGrid w:val="0"/>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-120</w:t>
            </w:r>
          </w:p>
        </w:tc>
        <w:tc>
          <w:tcPr>
            <w:tcW w:w="392" w:type="pct"/>
            <w:vAlign w:val="center"/>
          </w:tcPr>
          <w:p w14:paraId="4257E220">
            <w:pPr>
              <w:snapToGrid w:val="0"/>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0</w:t>
            </w:r>
          </w:p>
        </w:tc>
        <w:tc>
          <w:tcPr>
            <w:tcW w:w="313" w:type="pct"/>
            <w:vAlign w:val="center"/>
          </w:tcPr>
          <w:p w14:paraId="408AC8FB">
            <w:pPr>
              <w:snapToGrid w:val="0"/>
              <w:spacing w:line="32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1.5</w:t>
            </w:r>
          </w:p>
        </w:tc>
        <w:tc>
          <w:tcPr>
            <w:tcW w:w="546" w:type="pct"/>
            <w:vAlign w:val="center"/>
          </w:tcPr>
          <w:p w14:paraId="274D197B">
            <w:pPr>
              <w:snapToGrid w:val="0"/>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kern w:val="21"/>
                <w:sz w:val="21"/>
                <w:szCs w:val="21"/>
                <w14:textFill>
                  <w14:solidFill>
                    <w14:schemeClr w14:val="tx1"/>
                  </w14:solidFill>
                </w14:textFill>
              </w:rPr>
              <w:t>70m</w:t>
            </w:r>
          </w:p>
        </w:tc>
        <w:tc>
          <w:tcPr>
            <w:tcW w:w="547" w:type="pct"/>
            <w:vAlign w:val="center"/>
          </w:tcPr>
          <w:p w14:paraId="53D7446C">
            <w:pPr>
              <w:snapToGrid w:val="0"/>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14:textFill>
                  <w14:solidFill>
                    <w14:schemeClr w14:val="tx1"/>
                  </w14:solidFill>
                </w14:textFill>
              </w:rPr>
              <w:t>龙27-斜6拉油点至新建混输阀组间集油管道南侧</w:t>
            </w:r>
          </w:p>
        </w:tc>
        <w:tc>
          <w:tcPr>
            <w:tcW w:w="1017" w:type="pct"/>
            <w:vAlign w:val="center"/>
          </w:tcPr>
          <w:p w14:paraId="0468BAAE">
            <w:pPr>
              <w:snapToGrid w:val="0"/>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《声环境质量标准》（GB3096-2008）中1类标准</w:t>
            </w:r>
          </w:p>
        </w:tc>
        <w:tc>
          <w:tcPr>
            <w:tcW w:w="1091" w:type="pct"/>
            <w:vAlign w:val="center"/>
          </w:tcPr>
          <w:p w14:paraId="40CE57B6">
            <w:pPr>
              <w:snapToGrid w:val="0"/>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约180户，588人，单层砖混结构</w:t>
            </w:r>
            <w:r>
              <w:rPr>
                <w:rFonts w:ascii="Times New Roman" w:hAnsi="Times New Roman" w:cs="Times New Roman" w:eastAsiaTheme="minorEastAsia"/>
                <w:color w:val="000000" w:themeColor="text1"/>
                <w:w w:val="99"/>
                <w:sz w:val="21"/>
                <w:szCs w:val="21"/>
                <w14:textFill>
                  <w14:solidFill>
                    <w14:schemeClr w14:val="tx1"/>
                  </w14:solidFill>
                </w14:textFill>
              </w:rPr>
              <w:t>，</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杏树岗村四周均为耕地</w:t>
            </w:r>
          </w:p>
        </w:tc>
      </w:tr>
    </w:tbl>
    <w:p w14:paraId="110EBE7C">
      <w:pPr>
        <w:pStyle w:val="107"/>
        <w:tabs>
          <w:tab w:val="left" w:pos="1571"/>
        </w:tabs>
        <w:spacing w:before="60" w:after="60" w:line="440" w:lineRule="exact"/>
        <w:ind w:left="0" w:firstLine="0"/>
        <w:jc w:val="both"/>
        <w:outlineLvl w:val="2"/>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bookmarkStart w:id="77" w:name="_Toc117794540"/>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2.6.3 地下水环境评价范围及保护目标</w:t>
      </w:r>
      <w:bookmarkEnd w:id="77"/>
    </w:p>
    <w:p w14:paraId="7DAE6466">
      <w:pPr>
        <w:autoSpaceDE/>
        <w:autoSpaceDN/>
        <w:spacing w:line="440" w:lineRule="exact"/>
        <w:ind w:firstLine="474" w:firstLineChars="200"/>
        <w:rPr>
          <w:rFonts w:ascii="Times New Roman" w:hAnsi="Times New Roman" w:cs="Times New Roman" w:eastAsiaTheme="minorEastAsia"/>
          <w:snapToGrid w:val="0"/>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4"/>
          <w:szCs w:val="24"/>
          <w:lang w:val="en-US" w:bidi="ar-SA"/>
          <w14:textFill>
            <w14:solidFill>
              <w14:schemeClr w14:val="tx1"/>
            </w14:solidFill>
          </w14:textFill>
        </w:rPr>
        <w:t>根据《环境影响评价技术导则 地下水环境》（HJ610-2016），</w:t>
      </w:r>
      <w:r>
        <w:rPr>
          <w:rFonts w:ascii="Times New Roman" w:hAnsi="Times New Roman" w:cs="Times New Roman" w:eastAsiaTheme="minorEastAsia"/>
          <w:color w:val="000000" w:themeColor="text1"/>
          <w:w w:val="99"/>
          <w:sz w:val="24"/>
          <w:szCs w:val="24"/>
          <w14:textFill>
            <w14:solidFill>
              <w14:schemeClr w14:val="tx1"/>
            </w14:solidFill>
          </w14:textFill>
        </w:rPr>
        <w:t>线性工程以工程边界两侧外延伸200m作为评价范围，线性工程站场</w:t>
      </w:r>
      <w:r>
        <w:rPr>
          <w:rFonts w:ascii="Times New Roman" w:hAnsi="Times New Roman" w:cs="Times New Roman" w:eastAsiaTheme="minorEastAsia"/>
          <w:snapToGrid w:val="0"/>
          <w:color w:val="000000" w:themeColor="text1"/>
          <w:w w:val="99"/>
          <w:sz w:val="24"/>
          <w:szCs w:val="24"/>
          <w:lang w:val="en-US" w:bidi="ar-SA"/>
          <w14:textFill>
            <w14:solidFill>
              <w14:schemeClr w14:val="tx1"/>
            </w14:solidFill>
          </w14:textFill>
        </w:rPr>
        <w:t>采用公式法确定地下水评价范围。计算公式如下：</w:t>
      </w:r>
    </w:p>
    <w:p w14:paraId="264E9697">
      <w:pPr>
        <w:autoSpaceDE/>
        <w:autoSpaceDN/>
        <w:spacing w:line="440" w:lineRule="exact"/>
        <w:jc w:val="center"/>
        <w:rPr>
          <w:rFonts w:ascii="Times New Roman" w:hAnsi="Times New Roman" w:cs="Times New Roman" w:eastAsiaTheme="minorEastAsia"/>
          <w:snapToGrid w:val="0"/>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spacing w:val="-2"/>
          <w:w w:val="99"/>
          <w:sz w:val="24"/>
          <w:szCs w:val="24"/>
          <w:lang w:val="en-US" w:bidi="ar-SA"/>
          <w14:textFill>
            <w14:solidFill>
              <w14:schemeClr w14:val="tx1"/>
            </w14:solidFill>
          </w14:textFill>
        </w:rPr>
        <w:t>L=α</w:t>
      </w:r>
      <w:r>
        <w:rPr>
          <w:rFonts w:ascii="Times New Roman" w:hAnsi="Times New Roman" w:cs="Times New Roman" w:eastAsiaTheme="minorEastAsia"/>
          <w:color w:val="000000" w:themeColor="text1"/>
          <w:spacing w:val="-2"/>
          <w:w w:val="99"/>
          <w:sz w:val="24"/>
          <w:szCs w:val="24"/>
          <w:lang w:val="de-DE" w:bidi="ar-SA"/>
          <w14:textFill>
            <w14:solidFill>
              <w14:schemeClr w14:val="tx1"/>
            </w14:solidFill>
          </w14:textFill>
        </w:rPr>
        <w:t>×K×I×T/n</w:t>
      </w:r>
      <w:r>
        <w:rPr>
          <w:rFonts w:ascii="Times New Roman" w:hAnsi="Times New Roman" w:cs="Times New Roman" w:eastAsiaTheme="minorEastAsia"/>
          <w:color w:val="000000" w:themeColor="text1"/>
          <w:spacing w:val="-2"/>
          <w:w w:val="99"/>
          <w:sz w:val="24"/>
          <w:szCs w:val="24"/>
          <w:vertAlign w:val="subscript"/>
          <w:lang w:val="de-DE" w:bidi="ar-SA"/>
          <w14:textFill>
            <w14:solidFill>
              <w14:schemeClr w14:val="tx1"/>
            </w14:solidFill>
          </w14:textFill>
        </w:rPr>
        <w:t>e</w:t>
      </w:r>
    </w:p>
    <w:p w14:paraId="2FF3EA4F">
      <w:pPr>
        <w:autoSpaceDE/>
        <w:autoSpaceDN/>
        <w:spacing w:line="440" w:lineRule="exact"/>
        <w:ind w:firstLine="474" w:firstLineChars="200"/>
        <w:rPr>
          <w:rFonts w:ascii="Times New Roman" w:hAnsi="Times New Roman" w:cs="Times New Roman" w:eastAsiaTheme="minorEastAsia"/>
          <w:snapToGrid w:val="0"/>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4"/>
          <w:szCs w:val="24"/>
          <w:lang w:val="en-US" w:bidi="ar-SA"/>
          <w14:textFill>
            <w14:solidFill>
              <w14:schemeClr w14:val="tx1"/>
            </w14:solidFill>
          </w14:textFill>
        </w:rPr>
        <w:t>式中：L——下游迁移距离，m；</w:t>
      </w:r>
    </w:p>
    <w:p w14:paraId="3B70AF2B">
      <w:pPr>
        <w:autoSpaceDE/>
        <w:autoSpaceDN/>
        <w:spacing w:line="440" w:lineRule="exact"/>
        <w:ind w:firstLine="1185" w:firstLineChars="500"/>
        <w:rPr>
          <w:rFonts w:ascii="Times New Roman" w:hAnsi="Times New Roman" w:cs="Times New Roman" w:eastAsiaTheme="minorEastAsia"/>
          <w:snapToGrid w:val="0"/>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4"/>
          <w:szCs w:val="24"/>
          <w:lang w:val="en-US" w:bidi="ar-SA"/>
          <w14:textFill>
            <w14:solidFill>
              <w14:schemeClr w14:val="tx1"/>
            </w14:solidFill>
          </w14:textFill>
        </w:rPr>
        <w:t>a——变化系数，a≥1，一般取2，取2；</w:t>
      </w:r>
    </w:p>
    <w:p w14:paraId="6CFCCF9F">
      <w:pPr>
        <w:autoSpaceDE/>
        <w:autoSpaceDN/>
        <w:spacing w:line="440" w:lineRule="exact"/>
        <w:ind w:firstLine="1185" w:firstLineChars="500"/>
        <w:rPr>
          <w:rFonts w:ascii="Times New Roman" w:hAnsi="Times New Roman" w:cs="Times New Roman" w:eastAsiaTheme="minorEastAsia"/>
          <w:snapToGrid w:val="0"/>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4"/>
          <w:szCs w:val="24"/>
          <w:lang w:val="en-US" w:bidi="ar-SA"/>
          <w14:textFill>
            <w14:solidFill>
              <w14:schemeClr w14:val="tx1"/>
            </w14:solidFill>
          </w14:textFill>
        </w:rPr>
        <w:t>K——渗透系数，取5m/d；</w:t>
      </w:r>
    </w:p>
    <w:p w14:paraId="39B60025">
      <w:pPr>
        <w:autoSpaceDE/>
        <w:autoSpaceDN/>
        <w:spacing w:line="440" w:lineRule="exact"/>
        <w:ind w:firstLine="1185" w:firstLineChars="500"/>
        <w:rPr>
          <w:rFonts w:ascii="Times New Roman" w:hAnsi="Times New Roman" w:cs="Times New Roman" w:eastAsiaTheme="minorEastAsia"/>
          <w:snapToGrid w:val="0"/>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4"/>
          <w:szCs w:val="24"/>
          <w:lang w:val="en-US" w:bidi="ar-SA"/>
          <w14:textFill>
            <w14:solidFill>
              <w14:schemeClr w14:val="tx1"/>
            </w14:solidFill>
          </w14:textFill>
        </w:rPr>
        <w:t>I——水力坡度，无量纲，0.001；</w:t>
      </w:r>
    </w:p>
    <w:p w14:paraId="16306F2D">
      <w:pPr>
        <w:autoSpaceDE/>
        <w:autoSpaceDN/>
        <w:spacing w:line="440" w:lineRule="exact"/>
        <w:ind w:firstLine="1185" w:firstLineChars="500"/>
        <w:rPr>
          <w:rFonts w:ascii="Times New Roman" w:hAnsi="Times New Roman" w:cs="Times New Roman" w:eastAsiaTheme="minorEastAsia"/>
          <w:snapToGrid w:val="0"/>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4"/>
          <w:szCs w:val="24"/>
          <w:lang w:val="en-US" w:bidi="ar-SA"/>
          <w14:textFill>
            <w14:solidFill>
              <w14:schemeClr w14:val="tx1"/>
            </w14:solidFill>
          </w14:textFill>
        </w:rPr>
        <w:t>T——质点迁移天数，取值不小于5000d，取5000d；</w:t>
      </w:r>
    </w:p>
    <w:p w14:paraId="5B25BBC1">
      <w:pPr>
        <w:autoSpaceDE/>
        <w:autoSpaceDN/>
        <w:spacing w:line="440" w:lineRule="exact"/>
        <w:ind w:firstLine="1185" w:firstLineChars="500"/>
        <w:rPr>
          <w:rFonts w:ascii="Times New Roman" w:hAnsi="Times New Roman" w:cs="Times New Roman" w:eastAsiaTheme="minorEastAsia"/>
          <w:snapToGrid w:val="0"/>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4"/>
          <w:szCs w:val="24"/>
          <w:lang w:val="en-US" w:bidi="ar-SA"/>
          <w14:textFill>
            <w14:solidFill>
              <w14:schemeClr w14:val="tx1"/>
            </w14:solidFill>
          </w14:textFill>
        </w:rPr>
        <w:t>n</w:t>
      </w:r>
      <w:r>
        <w:rPr>
          <w:rFonts w:ascii="Times New Roman" w:hAnsi="Times New Roman" w:cs="Times New Roman" w:eastAsiaTheme="minorEastAsia"/>
          <w:snapToGrid w:val="0"/>
          <w:color w:val="000000" w:themeColor="text1"/>
          <w:w w:val="99"/>
          <w:sz w:val="24"/>
          <w:szCs w:val="24"/>
          <w:vertAlign w:val="subscript"/>
          <w:lang w:val="en-US" w:bidi="ar-SA"/>
          <w14:textFill>
            <w14:solidFill>
              <w14:schemeClr w14:val="tx1"/>
            </w14:solidFill>
          </w14:textFill>
        </w:rPr>
        <w:t>e</w:t>
      </w:r>
      <w:r>
        <w:rPr>
          <w:rFonts w:ascii="Times New Roman" w:hAnsi="Times New Roman" w:cs="Times New Roman" w:eastAsiaTheme="minorEastAsia"/>
          <w:snapToGrid w:val="0"/>
          <w:color w:val="000000" w:themeColor="text1"/>
          <w:w w:val="99"/>
          <w:sz w:val="24"/>
          <w:szCs w:val="24"/>
          <w:lang w:val="en-US" w:bidi="ar-SA"/>
          <w14:textFill>
            <w14:solidFill>
              <w14:schemeClr w14:val="tx1"/>
            </w14:solidFill>
          </w14:textFill>
        </w:rPr>
        <w:t>——有效孔隙度，无量纲，取0.3。</w:t>
      </w:r>
    </w:p>
    <w:p w14:paraId="51A0D3F9">
      <w:pPr>
        <w:autoSpaceDE/>
        <w:autoSpaceDN/>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snapToGrid w:val="0"/>
          <w:color w:val="000000" w:themeColor="text1"/>
          <w:w w:val="99"/>
          <w:sz w:val="24"/>
          <w:szCs w:val="24"/>
          <w:lang w:val="en-US" w:bidi="ar-SA"/>
          <w14:textFill>
            <w14:solidFill>
              <w14:schemeClr w14:val="tx1"/>
            </w14:solidFill>
          </w14:textFill>
        </w:rPr>
        <w:t>由此计算L＝166.7m，</w:t>
      </w:r>
      <w:r>
        <w:rPr>
          <w:rFonts w:ascii="Times New Roman" w:hAnsi="Times New Roman" w:cs="Times New Roman" w:eastAsiaTheme="minorEastAsia"/>
          <w:snapToGrid w:val="0"/>
          <w:color w:val="000000" w:themeColor="text1"/>
          <w:w w:val="99"/>
          <w:sz w:val="24"/>
          <w:szCs w:val="24"/>
          <w14:textFill>
            <w14:solidFill>
              <w14:schemeClr w14:val="tx1"/>
            </w14:solidFill>
          </w14:textFill>
        </w:rPr>
        <w:t>结合该区域地下水流向</w:t>
      </w:r>
      <w:r>
        <w:rPr>
          <w:rFonts w:ascii="Times New Roman" w:hAnsi="Times New Roman" w:cs="Times New Roman" w:eastAsiaTheme="minorEastAsia"/>
          <w:color w:val="000000" w:themeColor="text1"/>
          <w:w w:val="99"/>
          <w:sz w:val="24"/>
          <w:szCs w:val="24"/>
          <w14:textFill>
            <w14:solidFill>
              <w14:schemeClr w14:val="tx1"/>
            </w14:solidFill>
          </w14:textFill>
        </w:rPr>
        <w:t>及周边的地下水环境保护目标分布情况，最终确定本项目的地下水评价范围为128.83km</w:t>
      </w:r>
      <w:r>
        <w:rPr>
          <w:rFonts w:ascii="Times New Roman" w:hAnsi="Times New Roman" w:cs="Times New Roman" w:eastAsiaTheme="minorEastAsia"/>
          <w:color w:val="000000" w:themeColor="text1"/>
          <w:w w:val="99"/>
          <w:sz w:val="24"/>
          <w:szCs w:val="24"/>
          <w:vertAlign w:val="superscript"/>
          <w14:textFill>
            <w14:solidFill>
              <w14:schemeClr w14:val="tx1"/>
            </w14:solidFill>
          </w14:textFill>
        </w:rPr>
        <w:t>2</w:t>
      </w:r>
      <w:r>
        <w:rPr>
          <w:rFonts w:ascii="Times New Roman" w:hAnsi="Times New Roman" w:cs="Times New Roman" w:eastAsiaTheme="minorEastAsia"/>
          <w:color w:val="000000" w:themeColor="text1"/>
          <w:w w:val="99"/>
          <w:sz w:val="24"/>
          <w:szCs w:val="24"/>
          <w14:textFill>
            <w14:solidFill>
              <w14:schemeClr w14:val="tx1"/>
            </w14:solidFill>
          </w14:textFill>
        </w:rPr>
        <w:t>。地下水环境保护目标详见表2.6-</w:t>
      </w:r>
      <w:r>
        <w:rPr>
          <w:rFonts w:ascii="Times New Roman" w:hAnsi="Times New Roman" w:cs="Times New Roman" w:eastAsiaTheme="minorEastAsia"/>
          <w:color w:val="000000" w:themeColor="text1"/>
          <w:w w:val="99"/>
          <w:sz w:val="24"/>
          <w:szCs w:val="24"/>
          <w:lang w:val="en-US"/>
          <w14:textFill>
            <w14:solidFill>
              <w14:schemeClr w14:val="tx1"/>
            </w14:solidFill>
          </w14:textFill>
        </w:rPr>
        <w:t>3，</w:t>
      </w:r>
      <w:r>
        <w:rPr>
          <w:rFonts w:ascii="Times New Roman" w:hAnsi="Times New Roman" w:cs="Times New Roman" w:eastAsiaTheme="minorEastAsia"/>
          <w:color w:val="000000" w:themeColor="text1"/>
          <w:w w:val="99"/>
          <w:sz w:val="24"/>
          <w:szCs w:val="24"/>
          <w14:textFill>
            <w14:solidFill>
              <w14:schemeClr w14:val="tx1"/>
            </w14:solidFill>
          </w14:textFill>
        </w:rPr>
        <w:t>地下水评价范围及保护目标分布见附图</w:t>
      </w:r>
      <w:r>
        <w:rPr>
          <w:rFonts w:ascii="Times New Roman" w:hAnsi="Times New Roman" w:cs="Times New Roman" w:eastAsiaTheme="minorEastAsia"/>
          <w:color w:val="000000" w:themeColor="text1"/>
          <w:w w:val="99"/>
          <w:sz w:val="24"/>
          <w:szCs w:val="24"/>
          <w:lang w:val="en-US"/>
          <w14:textFill>
            <w14:solidFill>
              <w14:schemeClr w14:val="tx1"/>
            </w14:solidFill>
          </w14:textFill>
        </w:rPr>
        <w:t>6</w:t>
      </w:r>
      <w:r>
        <w:rPr>
          <w:rFonts w:ascii="Times New Roman" w:hAnsi="Times New Roman" w:cs="Times New Roman" w:eastAsiaTheme="minorEastAsia"/>
          <w:color w:val="000000" w:themeColor="text1"/>
          <w:w w:val="99"/>
          <w:sz w:val="24"/>
          <w:szCs w:val="24"/>
          <w14:textFill>
            <w14:solidFill>
              <w14:schemeClr w14:val="tx1"/>
            </w14:solidFill>
          </w14:textFill>
        </w:rPr>
        <w:t>。</w:t>
      </w:r>
    </w:p>
    <w:p w14:paraId="21F0D0C6">
      <w:pPr>
        <w:pStyle w:val="107"/>
        <w:tabs>
          <w:tab w:val="left" w:pos="1571"/>
        </w:tabs>
        <w:spacing w:line="440" w:lineRule="exact"/>
        <w:ind w:left="0" w:firstLine="476" w:firstLineChars="200"/>
        <w:jc w:val="both"/>
        <w:rPr>
          <w:rFonts w:ascii="Times New Roman" w:hAnsi="Times New Roman" w:cs="Times New Roman" w:eastAsiaTheme="minorEastAsia"/>
          <w:b/>
          <w:bCs/>
          <w:color w:val="000000" w:themeColor="text1"/>
          <w:w w:val="99"/>
          <w:sz w:val="24"/>
          <w:szCs w:val="24"/>
          <w14:textFill>
            <w14:solidFill>
              <w14:schemeClr w14:val="tx1"/>
            </w14:solidFill>
          </w14:textFill>
        </w:rPr>
      </w:pPr>
      <w:r>
        <w:rPr>
          <w:rFonts w:ascii="Times New Roman" w:hAnsi="Times New Roman" w:cs="Times New Roman" w:eastAsiaTheme="minorEastAsia"/>
          <w:b/>
          <w:bCs/>
          <w:color w:val="000000" w:themeColor="text1"/>
          <w:w w:val="99"/>
          <w:sz w:val="24"/>
          <w:szCs w:val="24"/>
          <w14:textFill>
            <w14:solidFill>
              <w14:schemeClr w14:val="tx1"/>
            </w14:solidFill>
          </w14:textFill>
        </w:rPr>
        <w:t>表2.6-3      地下水环境保护目标表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77"/>
        <w:gridCol w:w="838"/>
        <w:gridCol w:w="1374"/>
        <w:gridCol w:w="4910"/>
        <w:gridCol w:w="1385"/>
      </w:tblGrid>
      <w:tr w14:paraId="323EA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395" w:type="pct"/>
            <w:vAlign w:val="center"/>
          </w:tcPr>
          <w:p w14:paraId="2E860330">
            <w:pPr>
              <w:kinsoku w:val="0"/>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环境要素</w:t>
            </w:r>
          </w:p>
        </w:tc>
        <w:tc>
          <w:tcPr>
            <w:tcW w:w="483" w:type="pct"/>
            <w:vAlign w:val="center"/>
          </w:tcPr>
          <w:p w14:paraId="6635184F">
            <w:pPr>
              <w:kinsoku w:val="0"/>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保护</w:t>
            </w:r>
          </w:p>
          <w:p w14:paraId="1DF280AB">
            <w:pPr>
              <w:kinsoku w:val="0"/>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目标</w:t>
            </w:r>
          </w:p>
        </w:tc>
        <w:tc>
          <w:tcPr>
            <w:tcW w:w="774" w:type="pct"/>
            <w:vAlign w:val="center"/>
          </w:tcPr>
          <w:p w14:paraId="7B3EDE29">
            <w:pPr>
              <w:kinsoku w:val="0"/>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最近方位</w:t>
            </w:r>
          </w:p>
          <w:p w14:paraId="35DDB405">
            <w:pPr>
              <w:kinsoku w:val="0"/>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及距离</w:t>
            </w:r>
          </w:p>
        </w:tc>
        <w:tc>
          <w:tcPr>
            <w:tcW w:w="2699" w:type="pct"/>
            <w:vAlign w:val="center"/>
          </w:tcPr>
          <w:p w14:paraId="154FF7AA">
            <w:pPr>
              <w:kinsoku w:val="0"/>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规模</w:t>
            </w:r>
          </w:p>
        </w:tc>
        <w:tc>
          <w:tcPr>
            <w:tcW w:w="649" w:type="pct"/>
            <w:vAlign w:val="center"/>
          </w:tcPr>
          <w:p w14:paraId="37DCF20D">
            <w:pPr>
              <w:kinsoku w:val="0"/>
              <w:autoSpaceDE/>
              <w:autoSpaceDN/>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保护标准及保护级别</w:t>
            </w:r>
          </w:p>
        </w:tc>
      </w:tr>
      <w:tr w14:paraId="1A4C0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395" w:type="pct"/>
            <w:vMerge w:val="restart"/>
            <w:vAlign w:val="center"/>
          </w:tcPr>
          <w:p w14:paraId="28875FA9">
            <w:pPr>
              <w:kinsoku w:val="0"/>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地下水环境</w:t>
            </w:r>
          </w:p>
        </w:tc>
        <w:tc>
          <w:tcPr>
            <w:tcW w:w="483" w:type="pct"/>
            <w:vAlign w:val="center"/>
          </w:tcPr>
          <w:p w14:paraId="6C6DAF55">
            <w:pPr>
              <w:kinsoku w:val="0"/>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好尔陶牧场水井</w:t>
            </w:r>
          </w:p>
        </w:tc>
        <w:tc>
          <w:tcPr>
            <w:tcW w:w="774" w:type="pct"/>
            <w:vAlign w:val="center"/>
          </w:tcPr>
          <w:p w14:paraId="46EC4105">
            <w:pPr>
              <w:kinsoku w:val="0"/>
              <w:autoSpaceDE/>
              <w:autoSpaceDN/>
              <w:spacing w:line="360" w:lineRule="exact"/>
              <w:jc w:val="both"/>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11号平台至龙一联合站集油管道西北侧2915m</w:t>
            </w:r>
          </w:p>
        </w:tc>
        <w:tc>
          <w:tcPr>
            <w:tcW w:w="2699" w:type="pct"/>
            <w:vAlign w:val="center"/>
          </w:tcPr>
          <w:p w14:paraId="70874171">
            <w:pPr>
              <w:kinsoku w:val="0"/>
              <w:autoSpaceDE/>
              <w:autoSpaceDN/>
              <w:snapToGrid w:val="0"/>
              <w:spacing w:line="360" w:lineRule="exact"/>
              <w:jc w:val="both"/>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14:textFill>
                  <w14:solidFill>
                    <w14:schemeClr w14:val="tx1"/>
                  </w14:solidFill>
                </w14:textFill>
              </w:rPr>
              <w:t>牧场</w:t>
            </w: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内由</w:t>
            </w:r>
            <w:r>
              <w:rPr>
                <w:rFonts w:hint="eastAsia" w:ascii="Times New Roman" w:hAnsi="Times New Roman" w:cs="Times New Roman" w:eastAsiaTheme="minorEastAsia"/>
                <w:color w:val="000000" w:themeColor="text1"/>
                <w:w w:val="99"/>
                <w:kern w:val="2"/>
                <w:sz w:val="21"/>
                <w:szCs w:val="21"/>
                <w:lang w:val="en-US"/>
                <w14:textFill>
                  <w14:solidFill>
                    <w14:schemeClr w14:val="tx1"/>
                  </w14:solidFill>
                </w14:textFill>
              </w:rPr>
              <w:t>1口</w:t>
            </w: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饮用水源井统一供水，供水覆盖率100%，井位坐标为东经124°24′22.968″，北纬46°22′59.664″，位于</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11号平台至龙一联合站集油管道西北侧2930m</w:t>
            </w: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，井深135m，承压水，供水人数约10人。牧场内有</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3口潜水井，井深18m左右，用于喂养牲畜及灌溉，不饮用。</w:t>
            </w:r>
          </w:p>
        </w:tc>
        <w:tc>
          <w:tcPr>
            <w:tcW w:w="649" w:type="pct"/>
            <w:vMerge w:val="restart"/>
            <w:vAlign w:val="center"/>
          </w:tcPr>
          <w:p w14:paraId="0FE68A15">
            <w:pPr>
              <w:kinsoku w:val="0"/>
              <w:autoSpaceDE/>
              <w:autoSpaceDN/>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《地下水质量标准》（GB/T14848-2017）III类</w:t>
            </w:r>
          </w:p>
        </w:tc>
      </w:tr>
      <w:tr w14:paraId="4F50F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395" w:type="pct"/>
            <w:vMerge w:val="continue"/>
            <w:vAlign w:val="center"/>
          </w:tcPr>
          <w:p w14:paraId="72EF69D1">
            <w:pPr>
              <w:kinsoku w:val="0"/>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483" w:type="pct"/>
            <w:vAlign w:val="center"/>
          </w:tcPr>
          <w:p w14:paraId="65BB7EC5">
            <w:pPr>
              <w:kinsoku w:val="0"/>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双榆树水井</w:t>
            </w:r>
          </w:p>
        </w:tc>
        <w:tc>
          <w:tcPr>
            <w:tcW w:w="774" w:type="pct"/>
            <w:vAlign w:val="center"/>
          </w:tcPr>
          <w:p w14:paraId="64FB318B">
            <w:pPr>
              <w:kinsoku w:val="0"/>
              <w:autoSpaceDE/>
              <w:autoSpaceDN/>
              <w:spacing w:line="360" w:lineRule="exact"/>
              <w:jc w:val="both"/>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龙27-1号拉油点1号平台至龙27-斜6拉油点集油管道东北侧1445m</w:t>
            </w:r>
          </w:p>
        </w:tc>
        <w:tc>
          <w:tcPr>
            <w:tcW w:w="2699" w:type="pct"/>
            <w:vAlign w:val="center"/>
          </w:tcPr>
          <w:p w14:paraId="13A88381">
            <w:pPr>
              <w:kinsoku w:val="0"/>
              <w:autoSpaceDE/>
              <w:autoSpaceDN/>
              <w:snapToGrid w:val="0"/>
              <w:spacing w:line="360" w:lineRule="exact"/>
              <w:jc w:val="both"/>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村屯内居民均由</w:t>
            </w: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双榆树内</w:t>
            </w:r>
            <w:r>
              <w:rPr>
                <w:rFonts w:ascii="Times New Roman" w:hAnsi="Times New Roman" w:cs="Times New Roman" w:eastAsiaTheme="minorEastAsia"/>
                <w:color w:val="000000" w:themeColor="text1"/>
                <w:w w:val="99"/>
                <w:kern w:val="2"/>
                <w:sz w:val="21"/>
                <w:szCs w:val="21"/>
                <w14:textFill>
                  <w14:solidFill>
                    <w14:schemeClr w14:val="tx1"/>
                  </w14:solidFill>
                </w14:textFill>
              </w:rPr>
              <w:t>饮用水源井</w:t>
            </w:r>
            <w:r>
              <w:rPr>
                <w:rFonts w:hint="eastAsia" w:ascii="Times New Roman" w:hAnsi="Times New Roman" w:cs="Times New Roman" w:eastAsiaTheme="minorEastAsia"/>
                <w:color w:val="000000" w:themeColor="text1"/>
                <w:w w:val="99"/>
                <w:kern w:val="2"/>
                <w:sz w:val="21"/>
                <w:szCs w:val="21"/>
                <w14:textFill>
                  <w14:solidFill>
                    <w14:schemeClr w14:val="tx1"/>
                  </w14:solidFill>
                </w14:textFill>
              </w:rPr>
              <w:t>集中</w:t>
            </w:r>
            <w:r>
              <w:rPr>
                <w:rFonts w:ascii="Times New Roman" w:hAnsi="Times New Roman" w:cs="Times New Roman" w:eastAsiaTheme="minorEastAsia"/>
                <w:color w:val="000000" w:themeColor="text1"/>
                <w:w w:val="99"/>
                <w:kern w:val="2"/>
                <w:sz w:val="21"/>
                <w:szCs w:val="21"/>
                <w14:textFill>
                  <w14:solidFill>
                    <w14:schemeClr w14:val="tx1"/>
                  </w14:solidFill>
                </w14:textFill>
              </w:rPr>
              <w:t>供水，供水覆盖率100%，井位坐标为东经124°27′50.91″，北纬46°20′23.51″，位于</w:t>
            </w: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龙27-1号拉油点1号平台至龙27-斜6拉油点集油管道东北侧1789m</w:t>
            </w:r>
            <w:r>
              <w:rPr>
                <w:rFonts w:ascii="Times New Roman" w:hAnsi="Times New Roman" w:cs="Times New Roman" w:eastAsiaTheme="minorEastAsia"/>
                <w:color w:val="000000" w:themeColor="text1"/>
                <w:w w:val="99"/>
                <w:kern w:val="2"/>
                <w:sz w:val="21"/>
                <w:szCs w:val="21"/>
                <w14:textFill>
                  <w14:solidFill>
                    <w14:schemeClr w14:val="tx1"/>
                  </w14:solidFill>
                </w14:textFill>
              </w:rPr>
              <w:t>，井深130m，承压水，供水人数约185人。村民自家均有自打井，约45口，井深15-80m，用于喂养牲畜及</w:t>
            </w:r>
            <w:r>
              <w:rPr>
                <w:rFonts w:hint="eastAsia" w:ascii="Times New Roman" w:hAnsi="Times New Roman" w:cs="Times New Roman" w:eastAsiaTheme="minorEastAsia"/>
                <w:color w:val="000000" w:themeColor="text1"/>
                <w:w w:val="99"/>
                <w:kern w:val="2"/>
                <w:sz w:val="21"/>
                <w:szCs w:val="21"/>
                <w14:textFill>
                  <w14:solidFill>
                    <w14:schemeClr w14:val="tx1"/>
                  </w14:solidFill>
                </w14:textFill>
              </w:rPr>
              <w:t>灌溉</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649" w:type="pct"/>
            <w:vMerge w:val="continue"/>
            <w:vAlign w:val="center"/>
          </w:tcPr>
          <w:p w14:paraId="42C9B5D1">
            <w:pPr>
              <w:kinsoku w:val="0"/>
              <w:autoSpaceDE/>
              <w:autoSpaceDN/>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0BCB2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395" w:type="pct"/>
            <w:vMerge w:val="continue"/>
            <w:vAlign w:val="center"/>
          </w:tcPr>
          <w:p w14:paraId="7032FA61">
            <w:pPr>
              <w:kinsoku w:val="0"/>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483" w:type="pct"/>
            <w:vAlign w:val="center"/>
          </w:tcPr>
          <w:p w14:paraId="6EBC4D20">
            <w:pPr>
              <w:kinsoku w:val="0"/>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龙虎岗村水井</w:t>
            </w:r>
          </w:p>
        </w:tc>
        <w:tc>
          <w:tcPr>
            <w:tcW w:w="774" w:type="pct"/>
            <w:vAlign w:val="center"/>
          </w:tcPr>
          <w:p w14:paraId="48E7C86C">
            <w:pPr>
              <w:kinsoku w:val="0"/>
              <w:autoSpaceDE/>
              <w:autoSpaceDN/>
              <w:spacing w:line="360" w:lineRule="exact"/>
              <w:jc w:val="both"/>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5号拉油点至汇合点1集油管道</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西北侧2947m</w:t>
            </w:r>
          </w:p>
        </w:tc>
        <w:tc>
          <w:tcPr>
            <w:tcW w:w="2699" w:type="pct"/>
            <w:vAlign w:val="center"/>
          </w:tcPr>
          <w:p w14:paraId="7F00C48D">
            <w:pPr>
              <w:kinsoku w:val="0"/>
              <w:autoSpaceDE/>
              <w:autoSpaceDN/>
              <w:snapToGrid w:val="0"/>
              <w:spacing w:line="360" w:lineRule="exact"/>
              <w:jc w:val="both"/>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村屯内居民均由</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龙虎岗村</w:t>
            </w:r>
            <w:r>
              <w:rPr>
                <w:rFonts w:hint="eastAsia" w:ascii="Times New Roman" w:hAnsi="Times New Roman" w:cs="Times New Roman" w:eastAsiaTheme="minorEastAsia"/>
                <w:color w:val="000000" w:themeColor="text1"/>
                <w:w w:val="99"/>
                <w:kern w:val="2"/>
                <w:sz w:val="21"/>
                <w:szCs w:val="21"/>
                <w:lang w:val="en-US"/>
                <w14:textFill>
                  <w14:solidFill>
                    <w14:schemeClr w14:val="tx1"/>
                  </w14:solidFill>
                </w14:textFill>
              </w:rPr>
              <w:t>内</w:t>
            </w: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饮用水源井集中供水，供水覆盖率100%，井位坐标为东经124°21′33.65″，北纬46°19′29.21″，位于5号拉油点至汇合点1集油管道</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西北侧3554m</w:t>
            </w: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，井深140m，承压水，供水人数约436人。村民自家均有自打井，约106口，井深15-80m，用于喂养牲畜及灌</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649" w:type="pct"/>
            <w:vMerge w:val="continue"/>
            <w:vAlign w:val="center"/>
          </w:tcPr>
          <w:p w14:paraId="5B8155F3">
            <w:pPr>
              <w:kinsoku w:val="0"/>
              <w:autoSpaceDE/>
              <w:autoSpaceDN/>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74000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395" w:type="pct"/>
            <w:vMerge w:val="continue"/>
            <w:vAlign w:val="center"/>
          </w:tcPr>
          <w:p w14:paraId="0BB7BD6F">
            <w:pPr>
              <w:kinsoku w:val="0"/>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483" w:type="pct"/>
            <w:vAlign w:val="center"/>
          </w:tcPr>
          <w:p w14:paraId="22EB13EF">
            <w:pPr>
              <w:kinsoku w:val="0"/>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杏树岗村水井</w:t>
            </w:r>
          </w:p>
        </w:tc>
        <w:tc>
          <w:tcPr>
            <w:tcW w:w="774" w:type="pct"/>
            <w:vAlign w:val="center"/>
          </w:tcPr>
          <w:p w14:paraId="2F686BAD">
            <w:pPr>
              <w:kinsoku w:val="0"/>
              <w:autoSpaceDE/>
              <w:autoSpaceDN/>
              <w:spacing w:line="360" w:lineRule="exact"/>
              <w:jc w:val="both"/>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龙27-斜6拉油点至新建混输阀组间集油管道南侧70m</w:t>
            </w:r>
          </w:p>
        </w:tc>
        <w:tc>
          <w:tcPr>
            <w:tcW w:w="2699" w:type="pct"/>
            <w:vAlign w:val="center"/>
          </w:tcPr>
          <w:p w14:paraId="53F799FF">
            <w:pPr>
              <w:kinsoku w:val="0"/>
              <w:autoSpaceDE/>
              <w:autoSpaceDN/>
              <w:snapToGrid w:val="0"/>
              <w:spacing w:line="360" w:lineRule="exact"/>
              <w:jc w:val="both"/>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村屯内居民均由</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杏树岗村</w:t>
            </w:r>
            <w:r>
              <w:rPr>
                <w:rFonts w:hint="eastAsia" w:ascii="Times New Roman" w:hAnsi="Times New Roman" w:cs="Times New Roman" w:eastAsiaTheme="minorEastAsia"/>
                <w:color w:val="000000" w:themeColor="text1"/>
                <w:w w:val="99"/>
                <w:kern w:val="2"/>
                <w:sz w:val="21"/>
                <w:szCs w:val="21"/>
                <w:lang w:val="en-US"/>
                <w14:textFill>
                  <w14:solidFill>
                    <w14:schemeClr w14:val="tx1"/>
                  </w14:solidFill>
                </w14:textFill>
              </w:rPr>
              <w:t>内</w:t>
            </w: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饮用水源井集中供水，供水覆盖率100%，井位坐标为东经124°25′58.56″，北纬46°18′47.25″，位于</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龙27-斜6拉油点至新建混输阀组间集油管道南侧989m</w:t>
            </w: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，井深110m，承压水，供水人数约795人。村民自家均有自打井，约203口，井深15-80m，用于喂养牲畜及灌</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649" w:type="pct"/>
            <w:vMerge w:val="continue"/>
            <w:vAlign w:val="center"/>
          </w:tcPr>
          <w:p w14:paraId="5CDBB6C8">
            <w:pPr>
              <w:kinsoku w:val="0"/>
              <w:autoSpaceDE/>
              <w:autoSpaceDN/>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422A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395" w:type="pct"/>
            <w:vMerge w:val="continue"/>
            <w:vAlign w:val="center"/>
          </w:tcPr>
          <w:p w14:paraId="41041868">
            <w:pPr>
              <w:kinsoku w:val="0"/>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483" w:type="pct"/>
            <w:vAlign w:val="center"/>
          </w:tcPr>
          <w:p w14:paraId="552925D2">
            <w:pPr>
              <w:kinsoku w:val="0"/>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东好利保村水井</w:t>
            </w:r>
          </w:p>
        </w:tc>
        <w:tc>
          <w:tcPr>
            <w:tcW w:w="774" w:type="pct"/>
            <w:vAlign w:val="center"/>
          </w:tcPr>
          <w:p w14:paraId="269CD38A">
            <w:pPr>
              <w:kinsoku w:val="0"/>
              <w:autoSpaceDE/>
              <w:autoSpaceDN/>
              <w:spacing w:line="360" w:lineRule="exact"/>
              <w:jc w:val="both"/>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8号拉油点至汇合点4集油管道西南侧</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3130m</w:t>
            </w:r>
          </w:p>
        </w:tc>
        <w:tc>
          <w:tcPr>
            <w:tcW w:w="2699" w:type="pct"/>
            <w:vAlign w:val="center"/>
          </w:tcPr>
          <w:p w14:paraId="696C1E56">
            <w:pPr>
              <w:kinsoku w:val="0"/>
              <w:autoSpaceDE/>
              <w:autoSpaceDN/>
              <w:spacing w:line="360" w:lineRule="exact"/>
              <w:jc w:val="both"/>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村屯内居民均由</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东好利保村</w:t>
            </w:r>
            <w:r>
              <w:rPr>
                <w:rFonts w:hint="eastAsia" w:ascii="Times New Roman" w:hAnsi="Times New Roman" w:cs="Times New Roman" w:eastAsiaTheme="minorEastAsia"/>
                <w:color w:val="000000" w:themeColor="text1"/>
                <w:w w:val="99"/>
                <w:kern w:val="2"/>
                <w:sz w:val="21"/>
                <w:szCs w:val="21"/>
                <w:lang w:val="en-US"/>
                <w14:textFill>
                  <w14:solidFill>
                    <w14:schemeClr w14:val="tx1"/>
                  </w14:solidFill>
                </w14:textFill>
              </w:rPr>
              <w:t>内</w:t>
            </w: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饮用水源井集中供水，供水覆盖率100%，井位坐标为东经124°21′57.07″，北纬46°15′51.04″，位于8号拉油点至汇合点4集油管道西南侧</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3760m</w:t>
            </w: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，井深130m，承压水，供水人数约848人。村民自家均有自打井，约215口，井深15-80m，用于喂养牲畜及灌</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649" w:type="pct"/>
            <w:vMerge w:val="continue"/>
            <w:vAlign w:val="center"/>
          </w:tcPr>
          <w:p w14:paraId="73D4B4D6">
            <w:pPr>
              <w:kinsoku w:val="0"/>
              <w:autoSpaceDE/>
              <w:autoSpaceDN/>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bl>
    <w:p w14:paraId="710A2186">
      <w:pPr>
        <w:pStyle w:val="107"/>
        <w:tabs>
          <w:tab w:val="left" w:pos="1571"/>
        </w:tabs>
        <w:spacing w:before="60" w:after="60" w:line="440" w:lineRule="exact"/>
        <w:ind w:left="0" w:firstLine="0"/>
        <w:jc w:val="both"/>
        <w:outlineLvl w:val="2"/>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bookmarkStart w:id="78" w:name="_Toc117794541"/>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2.6.4 环境风险评价范围及保护目标</w:t>
      </w:r>
      <w:bookmarkEnd w:id="78"/>
    </w:p>
    <w:p w14:paraId="2CB4F2F0">
      <w:pPr>
        <w:pStyle w:val="107"/>
        <w:tabs>
          <w:tab w:val="left" w:pos="1571"/>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本项目环境风险潜势为Ⅰ，风险评价等级为简单分析，</w:t>
      </w:r>
      <w:r>
        <w:rPr>
          <w:rFonts w:ascii="Times New Roman" w:hAnsi="Times New Roman" w:cs="Times New Roman" w:eastAsiaTheme="minorEastAsia"/>
          <w:color w:val="000000" w:themeColor="text1"/>
          <w:w w:val="99"/>
          <w:sz w:val="24"/>
          <w:szCs w:val="24"/>
          <w:lang w:val="en-US"/>
          <w14:textFill>
            <w14:solidFill>
              <w14:schemeClr w14:val="tx1"/>
            </w14:solidFill>
          </w14:textFill>
        </w:rPr>
        <w:t>结合同类项目情况，本项目环境风险评价范围为</w:t>
      </w:r>
      <w:r>
        <w:rPr>
          <w:rFonts w:hint="eastAsia" w:ascii="Times New Roman" w:hAnsi="Times New Roman" w:cs="Times New Roman" w:eastAsiaTheme="minorEastAsia"/>
          <w:color w:val="000000" w:themeColor="text1"/>
          <w:w w:val="99"/>
          <w:sz w:val="24"/>
          <w:szCs w:val="24"/>
          <w:lang w:val="en-US"/>
          <w14:textFill>
            <w14:solidFill>
              <w14:schemeClr w14:val="tx1"/>
            </w14:solidFill>
          </w14:textFill>
        </w:rPr>
        <w:t>管道中心线两侧2</w:t>
      </w:r>
      <w:r>
        <w:rPr>
          <w:rFonts w:ascii="Times New Roman" w:hAnsi="Times New Roman" w:cs="Times New Roman" w:eastAsiaTheme="minorEastAsia"/>
          <w:color w:val="000000" w:themeColor="text1"/>
          <w:w w:val="99"/>
          <w:sz w:val="24"/>
          <w:szCs w:val="24"/>
          <w:lang w:val="en-US"/>
          <w14:textFill>
            <w14:solidFill>
              <w14:schemeClr w14:val="tx1"/>
            </w14:solidFill>
          </w14:textFill>
        </w:rPr>
        <w:t>00m范围</w:t>
      </w:r>
      <w:r>
        <w:rPr>
          <w:rFonts w:ascii="Times New Roman" w:hAnsi="Times New Roman" w:cs="Times New Roman" w:eastAsiaTheme="minorEastAsia"/>
          <w:color w:val="000000" w:themeColor="text1"/>
          <w:w w:val="99"/>
          <w:sz w:val="24"/>
          <w:szCs w:val="24"/>
          <w14:textFill>
            <w14:solidFill>
              <w14:schemeClr w14:val="tx1"/>
            </w14:solidFill>
          </w14:textFill>
        </w:rPr>
        <w:t>。建设项目周围主要环境敏感目标分布见表2.6-4</w:t>
      </w:r>
      <w:r>
        <w:rPr>
          <w:rFonts w:ascii="Times New Roman" w:hAnsi="Times New Roman" w:cs="Times New Roman" w:eastAsiaTheme="minorEastAsia"/>
          <w:color w:val="000000" w:themeColor="text1"/>
          <w:w w:val="99"/>
          <w:sz w:val="24"/>
          <w:szCs w:val="24"/>
          <w:lang w:val="en-US"/>
          <w14:textFill>
            <w14:solidFill>
              <w14:schemeClr w14:val="tx1"/>
            </w14:solidFill>
          </w14:textFill>
        </w:rPr>
        <w:t>。</w:t>
      </w:r>
    </w:p>
    <w:p w14:paraId="34D8B256">
      <w:pPr>
        <w:autoSpaceDE/>
        <w:autoSpaceDN/>
        <w:adjustRightInd w:val="0"/>
        <w:snapToGrid w:val="0"/>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bCs/>
          <w:color w:val="000000" w:themeColor="text1"/>
          <w:w w:val="99"/>
          <w:kern w:val="21"/>
          <w:sz w:val="24"/>
          <w:szCs w:val="24"/>
          <w:lang w:val="en-US"/>
          <w14:textFill>
            <w14:solidFill>
              <w14:schemeClr w14:val="tx1"/>
            </w14:solidFill>
          </w14:textFill>
        </w:rPr>
        <w:t>表2.6-4</w:t>
      </w:r>
      <w:r>
        <w:rPr>
          <w:rFonts w:ascii="Times New Roman" w:hAnsi="Times New Roman" w:cs="Times New Roman" w:eastAsiaTheme="minorEastAsia"/>
          <w:b/>
          <w:bCs/>
          <w:color w:val="000000" w:themeColor="text1"/>
          <w:w w:val="99"/>
          <w:kern w:val="2"/>
          <w:sz w:val="24"/>
          <w:szCs w:val="24"/>
          <w:lang w:val="en-US"/>
          <w14:textFill>
            <w14:solidFill>
              <w14:schemeClr w14:val="tx1"/>
            </w14:solidFill>
          </w14:textFill>
        </w:rPr>
        <w:t xml:space="preserve">      </w:t>
      </w: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环境风险保护目标</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8"/>
        <w:gridCol w:w="964"/>
        <w:gridCol w:w="1120"/>
        <w:gridCol w:w="2556"/>
        <w:gridCol w:w="3538"/>
      </w:tblGrid>
      <w:tr w14:paraId="697B3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97" w:type="pct"/>
            <w:vMerge w:val="restart"/>
            <w:vAlign w:val="center"/>
          </w:tcPr>
          <w:p w14:paraId="783E5C37">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环境要素</w:t>
            </w:r>
          </w:p>
        </w:tc>
        <w:tc>
          <w:tcPr>
            <w:tcW w:w="519" w:type="pct"/>
            <w:vMerge w:val="restart"/>
            <w:vAlign w:val="center"/>
          </w:tcPr>
          <w:p w14:paraId="0B64950E">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保护属性</w:t>
            </w:r>
          </w:p>
        </w:tc>
        <w:tc>
          <w:tcPr>
            <w:tcW w:w="603" w:type="pct"/>
            <w:vMerge w:val="restart"/>
            <w:vAlign w:val="center"/>
          </w:tcPr>
          <w:p w14:paraId="2CB7034B">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保护目标</w:t>
            </w:r>
          </w:p>
        </w:tc>
        <w:tc>
          <w:tcPr>
            <w:tcW w:w="1376" w:type="pct"/>
            <w:vMerge w:val="restart"/>
            <w:vAlign w:val="center"/>
          </w:tcPr>
          <w:p w14:paraId="0406197C">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保护对象</w:t>
            </w:r>
          </w:p>
        </w:tc>
        <w:tc>
          <w:tcPr>
            <w:tcW w:w="1905" w:type="pct"/>
            <w:vMerge w:val="restart"/>
            <w:vAlign w:val="center"/>
          </w:tcPr>
          <w:p w14:paraId="790C573A">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相对方位及距离</w:t>
            </w:r>
          </w:p>
        </w:tc>
      </w:tr>
      <w:tr w14:paraId="4177F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97" w:type="pct"/>
            <w:vMerge w:val="continue"/>
            <w:vAlign w:val="center"/>
          </w:tcPr>
          <w:p w14:paraId="37752A6B">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519" w:type="pct"/>
            <w:vMerge w:val="continue"/>
            <w:vAlign w:val="center"/>
          </w:tcPr>
          <w:p w14:paraId="24E92DEE">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603" w:type="pct"/>
            <w:vMerge w:val="continue"/>
            <w:vAlign w:val="center"/>
          </w:tcPr>
          <w:p w14:paraId="2093BBE2">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376" w:type="pct"/>
            <w:vMerge w:val="continue"/>
            <w:vAlign w:val="center"/>
          </w:tcPr>
          <w:p w14:paraId="5E9B9E53">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905" w:type="pct"/>
            <w:vMerge w:val="continue"/>
            <w:vAlign w:val="center"/>
          </w:tcPr>
          <w:p w14:paraId="1315AC19">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r>
      <w:tr w14:paraId="781E49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97" w:type="pct"/>
            <w:vMerge w:val="restart"/>
            <w:vAlign w:val="center"/>
          </w:tcPr>
          <w:p w14:paraId="32FEBEFD">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环境风险</w:t>
            </w:r>
          </w:p>
        </w:tc>
        <w:tc>
          <w:tcPr>
            <w:tcW w:w="519" w:type="pct"/>
            <w:vAlign w:val="center"/>
          </w:tcPr>
          <w:p w14:paraId="71F1D104">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大气</w:t>
            </w:r>
          </w:p>
        </w:tc>
        <w:tc>
          <w:tcPr>
            <w:tcW w:w="603" w:type="pct"/>
            <w:vAlign w:val="center"/>
          </w:tcPr>
          <w:p w14:paraId="64EC6FE0">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杏树岗村</w:t>
            </w:r>
          </w:p>
        </w:tc>
        <w:tc>
          <w:tcPr>
            <w:tcW w:w="1376" w:type="pct"/>
            <w:vAlign w:val="center"/>
          </w:tcPr>
          <w:p w14:paraId="5D8CD417">
            <w:pPr>
              <w:widowControl/>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居民约180户，588人</w:t>
            </w:r>
          </w:p>
        </w:tc>
        <w:tc>
          <w:tcPr>
            <w:tcW w:w="1905" w:type="pct"/>
            <w:vAlign w:val="center"/>
          </w:tcPr>
          <w:p w14:paraId="7EB16FE3">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龙27-斜6拉油点至新建混输阀组间集油管道南侧70m</w:t>
            </w:r>
          </w:p>
        </w:tc>
      </w:tr>
      <w:tr w14:paraId="67290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97" w:type="pct"/>
            <w:vMerge w:val="continue"/>
            <w:vAlign w:val="center"/>
          </w:tcPr>
          <w:p w14:paraId="3CE865F5">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519" w:type="pct"/>
            <w:vAlign w:val="center"/>
          </w:tcPr>
          <w:p w14:paraId="3A9C424B">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地表水</w:t>
            </w:r>
          </w:p>
        </w:tc>
        <w:tc>
          <w:tcPr>
            <w:tcW w:w="603" w:type="pct"/>
            <w:vAlign w:val="center"/>
          </w:tcPr>
          <w:p w14:paraId="17A80C5E">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古努泡子</w:t>
            </w:r>
          </w:p>
        </w:tc>
        <w:tc>
          <w:tcPr>
            <w:tcW w:w="1376" w:type="pct"/>
            <w:vAlign w:val="center"/>
          </w:tcPr>
          <w:p w14:paraId="24EF32D0">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自然泡沼，无水体功能规划，主要功能为汇集雨水</w:t>
            </w:r>
          </w:p>
        </w:tc>
        <w:tc>
          <w:tcPr>
            <w:tcW w:w="1905" w:type="pct"/>
            <w:vAlign w:val="center"/>
          </w:tcPr>
          <w:p w14:paraId="077D260A">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11号平台至龙一联合站集油管道北侧219</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m</w:t>
            </w:r>
          </w:p>
        </w:tc>
      </w:tr>
      <w:tr w14:paraId="38F18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97" w:type="pct"/>
            <w:vMerge w:val="continue"/>
            <w:vAlign w:val="center"/>
          </w:tcPr>
          <w:p w14:paraId="2B951B6A">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519" w:type="pct"/>
            <w:vAlign w:val="center"/>
          </w:tcPr>
          <w:p w14:paraId="12497745">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地下水</w:t>
            </w:r>
          </w:p>
        </w:tc>
        <w:tc>
          <w:tcPr>
            <w:tcW w:w="1979" w:type="pct"/>
            <w:gridSpan w:val="2"/>
            <w:vAlign w:val="center"/>
          </w:tcPr>
          <w:p w14:paraId="277149AA">
            <w:pPr>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评价范围内潜水含水层、承压水含水层</w:t>
            </w:r>
          </w:p>
        </w:tc>
        <w:tc>
          <w:tcPr>
            <w:tcW w:w="1905" w:type="pct"/>
            <w:vAlign w:val="center"/>
          </w:tcPr>
          <w:p w14:paraId="4023D00E">
            <w:pPr>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《地下水质量标准》（GB/T14848-2017）Ⅲ类标准</w:t>
            </w:r>
          </w:p>
        </w:tc>
      </w:tr>
    </w:tbl>
    <w:p w14:paraId="52374779">
      <w:pPr>
        <w:pStyle w:val="107"/>
        <w:tabs>
          <w:tab w:val="left" w:pos="1571"/>
        </w:tabs>
        <w:spacing w:before="60" w:after="60" w:line="440" w:lineRule="exact"/>
        <w:ind w:left="0" w:firstLine="0"/>
        <w:jc w:val="both"/>
        <w:outlineLvl w:val="2"/>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bookmarkStart w:id="79" w:name="_Toc117794542"/>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2.6.5 生态环境、土壤环境和地表水评价范围及保护目标</w:t>
      </w:r>
      <w:bookmarkEnd w:id="79"/>
    </w:p>
    <w:p w14:paraId="2DBDCA8B">
      <w:pPr>
        <w:pStyle w:val="107"/>
        <w:tabs>
          <w:tab w:val="left" w:pos="1571"/>
        </w:tabs>
        <w:spacing w:line="44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bookmarkStart w:id="80" w:name="_Toc71714606"/>
      <w:r>
        <w:rPr>
          <w:rFonts w:ascii="Times New Roman" w:hAnsi="Times New Roman" w:cs="Times New Roman" w:eastAsiaTheme="minorEastAsia"/>
          <w:color w:val="000000" w:themeColor="text1"/>
          <w:w w:val="99"/>
          <w:sz w:val="24"/>
          <w:szCs w:val="24"/>
          <w14:textFill>
            <w14:solidFill>
              <w14:schemeClr w14:val="tx1"/>
            </w14:solidFill>
          </w14:textFill>
        </w:rPr>
        <w:t>本工程生态环境评价范围为</w:t>
      </w:r>
      <w:r>
        <w:rPr>
          <w:rFonts w:ascii="Times New Roman" w:hAnsi="Times New Roman" w:cs="Times New Roman" w:eastAsiaTheme="minorEastAsia"/>
          <w:color w:val="000000" w:themeColor="text1"/>
          <w:w w:val="99"/>
          <w:sz w:val="24"/>
          <w:szCs w:val="24"/>
          <w:lang w:val="en-US"/>
          <w14:textFill>
            <w14:solidFill>
              <w14:schemeClr w14:val="tx1"/>
            </w14:solidFill>
          </w14:textFill>
        </w:rPr>
        <w:t>拟建管线中心线两侧0.3km范围的生态环境。</w:t>
      </w:r>
      <w:r>
        <w:rPr>
          <w:rFonts w:ascii="Times New Roman" w:hAnsi="Times New Roman" w:cs="Times New Roman" w:eastAsiaTheme="minorEastAsia"/>
          <w:color w:val="000000" w:themeColor="text1"/>
          <w:w w:val="99"/>
          <w:sz w:val="24"/>
          <w:szCs w:val="24"/>
          <w14:textFill>
            <w14:solidFill>
              <w14:schemeClr w14:val="tx1"/>
            </w14:solidFill>
          </w14:textFill>
        </w:rPr>
        <w:t>生态环境保护目标详见表2.6-5，生态环境评价范围及生态环境保护目标分布见附图</w:t>
      </w:r>
      <w:r>
        <w:rPr>
          <w:rFonts w:ascii="Times New Roman" w:hAnsi="Times New Roman" w:cs="Times New Roman" w:eastAsiaTheme="minorEastAsia"/>
          <w:color w:val="000000" w:themeColor="text1"/>
          <w:w w:val="99"/>
          <w:sz w:val="24"/>
          <w:szCs w:val="24"/>
          <w:lang w:val="en-US"/>
          <w14:textFill>
            <w14:solidFill>
              <w14:schemeClr w14:val="tx1"/>
            </w14:solidFill>
          </w14:textFill>
        </w:rPr>
        <w:t>6</w:t>
      </w:r>
      <w:r>
        <w:rPr>
          <w:rFonts w:ascii="Times New Roman" w:hAnsi="Times New Roman" w:cs="Times New Roman" w:eastAsiaTheme="minorEastAsia"/>
          <w:color w:val="000000" w:themeColor="text1"/>
          <w:w w:val="99"/>
          <w:sz w:val="24"/>
          <w:szCs w:val="24"/>
          <w14:textFill>
            <w14:solidFill>
              <w14:schemeClr w14:val="tx1"/>
            </w14:solidFill>
          </w14:textFill>
        </w:rPr>
        <w:t>。</w:t>
      </w:r>
      <w:bookmarkEnd w:id="80"/>
    </w:p>
    <w:p w14:paraId="65100B50">
      <w:pPr>
        <w:pStyle w:val="107"/>
        <w:tabs>
          <w:tab w:val="left" w:pos="1571"/>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本项目土壤环境评价范围为</w:t>
      </w:r>
      <w:r>
        <w:rPr>
          <w:rFonts w:ascii="Times New Roman" w:hAnsi="Times New Roman" w:cs="Times New Roman" w:eastAsiaTheme="minorEastAsia"/>
          <w:color w:val="000000" w:themeColor="text1"/>
          <w:w w:val="99"/>
          <w:sz w:val="24"/>
          <w:szCs w:val="24"/>
          <w:lang w:val="en-US"/>
          <w14:textFill>
            <w14:solidFill>
              <w14:schemeClr w14:val="tx1"/>
            </w14:solidFill>
          </w14:textFill>
        </w:rPr>
        <w:t>拟建管线、混输阀组间</w:t>
      </w:r>
      <w:r>
        <w:rPr>
          <w:rFonts w:hint="eastAsia" w:ascii="Times New Roman" w:hAnsi="Times New Roman" w:cs="Times New Roman" w:eastAsiaTheme="minorEastAsia"/>
          <w:color w:val="000000" w:themeColor="text1"/>
          <w:w w:val="99"/>
          <w:sz w:val="24"/>
          <w:szCs w:val="24"/>
          <w:lang w:val="en-US"/>
          <w14:textFill>
            <w14:solidFill>
              <w14:schemeClr w14:val="tx1"/>
            </w14:solidFill>
          </w14:textFill>
        </w:rPr>
        <w:t>外扩</w:t>
      </w:r>
      <w:r>
        <w:rPr>
          <w:rFonts w:ascii="Times New Roman" w:hAnsi="Times New Roman" w:cs="Times New Roman" w:eastAsiaTheme="minorEastAsia"/>
          <w:color w:val="000000" w:themeColor="text1"/>
          <w:w w:val="99"/>
          <w:sz w:val="24"/>
          <w:szCs w:val="24"/>
          <w:lang w:val="en-US"/>
          <w14:textFill>
            <w14:solidFill>
              <w14:schemeClr w14:val="tx1"/>
            </w14:solidFill>
          </w14:textFill>
        </w:rPr>
        <w:t>0.2km范围的</w:t>
      </w:r>
      <w:r>
        <w:rPr>
          <w:rFonts w:ascii="Times New Roman" w:hAnsi="Times New Roman" w:cs="Times New Roman" w:eastAsiaTheme="minorEastAsia"/>
          <w:color w:val="000000" w:themeColor="text1"/>
          <w:w w:val="99"/>
          <w:sz w:val="24"/>
          <w:szCs w:val="24"/>
          <w14:textFill>
            <w14:solidFill>
              <w14:schemeClr w14:val="tx1"/>
            </w14:solidFill>
          </w14:textFill>
        </w:rPr>
        <w:t>土壤环境。土壤环境保护目标详见表</w:t>
      </w:r>
      <w:r>
        <w:rPr>
          <w:rFonts w:ascii="Times New Roman" w:hAnsi="Times New Roman" w:cs="Times New Roman" w:eastAsiaTheme="minorEastAsia"/>
          <w:color w:val="000000" w:themeColor="text1"/>
          <w:w w:val="99"/>
          <w:sz w:val="24"/>
          <w:szCs w:val="24"/>
          <w:lang w:val="en-US"/>
          <w14:textFill>
            <w14:solidFill>
              <w14:schemeClr w14:val="tx1"/>
            </w14:solidFill>
          </w14:textFill>
        </w:rPr>
        <w:t>2.6-5，土壤环境评价范围见附图6。</w:t>
      </w:r>
    </w:p>
    <w:p w14:paraId="338EED94">
      <w:pPr>
        <w:pStyle w:val="129"/>
        <w:spacing w:line="440" w:lineRule="exact"/>
        <w:ind w:firstLine="473"/>
        <w:jc w:val="both"/>
        <w:rPr>
          <w:rFonts w:ascii="Times New Roman" w:hAnsi="Times New Roman" w:eastAsiaTheme="minorEastAsia"/>
          <w:color w:val="000000" w:themeColor="text1"/>
          <w:w w:val="99"/>
          <w14:textFill>
            <w14:solidFill>
              <w14:schemeClr w14:val="tx1"/>
            </w14:solidFill>
          </w14:textFill>
        </w:rPr>
      </w:pPr>
      <w:r>
        <w:rPr>
          <w:rFonts w:ascii="Times New Roman" w:hAnsi="Times New Roman" w:eastAsiaTheme="minorEastAsia"/>
          <w:snapToGrid w:val="0"/>
          <w:color w:val="000000" w:themeColor="text1"/>
          <w:w w:val="99"/>
          <w:sz w:val="24"/>
          <w:szCs w:val="24"/>
          <w14:textFill>
            <w14:solidFill>
              <w14:schemeClr w14:val="tx1"/>
            </w14:solidFill>
          </w14:textFill>
        </w:rPr>
        <w:t>根据《环境影响评价技术导则 地表水环境》（HJ2.3-2018）中关于地表水评价等级为三级B的评价范围要求，涉及地表水环境风险的，应覆盖环境风险影响范围所及的水环境保护目标水域。因此本项目地表水评价范围为区域内地表水体古努泡子。</w:t>
      </w:r>
      <w:r>
        <w:rPr>
          <w:rFonts w:ascii="Times New Roman" w:hAnsi="Times New Roman" w:eastAsiaTheme="minorEastAsia"/>
          <w:color w:val="000000" w:themeColor="text1"/>
          <w:w w:val="99"/>
          <w:sz w:val="24"/>
          <w:szCs w:val="24"/>
          <w14:textFill>
            <w14:solidFill>
              <w14:schemeClr w14:val="tx1"/>
            </w14:solidFill>
          </w14:textFill>
        </w:rPr>
        <w:t>保护目标详见表</w:t>
      </w:r>
      <w:r>
        <w:rPr>
          <w:rFonts w:ascii="Times New Roman" w:hAnsi="Times New Roman" w:eastAsiaTheme="minorEastAsia"/>
          <w:color w:val="000000" w:themeColor="text1"/>
          <w:w w:val="99"/>
          <w:sz w:val="24"/>
          <w:szCs w:val="24"/>
          <w:lang w:val="en-US"/>
          <w14:textFill>
            <w14:solidFill>
              <w14:schemeClr w14:val="tx1"/>
            </w14:solidFill>
          </w14:textFill>
        </w:rPr>
        <w:t>2.6-5。</w:t>
      </w:r>
    </w:p>
    <w:p w14:paraId="2726A796">
      <w:pPr>
        <w:pStyle w:val="107"/>
        <w:tabs>
          <w:tab w:val="left" w:pos="1571"/>
        </w:tabs>
        <w:spacing w:line="440" w:lineRule="exact"/>
        <w:ind w:left="440" w:leftChars="200" w:firstLine="0"/>
        <w:jc w:val="both"/>
        <w:rPr>
          <w:rFonts w:ascii="Times New Roman" w:hAnsi="Times New Roman" w:cs="Times New Roman" w:eastAsiaTheme="minorEastAsia"/>
          <w:b/>
          <w:bCs/>
          <w:color w:val="000000" w:themeColor="text1"/>
          <w:w w:val="99"/>
          <w:sz w:val="24"/>
          <w:szCs w:val="24"/>
          <w14:textFill>
            <w14:solidFill>
              <w14:schemeClr w14:val="tx1"/>
            </w14:solidFill>
          </w14:textFill>
        </w:rPr>
      </w:pPr>
    </w:p>
    <w:p w14:paraId="0D3D27BA">
      <w:pPr>
        <w:pStyle w:val="107"/>
        <w:tabs>
          <w:tab w:val="left" w:pos="1571"/>
        </w:tabs>
        <w:spacing w:line="440" w:lineRule="exact"/>
        <w:ind w:left="440" w:leftChars="200" w:firstLine="0"/>
        <w:jc w:val="both"/>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r>
        <w:rPr>
          <w:rFonts w:ascii="Times New Roman" w:hAnsi="Times New Roman" w:cs="Times New Roman" w:eastAsiaTheme="minorEastAsia"/>
          <w:b/>
          <w:bCs/>
          <w:color w:val="000000" w:themeColor="text1"/>
          <w:w w:val="99"/>
          <w:sz w:val="24"/>
          <w:szCs w:val="24"/>
          <w14:textFill>
            <w14:solidFill>
              <w14:schemeClr w14:val="tx1"/>
            </w14:solidFill>
          </w14:textFill>
        </w:rPr>
        <w:t>表</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2.6-5        生态、土壤环境和地表水保护目标统计</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001"/>
        <w:gridCol w:w="2011"/>
        <w:gridCol w:w="1541"/>
        <w:gridCol w:w="1477"/>
        <w:gridCol w:w="3154"/>
      </w:tblGrid>
      <w:tr w14:paraId="42837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5" w:type="pct"/>
            <w:vAlign w:val="center"/>
          </w:tcPr>
          <w:p w14:paraId="7E29BFB1">
            <w:pPr>
              <w:autoSpaceDE/>
              <w:autoSpaceDN/>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环境要素</w:t>
            </w:r>
          </w:p>
        </w:tc>
        <w:tc>
          <w:tcPr>
            <w:tcW w:w="1095" w:type="pct"/>
            <w:vAlign w:val="center"/>
          </w:tcPr>
          <w:p w14:paraId="22ABE130">
            <w:pPr>
              <w:autoSpaceDE/>
              <w:autoSpaceDN/>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保护目标</w:t>
            </w:r>
          </w:p>
        </w:tc>
        <w:tc>
          <w:tcPr>
            <w:tcW w:w="839" w:type="pct"/>
            <w:vAlign w:val="center"/>
          </w:tcPr>
          <w:p w14:paraId="36EAB9E4">
            <w:pPr>
              <w:autoSpaceDE/>
              <w:autoSpaceDN/>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最近方位及距离</w:t>
            </w:r>
          </w:p>
        </w:tc>
        <w:tc>
          <w:tcPr>
            <w:tcW w:w="804" w:type="pct"/>
            <w:vAlign w:val="center"/>
          </w:tcPr>
          <w:p w14:paraId="65EA364B">
            <w:pPr>
              <w:autoSpaceDE/>
              <w:autoSpaceDN/>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规模</w:t>
            </w:r>
          </w:p>
        </w:tc>
        <w:tc>
          <w:tcPr>
            <w:tcW w:w="1717" w:type="pct"/>
            <w:vAlign w:val="center"/>
          </w:tcPr>
          <w:p w14:paraId="6531CC9C">
            <w:pPr>
              <w:autoSpaceDE/>
              <w:autoSpaceDN/>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保护标准及保护级别</w:t>
            </w:r>
          </w:p>
        </w:tc>
      </w:tr>
      <w:tr w14:paraId="0E665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5" w:type="pct"/>
            <w:vAlign w:val="center"/>
          </w:tcPr>
          <w:p w14:paraId="4854DAD1">
            <w:pPr>
              <w:autoSpaceDE/>
              <w:autoSpaceDN/>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地表水环境</w:t>
            </w:r>
          </w:p>
        </w:tc>
        <w:tc>
          <w:tcPr>
            <w:tcW w:w="1095" w:type="pct"/>
            <w:vAlign w:val="center"/>
          </w:tcPr>
          <w:p w14:paraId="7A5B54B2">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古努泡子</w:t>
            </w:r>
          </w:p>
        </w:tc>
        <w:tc>
          <w:tcPr>
            <w:tcW w:w="839" w:type="pct"/>
            <w:vAlign w:val="center"/>
          </w:tcPr>
          <w:p w14:paraId="1CCD2987">
            <w:pPr>
              <w:autoSpaceDE/>
              <w:autoSpaceDN/>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11号平台至龙一联合站集油管道北侧219m</w:t>
            </w:r>
          </w:p>
        </w:tc>
        <w:tc>
          <w:tcPr>
            <w:tcW w:w="804" w:type="pct"/>
            <w:vAlign w:val="center"/>
          </w:tcPr>
          <w:p w14:paraId="05BED313">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自然泡沼，无水体功能规划，主要功能为汇集雨水</w:t>
            </w:r>
          </w:p>
        </w:tc>
        <w:tc>
          <w:tcPr>
            <w:tcW w:w="1717" w:type="pct"/>
            <w:vAlign w:val="center"/>
          </w:tcPr>
          <w:p w14:paraId="04B427C5">
            <w:pPr>
              <w:autoSpaceDE/>
              <w:autoSpaceDN/>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保护水环境质量现状</w:t>
            </w:r>
          </w:p>
        </w:tc>
      </w:tr>
      <w:tr w14:paraId="02FF8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5" w:type="pct"/>
            <w:vMerge w:val="restart"/>
            <w:vAlign w:val="center"/>
          </w:tcPr>
          <w:p w14:paraId="06FC63FC">
            <w:pPr>
              <w:autoSpaceDE/>
              <w:autoSpaceDN/>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土壤环境</w:t>
            </w:r>
          </w:p>
        </w:tc>
        <w:tc>
          <w:tcPr>
            <w:tcW w:w="1095" w:type="pct"/>
            <w:vAlign w:val="center"/>
          </w:tcPr>
          <w:p w14:paraId="1B947512">
            <w:pPr>
              <w:autoSpaceDE/>
              <w:autoSpaceDN/>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周边耕地、草地、林地</w:t>
            </w:r>
          </w:p>
        </w:tc>
        <w:tc>
          <w:tcPr>
            <w:tcW w:w="1643" w:type="pct"/>
            <w:gridSpan w:val="2"/>
            <w:vAlign w:val="center"/>
          </w:tcPr>
          <w:p w14:paraId="295BE1B2">
            <w:pPr>
              <w:autoSpaceDE/>
              <w:autoSpaceDN/>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拟建管线、混输阀组间外扩0.2km区域</w:t>
            </w:r>
          </w:p>
        </w:tc>
        <w:tc>
          <w:tcPr>
            <w:tcW w:w="1717" w:type="pct"/>
            <w:vAlign w:val="center"/>
          </w:tcPr>
          <w:p w14:paraId="44EE3F4F">
            <w:pPr>
              <w:autoSpaceDE/>
              <w:autoSpaceDN/>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《土壤环境质量 农用地土壤污染风险管控标准（试行）》（GB15618-2018）中风险筛选值</w:t>
            </w:r>
          </w:p>
        </w:tc>
      </w:tr>
      <w:tr w14:paraId="2DDC6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5" w:type="pct"/>
            <w:vMerge w:val="continue"/>
            <w:vAlign w:val="center"/>
          </w:tcPr>
          <w:p w14:paraId="1F95A049">
            <w:pPr>
              <w:autoSpaceDE/>
              <w:autoSpaceDN/>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1095" w:type="pct"/>
            <w:vAlign w:val="center"/>
          </w:tcPr>
          <w:p w14:paraId="4A32C9C4">
            <w:pPr>
              <w:autoSpaceDE/>
              <w:autoSpaceDN/>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村屯</w:t>
            </w:r>
          </w:p>
        </w:tc>
        <w:tc>
          <w:tcPr>
            <w:tcW w:w="1643" w:type="pct"/>
            <w:gridSpan w:val="2"/>
            <w:vAlign w:val="center"/>
          </w:tcPr>
          <w:p w14:paraId="19734C5B">
            <w:pPr>
              <w:autoSpaceDE/>
              <w:autoSpaceDN/>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拟建管线、混输阀组间外扩0.2km区域</w:t>
            </w:r>
          </w:p>
        </w:tc>
        <w:tc>
          <w:tcPr>
            <w:tcW w:w="1717" w:type="pct"/>
            <w:vAlign w:val="center"/>
          </w:tcPr>
          <w:p w14:paraId="774504F7">
            <w:pPr>
              <w:autoSpaceDE/>
              <w:autoSpaceDN/>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土壤环境质量 建设用地土壤污染风险管控标准（试行）》（GB36600-2018）第一类用地筛选值</w:t>
            </w:r>
          </w:p>
        </w:tc>
      </w:tr>
      <w:tr w14:paraId="26488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5" w:type="pct"/>
            <w:vAlign w:val="center"/>
          </w:tcPr>
          <w:p w14:paraId="7AE6E08A">
            <w:pPr>
              <w:autoSpaceDE/>
              <w:autoSpaceDN/>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生态环境</w:t>
            </w:r>
          </w:p>
        </w:tc>
        <w:tc>
          <w:tcPr>
            <w:tcW w:w="1095" w:type="pct"/>
            <w:vAlign w:val="center"/>
          </w:tcPr>
          <w:p w14:paraId="06411229">
            <w:pPr>
              <w:autoSpaceDE/>
              <w:autoSpaceDN/>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草地生态系统、农田生态系统、林地生态系统、水土流失防护</w:t>
            </w:r>
          </w:p>
        </w:tc>
        <w:tc>
          <w:tcPr>
            <w:tcW w:w="1643" w:type="pct"/>
            <w:gridSpan w:val="2"/>
            <w:vAlign w:val="center"/>
          </w:tcPr>
          <w:p w14:paraId="09626479">
            <w:pPr>
              <w:autoSpaceDE/>
              <w:autoSpaceDN/>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拟</w:t>
            </w: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新建</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集油管道两侧0.3km范围区域</w:t>
            </w:r>
          </w:p>
        </w:tc>
        <w:tc>
          <w:tcPr>
            <w:tcW w:w="1717" w:type="pct"/>
            <w:vAlign w:val="center"/>
          </w:tcPr>
          <w:p w14:paraId="1EB52491">
            <w:pPr>
              <w:autoSpaceDE/>
              <w:autoSpaceDN/>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生态环境不受到破坏，避免水土流失的加剧</w:t>
            </w:r>
          </w:p>
        </w:tc>
      </w:tr>
    </w:tbl>
    <w:p w14:paraId="46992522">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81" w:name="_Toc117794543"/>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2.7 评价工作内容及重点</w:t>
      </w:r>
      <w:bookmarkEnd w:id="81"/>
    </w:p>
    <w:p w14:paraId="7C326596">
      <w:pPr>
        <w:pStyle w:val="31"/>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根据评价区域的环境特征及建设项目的具体特点，在工程分析的基础上，以生态环境影响评价、土壤环境影响评价、地下水环境影响评价、环境风险评价及工程污染防治措施评价为重点，同时进行项目大气环境影响评价、声环境影响评价，环境影响经济损益分析、环境管理及监测计划等项目的评价与分析，在评价过程中力求工业污染防治与生态环境保护并重，提出相应的污染防治措施和生态保护措施及建议。</w:t>
      </w:r>
    </w:p>
    <w:p w14:paraId="34701C56">
      <w:pPr>
        <w:rPr>
          <w:rFonts w:ascii="Times New Roman" w:hAnsi="Times New Roman" w:cs="Times New Roman" w:eastAsiaTheme="minorEastAsia"/>
          <w:color w:val="000000" w:themeColor="text1"/>
          <w:w w:val="99"/>
          <w:sz w:val="24"/>
          <w:szCs w:val="24"/>
          <w14:textFill>
            <w14:solidFill>
              <w14:schemeClr w14:val="tx1"/>
            </w14:solidFill>
          </w14:textFill>
        </w:rPr>
      </w:pPr>
    </w:p>
    <w:p w14:paraId="4BFBD7FF">
      <w:pPr>
        <w:pStyle w:val="66"/>
        <w:rPr>
          <w:rFonts w:ascii="Times New Roman" w:hAnsi="Times New Roman" w:cs="Times New Roman" w:eastAsiaTheme="minorEastAsia"/>
          <w:color w:val="000000" w:themeColor="text1"/>
          <w:w w:val="99"/>
          <w14:textFill>
            <w14:solidFill>
              <w14:schemeClr w14:val="tx1"/>
            </w14:solidFill>
          </w14:textFill>
        </w:rPr>
      </w:pPr>
    </w:p>
    <w:p w14:paraId="21340A4E">
      <w:pPr>
        <w:pStyle w:val="3"/>
        <w:autoSpaceDE/>
        <w:autoSpaceDN/>
        <w:spacing w:before="180" w:after="180" w:line="440" w:lineRule="exact"/>
        <w:ind w:left="0" w:firstLine="0"/>
        <w:rPr>
          <w:rFonts w:ascii="Times New Roman" w:hAnsi="Times New Roman" w:cs="Times New Roman" w:eastAsiaTheme="minorEastAsia"/>
          <w:b/>
          <w:snapToGrid w:val="0"/>
          <w:color w:val="000000" w:themeColor="text1"/>
          <w:w w:val="99"/>
          <w:kern w:val="2"/>
          <w:sz w:val="30"/>
          <w:szCs w:val="30"/>
          <w:lang w:val="en-US" w:bidi="ar-SA"/>
          <w14:textFill>
            <w14:solidFill>
              <w14:schemeClr w14:val="tx1"/>
            </w14:solidFill>
          </w14:textFill>
        </w:rPr>
        <w:sectPr>
          <w:footerReference r:id="rId5" w:type="default"/>
          <w:type w:val="nextColumn"/>
          <w:pgSz w:w="11906" w:h="16838"/>
          <w:pgMar w:top="1418" w:right="1418" w:bottom="1418" w:left="1418" w:header="907" w:footer="1077" w:gutter="0"/>
          <w:cols w:space="0" w:num="1"/>
          <w:docGrid w:linePitch="299" w:charSpace="0"/>
        </w:sectPr>
      </w:pPr>
    </w:p>
    <w:p w14:paraId="31D07D9F">
      <w:pPr>
        <w:pStyle w:val="3"/>
        <w:autoSpaceDE/>
        <w:autoSpaceDN/>
        <w:spacing w:before="180" w:after="180" w:line="440" w:lineRule="exact"/>
        <w:ind w:left="0" w:firstLine="0"/>
        <w:rPr>
          <w:rFonts w:ascii="Times New Roman" w:hAnsi="Times New Roman" w:cs="Times New Roman" w:eastAsiaTheme="minorEastAsia"/>
          <w:b/>
          <w:snapToGrid w:val="0"/>
          <w:color w:val="000000" w:themeColor="text1"/>
          <w:w w:val="99"/>
          <w:kern w:val="2"/>
          <w:sz w:val="30"/>
          <w:szCs w:val="30"/>
          <w:lang w:val="en-US" w:bidi="ar-SA"/>
          <w14:textFill>
            <w14:solidFill>
              <w14:schemeClr w14:val="tx1"/>
            </w14:solidFill>
          </w14:textFill>
        </w:rPr>
      </w:pPr>
      <w:bookmarkStart w:id="82" w:name="_Toc117794544"/>
      <w:r>
        <w:rPr>
          <w:rFonts w:ascii="Times New Roman" w:hAnsi="Times New Roman" w:cs="Times New Roman" w:eastAsiaTheme="minorEastAsia"/>
          <w:b/>
          <w:snapToGrid w:val="0"/>
          <w:color w:val="000000" w:themeColor="text1"/>
          <w:w w:val="99"/>
          <w:kern w:val="2"/>
          <w:sz w:val="30"/>
          <w:szCs w:val="30"/>
          <w:lang w:val="en-US" w:bidi="ar-SA"/>
          <w14:textFill>
            <w14:solidFill>
              <w14:schemeClr w14:val="tx1"/>
            </w14:solidFill>
          </w14:textFill>
        </w:rPr>
        <w:t>3 建设项目工程分析</w:t>
      </w:r>
      <w:bookmarkEnd w:id="82"/>
    </w:p>
    <w:p w14:paraId="26700FDC">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83" w:name="_Toc117794545"/>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3.1建设项目概况</w:t>
      </w:r>
      <w:bookmarkEnd w:id="83"/>
    </w:p>
    <w:p w14:paraId="341D2F42">
      <w:pPr>
        <w:pStyle w:val="107"/>
        <w:tabs>
          <w:tab w:val="left" w:pos="930"/>
        </w:tabs>
        <w:spacing w:before="60" w:after="60" w:line="440" w:lineRule="exact"/>
        <w:ind w:left="0" w:firstLine="0"/>
        <w:jc w:val="both"/>
        <w:outlineLvl w:val="2"/>
        <w:rPr>
          <w:rFonts w:ascii="Times New Roman" w:hAnsi="Times New Roman" w:cs="Times New Roman" w:eastAsiaTheme="minorEastAsia"/>
          <w:color w:val="000000" w:themeColor="text1"/>
          <w:w w:val="99"/>
          <w:lang w:val="en-US"/>
          <w14:textFill>
            <w14:solidFill>
              <w14:schemeClr w14:val="tx1"/>
            </w14:solidFill>
          </w14:textFill>
        </w:rPr>
      </w:pPr>
      <w:bookmarkStart w:id="84" w:name="_Toc117794546"/>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3.1.1基本情况</w:t>
      </w:r>
      <w:bookmarkEnd w:id="84"/>
    </w:p>
    <w:p w14:paraId="5EAAC3A0">
      <w:pPr>
        <w:spacing w:line="440" w:lineRule="exact"/>
        <w:ind w:firstLine="474" w:firstLineChars="200"/>
        <w:jc w:val="both"/>
        <w:rPr>
          <w:rFonts w:ascii="Times New Roman" w:hAnsi="Times New Roman" w:cs="Times New Roman" w:eastAsiaTheme="minorEastAsia"/>
          <w:color w:val="0000FF"/>
          <w:w w:val="99"/>
          <w:sz w:val="24"/>
          <w:szCs w:val="24"/>
        </w:rPr>
      </w:pPr>
      <w:r>
        <w:rPr>
          <w:rFonts w:ascii="Times New Roman" w:hAnsi="Times New Roman" w:cs="Times New Roman" w:eastAsiaTheme="minorEastAsia"/>
          <w:color w:val="0000FF"/>
          <w:w w:val="99"/>
          <w:sz w:val="24"/>
          <w:szCs w:val="24"/>
        </w:rPr>
        <w:t>项目名称：</w:t>
      </w:r>
      <w:r>
        <w:rPr>
          <w:rFonts w:hint="eastAsia" w:ascii="Times New Roman" w:hAnsi="Times New Roman" w:cs="Times New Roman" w:eastAsiaTheme="minorEastAsia"/>
          <w:bCs/>
          <w:snapToGrid w:val="0"/>
          <w:color w:val="0000FF"/>
          <w:w w:val="99"/>
          <w:sz w:val="24"/>
          <w:szCs w:val="24"/>
          <w:lang w:eastAsia="zh-CN"/>
        </w:rPr>
        <w:t>第五采油厂杏南二转油站及站外系统改造工程项目</w:t>
      </w:r>
      <w:r>
        <w:rPr>
          <w:rFonts w:ascii="Times New Roman" w:hAnsi="Times New Roman" w:cs="Times New Roman" w:eastAsiaTheme="minorEastAsia"/>
          <w:color w:val="0000FF"/>
          <w:w w:val="99"/>
          <w:sz w:val="24"/>
          <w:szCs w:val="24"/>
        </w:rPr>
        <w:t>；</w:t>
      </w:r>
    </w:p>
    <w:p w14:paraId="581FCA5C">
      <w:pPr>
        <w:spacing w:line="440" w:lineRule="exact"/>
        <w:ind w:firstLine="474" w:firstLineChars="200"/>
        <w:jc w:val="both"/>
        <w:rPr>
          <w:rFonts w:ascii="Times New Roman" w:hAnsi="Times New Roman" w:cs="Times New Roman" w:eastAsiaTheme="minorEastAsia"/>
          <w:color w:val="0000FF"/>
          <w:w w:val="99"/>
          <w:sz w:val="24"/>
          <w:szCs w:val="24"/>
        </w:rPr>
      </w:pPr>
      <w:r>
        <w:rPr>
          <w:rFonts w:ascii="Times New Roman" w:hAnsi="Times New Roman" w:cs="Times New Roman" w:eastAsiaTheme="minorEastAsia"/>
          <w:color w:val="0000FF"/>
          <w:w w:val="99"/>
          <w:sz w:val="24"/>
          <w:szCs w:val="24"/>
        </w:rPr>
        <w:t>建设地点：</w:t>
      </w:r>
      <w:r>
        <w:rPr>
          <w:rFonts w:ascii="Times New Roman" w:hAnsi="Times New Roman" w:cs="Times New Roman" w:eastAsiaTheme="minorEastAsia"/>
          <w:snapToGrid w:val="0"/>
          <w:color w:val="0000FF"/>
          <w:w w:val="99"/>
          <w:sz w:val="24"/>
          <w:szCs w:val="24"/>
        </w:rPr>
        <w:t>大庆市</w:t>
      </w:r>
      <w:r>
        <w:rPr>
          <w:rFonts w:hint="eastAsia" w:ascii="Times New Roman" w:hAnsi="Times New Roman" w:cs="Times New Roman" w:eastAsiaTheme="minorEastAsia"/>
          <w:snapToGrid w:val="0"/>
          <w:color w:val="0000FF"/>
          <w:w w:val="99"/>
          <w:sz w:val="24"/>
          <w:szCs w:val="24"/>
          <w:lang w:eastAsia="zh-CN"/>
        </w:rPr>
        <w:t>红岗区杏树岗镇</w:t>
      </w:r>
      <w:r>
        <w:rPr>
          <w:rFonts w:ascii="Times New Roman" w:hAnsi="Times New Roman" w:cs="Times New Roman" w:eastAsiaTheme="minorEastAsia"/>
          <w:snapToGrid w:val="0"/>
          <w:color w:val="0000FF"/>
          <w:w w:val="99"/>
          <w:sz w:val="24"/>
          <w:szCs w:val="24"/>
        </w:rPr>
        <w:t>周边；</w:t>
      </w:r>
    </w:p>
    <w:p w14:paraId="56A30137">
      <w:pPr>
        <w:spacing w:line="440" w:lineRule="exact"/>
        <w:ind w:firstLine="474" w:firstLineChars="200"/>
        <w:jc w:val="both"/>
        <w:rPr>
          <w:rFonts w:ascii="Times New Roman" w:hAnsi="Times New Roman" w:cs="Times New Roman" w:eastAsiaTheme="minorEastAsia"/>
          <w:color w:val="0000FF"/>
          <w:w w:val="99"/>
          <w:sz w:val="24"/>
          <w:szCs w:val="24"/>
        </w:rPr>
      </w:pPr>
      <w:r>
        <w:rPr>
          <w:rFonts w:ascii="Times New Roman" w:hAnsi="Times New Roman" w:cs="Times New Roman" w:eastAsiaTheme="minorEastAsia"/>
          <w:color w:val="0000FF"/>
          <w:w w:val="99"/>
          <w:sz w:val="24"/>
          <w:szCs w:val="24"/>
        </w:rPr>
        <w:t>建设性质：改扩建；</w:t>
      </w:r>
    </w:p>
    <w:p w14:paraId="467273FF">
      <w:pPr>
        <w:spacing w:line="440" w:lineRule="exact"/>
        <w:ind w:firstLine="474" w:firstLineChars="200"/>
        <w:jc w:val="both"/>
        <w:rPr>
          <w:rFonts w:ascii="Times New Roman" w:hAnsi="Times New Roman" w:cs="Times New Roman" w:eastAsiaTheme="minorEastAsia"/>
          <w:color w:val="0000FF"/>
          <w:w w:val="99"/>
          <w:sz w:val="24"/>
          <w:szCs w:val="24"/>
        </w:rPr>
      </w:pPr>
      <w:r>
        <w:rPr>
          <w:rFonts w:ascii="Times New Roman" w:hAnsi="Times New Roman" w:cs="Times New Roman" w:eastAsiaTheme="minorEastAsia"/>
          <w:color w:val="0000FF"/>
          <w:w w:val="99"/>
          <w:sz w:val="24"/>
          <w:szCs w:val="24"/>
        </w:rPr>
        <w:t>建设内容：</w:t>
      </w:r>
      <w:r>
        <w:rPr>
          <w:rFonts w:ascii="Times New Roman" w:hAnsi="Times New Roman" w:cs="Times New Roman" w:eastAsiaTheme="minorEastAsia"/>
          <w:bCs/>
          <w:color w:val="0000FF"/>
          <w:w w:val="99"/>
          <w:sz w:val="24"/>
          <w:szCs w:val="24"/>
          <w:lang w:val="en-US" w:eastAsia="zh-CN" w:bidi="ar-SA"/>
        </w:rPr>
        <w:t>在</w:t>
      </w:r>
      <w:r>
        <w:rPr>
          <w:rFonts w:hint="eastAsia" w:ascii="Times New Roman" w:hAnsi="Times New Roman" w:cs="Times New Roman" w:eastAsiaTheme="minorEastAsia"/>
          <w:bCs/>
          <w:color w:val="0000FF"/>
          <w:w w:val="99"/>
          <w:sz w:val="24"/>
          <w:szCs w:val="24"/>
          <w:lang w:val="en-US" w:eastAsia="zh-CN" w:bidi="ar-SA"/>
        </w:rPr>
        <w:t>杏南二转油站</w:t>
      </w:r>
      <w:r>
        <w:rPr>
          <w:rFonts w:ascii="Times New Roman" w:hAnsi="Times New Roman" w:cs="Times New Roman" w:eastAsiaTheme="minorEastAsia"/>
          <w:bCs/>
          <w:color w:val="0000FF"/>
          <w:w w:val="99"/>
          <w:sz w:val="24"/>
          <w:szCs w:val="24"/>
          <w:lang w:val="en-US" w:eastAsia="zh-CN" w:bidi="ar-SA"/>
        </w:rPr>
        <w:t>已建加药间内新建流动增强剂加药装置 1 套</w:t>
      </w:r>
      <w:r>
        <w:rPr>
          <w:rFonts w:ascii="Times New Roman" w:hAnsi="Times New Roman" w:cs="Times New Roman" w:eastAsiaTheme="minorEastAsia"/>
          <w:bCs/>
          <w:color w:val="0000FF"/>
          <w:w w:val="99"/>
          <w:sz w:val="24"/>
          <w:szCs w:val="24"/>
          <w:lang w:val="en-US" w:bidi="ar-SA"/>
        </w:rPr>
        <w:t>，</w:t>
      </w:r>
      <w:r>
        <w:rPr>
          <w:rFonts w:ascii="Times New Roman" w:hAnsi="Times New Roman" w:cs="Times New Roman" w:eastAsiaTheme="minorEastAsia"/>
          <w:bCs/>
          <w:color w:val="0000FF"/>
          <w:w w:val="99"/>
          <w:sz w:val="24"/>
          <w:szCs w:val="24"/>
          <w:lang w:val="en-US" w:eastAsia="zh-CN" w:bidi="ar-SA"/>
        </w:rPr>
        <w:t>为 3 台掺水泵和 1 台热洗泵</w:t>
      </w:r>
      <w:r>
        <w:rPr>
          <w:rFonts w:hint="eastAsia" w:ascii="Times New Roman" w:hAnsi="Times New Roman" w:cs="Times New Roman" w:eastAsiaTheme="minorEastAsia"/>
          <w:bCs/>
          <w:color w:val="0000FF"/>
          <w:w w:val="99"/>
          <w:sz w:val="24"/>
          <w:szCs w:val="24"/>
          <w:lang w:val="en-US" w:eastAsia="zh-CN" w:bidi="ar-SA"/>
        </w:rPr>
        <w:t>安装</w:t>
      </w:r>
      <w:r>
        <w:rPr>
          <w:rFonts w:ascii="Times New Roman" w:hAnsi="Times New Roman" w:cs="Times New Roman" w:eastAsiaTheme="minorEastAsia"/>
          <w:bCs/>
          <w:color w:val="0000FF"/>
          <w:w w:val="99"/>
          <w:sz w:val="24"/>
          <w:szCs w:val="24"/>
          <w:lang w:val="en-US" w:eastAsia="zh-CN" w:bidi="ar-SA"/>
        </w:rPr>
        <w:t>单台耗电计量</w:t>
      </w:r>
      <w:r>
        <w:rPr>
          <w:rFonts w:hint="eastAsia" w:ascii="Times New Roman" w:hAnsi="Times New Roman" w:cs="Times New Roman" w:eastAsiaTheme="minorEastAsia"/>
          <w:bCs/>
          <w:color w:val="0000FF"/>
          <w:w w:val="99"/>
          <w:sz w:val="24"/>
          <w:szCs w:val="24"/>
          <w:lang w:val="en-US" w:eastAsia="zh-CN" w:bidi="ar-SA"/>
        </w:rPr>
        <w:t>，每座计量间更换掺水流量计共10台，每座计量间内总掺水管线上加装 Y 型管道过滤器共10台，在计量间外单井掺水管线安装机械式掺水调节装置（计量间用）共计 64 台，每口油井新建机械式掺水调节装置（井口用）共 98 套</w:t>
      </w:r>
      <w:r>
        <w:rPr>
          <w:rFonts w:hint="default" w:ascii="Times New Roman" w:hAnsi="Times New Roman" w:cs="Times New Roman" w:eastAsiaTheme="minorEastAsia"/>
          <w:bCs/>
          <w:color w:val="0000FF"/>
          <w:w w:val="99"/>
          <w:sz w:val="24"/>
          <w:szCs w:val="24"/>
          <w:lang w:val="en-US" w:eastAsia="zh-CN" w:bidi="ar-SA"/>
        </w:rPr>
        <w:t>,新建环中井、环尾井掺水管线φ48×3.5 管线 4.5km</w:t>
      </w:r>
      <w:r>
        <w:rPr>
          <w:rFonts w:ascii="Times New Roman" w:hAnsi="Times New Roman" w:cs="Times New Roman" w:eastAsiaTheme="minorEastAsia"/>
          <w:color w:val="0000FF"/>
          <w:w w:val="99"/>
          <w:sz w:val="24"/>
          <w:szCs w:val="24"/>
          <w:lang w:val="en-US"/>
        </w:rPr>
        <w:t>。</w:t>
      </w:r>
    </w:p>
    <w:p w14:paraId="2FD8CF63">
      <w:pPr>
        <w:spacing w:line="440" w:lineRule="exact"/>
        <w:ind w:firstLine="434" w:firstLineChars="200"/>
        <w:jc w:val="both"/>
        <w:rPr>
          <w:rFonts w:ascii="Times New Roman" w:hAnsi="Times New Roman" w:cs="Times New Roman" w:eastAsiaTheme="minorEastAsia"/>
          <w:color w:val="0000FF"/>
          <w:spacing w:val="-13"/>
          <w:w w:val="99"/>
          <w:sz w:val="24"/>
          <w:szCs w:val="24"/>
        </w:rPr>
      </w:pPr>
      <w:r>
        <w:rPr>
          <w:rFonts w:ascii="Times New Roman" w:hAnsi="Times New Roman" w:cs="Times New Roman" w:eastAsiaTheme="minorEastAsia"/>
          <w:color w:val="0000FF"/>
          <w:spacing w:val="-10"/>
          <w:w w:val="99"/>
          <w:sz w:val="24"/>
          <w:szCs w:val="24"/>
        </w:rPr>
        <w:t>占地面积：项目不新增永久占地，临时占地占地面积</w:t>
      </w:r>
      <w:r>
        <w:rPr>
          <w:rFonts w:hint="eastAsia" w:ascii="Times New Roman" w:hAnsi="Times New Roman" w:cs="Times New Roman" w:eastAsiaTheme="minorEastAsia"/>
          <w:color w:val="0000FF"/>
          <w:spacing w:val="-10"/>
          <w:w w:val="99"/>
          <w:sz w:val="24"/>
          <w:szCs w:val="24"/>
          <w:lang w:val="en-US" w:eastAsia="zh-CN"/>
        </w:rPr>
        <w:t>4.5hm</w:t>
      </w:r>
      <w:r>
        <w:rPr>
          <w:rFonts w:hint="eastAsia" w:ascii="Times New Roman" w:hAnsi="Times New Roman" w:cs="Times New Roman" w:eastAsiaTheme="minorEastAsia"/>
          <w:color w:val="0000FF"/>
          <w:spacing w:val="-10"/>
          <w:w w:val="99"/>
          <w:sz w:val="24"/>
          <w:szCs w:val="24"/>
          <w:vertAlign w:val="superscript"/>
          <w:lang w:val="en-US" w:eastAsia="zh-CN"/>
        </w:rPr>
        <w:t>2</w:t>
      </w:r>
      <w:r>
        <w:rPr>
          <w:rFonts w:ascii="Times New Roman" w:hAnsi="Times New Roman" w:cs="Times New Roman" w:eastAsiaTheme="minorEastAsia"/>
          <w:color w:val="0000FF"/>
          <w:spacing w:val="-10"/>
          <w:w w:val="99"/>
          <w:sz w:val="24"/>
          <w:szCs w:val="24"/>
          <w:lang w:val="en-US"/>
        </w:rPr>
        <w:t>。</w:t>
      </w:r>
    </w:p>
    <w:p w14:paraId="2B98C2F6">
      <w:pPr>
        <w:spacing w:line="440" w:lineRule="exact"/>
        <w:ind w:firstLine="470" w:firstLineChars="200"/>
        <w:jc w:val="both"/>
        <w:rPr>
          <w:rFonts w:ascii="Times New Roman" w:hAnsi="Times New Roman" w:cs="Times New Roman" w:eastAsiaTheme="minorEastAsia"/>
          <w:color w:val="0000FF"/>
          <w:w w:val="99"/>
          <w:sz w:val="24"/>
          <w:szCs w:val="24"/>
        </w:rPr>
      </w:pPr>
      <w:r>
        <w:rPr>
          <w:rFonts w:ascii="Times New Roman" w:hAnsi="Times New Roman" w:cs="Times New Roman" w:eastAsiaTheme="minorEastAsia"/>
          <w:color w:val="0000FF"/>
          <w:spacing w:val="-1"/>
          <w:w w:val="99"/>
          <w:sz w:val="24"/>
          <w:szCs w:val="24"/>
        </w:rPr>
        <w:t>工程投资：</w:t>
      </w:r>
      <w:r>
        <w:rPr>
          <w:rFonts w:ascii="Times New Roman" w:hAnsi="Times New Roman" w:cs="Times New Roman" w:eastAsiaTheme="minorEastAsia"/>
          <w:color w:val="0000FF"/>
          <w:spacing w:val="-1"/>
          <w:w w:val="99"/>
          <w:sz w:val="24"/>
          <w:szCs w:val="24"/>
          <w:lang w:val="en-US"/>
        </w:rPr>
        <w:t>2</w:t>
      </w:r>
      <w:r>
        <w:rPr>
          <w:rFonts w:hint="eastAsia" w:ascii="Times New Roman" w:hAnsi="Times New Roman" w:cs="Times New Roman" w:eastAsiaTheme="minorEastAsia"/>
          <w:color w:val="0000FF"/>
          <w:spacing w:val="-1"/>
          <w:w w:val="99"/>
          <w:sz w:val="24"/>
          <w:szCs w:val="24"/>
          <w:lang w:val="en-US" w:eastAsia="zh-CN"/>
        </w:rPr>
        <w:t>06.64</w:t>
      </w:r>
      <w:r>
        <w:rPr>
          <w:rFonts w:ascii="Times New Roman" w:hAnsi="Times New Roman" w:cs="Times New Roman" w:eastAsiaTheme="minorEastAsia"/>
          <w:color w:val="0000FF"/>
          <w:spacing w:val="-1"/>
          <w:w w:val="99"/>
          <w:sz w:val="24"/>
          <w:szCs w:val="24"/>
          <w:lang w:val="en-US"/>
        </w:rPr>
        <w:t>万</w:t>
      </w:r>
      <w:r>
        <w:rPr>
          <w:rFonts w:ascii="Times New Roman" w:hAnsi="Times New Roman" w:cs="Times New Roman" w:eastAsiaTheme="minorEastAsia"/>
          <w:color w:val="0000FF"/>
          <w:w w:val="99"/>
          <w:sz w:val="24"/>
          <w:szCs w:val="24"/>
        </w:rPr>
        <w:t>元。</w:t>
      </w:r>
    </w:p>
    <w:p w14:paraId="316E2FD3">
      <w:pPr>
        <w:spacing w:line="440" w:lineRule="exact"/>
        <w:ind w:firstLine="474" w:firstLineChars="200"/>
        <w:jc w:val="both"/>
        <w:rPr>
          <w:rFonts w:ascii="Times New Roman" w:hAnsi="Times New Roman"/>
          <w:bCs/>
          <w:color w:val="0000FF"/>
          <w:w w:val="99"/>
          <w:sz w:val="24"/>
        </w:rPr>
      </w:pPr>
      <w:r>
        <w:rPr>
          <w:rFonts w:ascii="Times New Roman" w:hAnsi="Times New Roman" w:cs="Times New Roman" w:eastAsiaTheme="minorEastAsia"/>
          <w:color w:val="0000FF"/>
          <w:w w:val="99"/>
          <w:sz w:val="24"/>
          <w:szCs w:val="24"/>
        </w:rPr>
        <w:t>施工时段：预计本项目施工期为202</w:t>
      </w:r>
      <w:r>
        <w:rPr>
          <w:rFonts w:hint="eastAsia" w:ascii="Times New Roman" w:hAnsi="Times New Roman" w:cs="Times New Roman" w:eastAsiaTheme="minorEastAsia"/>
          <w:color w:val="0000FF"/>
          <w:w w:val="99"/>
          <w:sz w:val="24"/>
          <w:szCs w:val="24"/>
          <w:lang w:val="en-US" w:eastAsia="zh-CN"/>
        </w:rPr>
        <w:t>5</w:t>
      </w:r>
      <w:r>
        <w:rPr>
          <w:rFonts w:ascii="Times New Roman" w:hAnsi="Times New Roman" w:cs="Times New Roman" w:eastAsiaTheme="minorEastAsia"/>
          <w:color w:val="0000FF"/>
          <w:w w:val="99"/>
          <w:sz w:val="24"/>
          <w:szCs w:val="24"/>
        </w:rPr>
        <w:t>年</w:t>
      </w:r>
      <w:r>
        <w:rPr>
          <w:rFonts w:hint="eastAsia" w:ascii="Times New Roman" w:hAnsi="Times New Roman" w:cs="Times New Roman" w:eastAsiaTheme="minorEastAsia"/>
          <w:color w:val="0000FF"/>
          <w:w w:val="99"/>
          <w:sz w:val="24"/>
          <w:szCs w:val="24"/>
          <w:lang w:val="en-US" w:eastAsia="zh-CN"/>
        </w:rPr>
        <w:t>3</w:t>
      </w:r>
      <w:r>
        <w:rPr>
          <w:rFonts w:ascii="Times New Roman" w:hAnsi="Times New Roman" w:cs="Times New Roman" w:eastAsiaTheme="minorEastAsia"/>
          <w:color w:val="0000FF"/>
          <w:w w:val="99"/>
          <w:sz w:val="24"/>
          <w:szCs w:val="24"/>
        </w:rPr>
        <w:t>月</w:t>
      </w:r>
      <w:r>
        <w:rPr>
          <w:rFonts w:hint="eastAsia" w:ascii="Times New Roman" w:hAnsi="Times New Roman" w:cs="Times New Roman" w:eastAsiaTheme="minorEastAsia"/>
          <w:color w:val="0000FF"/>
          <w:w w:val="99"/>
          <w:sz w:val="24"/>
          <w:szCs w:val="24"/>
        </w:rPr>
        <w:t>至</w:t>
      </w:r>
      <w:r>
        <w:rPr>
          <w:rFonts w:ascii="Times New Roman" w:hAnsi="Times New Roman" w:cs="Times New Roman" w:eastAsiaTheme="minorEastAsia"/>
          <w:color w:val="0000FF"/>
          <w:w w:val="99"/>
          <w:sz w:val="24"/>
          <w:szCs w:val="24"/>
        </w:rPr>
        <w:t>202</w:t>
      </w:r>
      <w:r>
        <w:rPr>
          <w:rFonts w:hint="eastAsia" w:ascii="Times New Roman" w:hAnsi="Times New Roman" w:cs="Times New Roman" w:eastAsiaTheme="minorEastAsia"/>
          <w:color w:val="0000FF"/>
          <w:w w:val="99"/>
          <w:sz w:val="24"/>
          <w:szCs w:val="24"/>
          <w:lang w:val="en-US" w:eastAsia="zh-CN"/>
        </w:rPr>
        <w:t>5</w:t>
      </w:r>
      <w:r>
        <w:rPr>
          <w:rFonts w:ascii="Times New Roman" w:hAnsi="Times New Roman" w:cs="Times New Roman" w:eastAsiaTheme="minorEastAsia"/>
          <w:color w:val="0000FF"/>
          <w:w w:val="99"/>
          <w:sz w:val="24"/>
          <w:szCs w:val="24"/>
        </w:rPr>
        <w:t>年</w:t>
      </w:r>
      <w:r>
        <w:rPr>
          <w:rFonts w:hint="eastAsia" w:ascii="Times New Roman" w:hAnsi="Times New Roman" w:cs="Times New Roman" w:eastAsiaTheme="minorEastAsia"/>
          <w:color w:val="0000FF"/>
          <w:w w:val="99"/>
          <w:sz w:val="24"/>
          <w:szCs w:val="24"/>
          <w:lang w:val="en-US" w:eastAsia="zh-CN"/>
        </w:rPr>
        <w:t>5</w:t>
      </w:r>
      <w:r>
        <w:rPr>
          <w:rFonts w:ascii="Times New Roman" w:hAnsi="Times New Roman" w:cs="Times New Roman" w:eastAsiaTheme="minorEastAsia"/>
          <w:color w:val="0000FF"/>
          <w:w w:val="99"/>
          <w:sz w:val="24"/>
          <w:szCs w:val="24"/>
        </w:rPr>
        <w:t>月，</w:t>
      </w:r>
      <w:r>
        <w:rPr>
          <w:rFonts w:ascii="Times New Roman" w:hAnsi="Times New Roman"/>
          <w:bCs/>
          <w:color w:val="0000FF"/>
          <w:w w:val="99"/>
          <w:sz w:val="24"/>
        </w:rPr>
        <w:t>施工时间约为60d，不设施工营地</w:t>
      </w:r>
      <w:r>
        <w:rPr>
          <w:rFonts w:ascii="Times New Roman" w:hAnsi="Times New Roman" w:cs="Times New Roman" w:eastAsiaTheme="minorEastAsia"/>
          <w:color w:val="0000FF"/>
          <w:w w:val="99"/>
          <w:sz w:val="24"/>
          <w:szCs w:val="24"/>
        </w:rPr>
        <w:t>。</w:t>
      </w:r>
    </w:p>
    <w:p w14:paraId="4D9ACEF4">
      <w:pPr>
        <w:spacing w:line="440" w:lineRule="exact"/>
        <w:ind w:firstLine="474" w:firstLineChars="200"/>
        <w:jc w:val="both"/>
        <w:rPr>
          <w:rFonts w:ascii="Times New Roman" w:hAnsi="Times New Roman"/>
          <w:bCs/>
          <w:color w:val="0000FF"/>
          <w:w w:val="99"/>
          <w:sz w:val="24"/>
        </w:rPr>
      </w:pPr>
      <w:r>
        <w:rPr>
          <w:rFonts w:ascii="Times New Roman" w:hAnsi="Times New Roman"/>
          <w:bCs/>
          <w:color w:val="0000FF"/>
          <w:w w:val="99"/>
          <w:sz w:val="24"/>
        </w:rPr>
        <w:t>劳动定员：施工人数约20人，运行期不新增劳动定员。</w:t>
      </w:r>
    </w:p>
    <w:p w14:paraId="1B1CEB16">
      <w:pPr>
        <w:pStyle w:val="107"/>
        <w:tabs>
          <w:tab w:val="left" w:pos="930"/>
        </w:tabs>
        <w:spacing w:before="60" w:after="60" w:line="440" w:lineRule="exact"/>
        <w:ind w:left="0" w:firstLine="0"/>
        <w:jc w:val="both"/>
        <w:outlineLvl w:val="2"/>
        <w:rPr>
          <w:rFonts w:ascii="Times New Roman" w:hAnsi="Times New Roman" w:cs="Times New Roman" w:eastAsiaTheme="minorEastAsia"/>
          <w:color w:val="000000" w:themeColor="text1"/>
          <w:w w:val="99"/>
          <w:sz w:val="24"/>
          <w:szCs w:val="24"/>
          <w14:textFill>
            <w14:solidFill>
              <w14:schemeClr w14:val="tx1"/>
            </w14:solidFill>
          </w14:textFill>
        </w:rPr>
      </w:pPr>
      <w:bookmarkStart w:id="85" w:name="_Toc117794547"/>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3.1.2项目组成</w:t>
      </w:r>
      <w:bookmarkEnd w:id="85"/>
    </w:p>
    <w:p w14:paraId="3F737373">
      <w:pPr>
        <w:spacing w:line="440" w:lineRule="exact"/>
        <w:ind w:firstLine="474" w:firstLineChars="200"/>
        <w:jc w:val="both"/>
        <w:rPr>
          <w:rFonts w:ascii="Times New Roman" w:hAnsi="Times New Roman" w:cs="Times New Roman" w:eastAsiaTheme="minorEastAsia"/>
          <w:color w:val="000000" w:themeColor="text1"/>
          <w:w w:val="99"/>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本工程项目组成情况见表3.</w:t>
      </w:r>
      <w:r>
        <w:rPr>
          <w:rFonts w:ascii="Times New Roman" w:hAnsi="Times New Roman" w:cs="Times New Roman" w:eastAsiaTheme="minorEastAsia"/>
          <w:color w:val="000000" w:themeColor="text1"/>
          <w:w w:val="99"/>
          <w:sz w:val="24"/>
          <w:szCs w:val="24"/>
          <w:lang w:val="en-US"/>
          <w14:textFill>
            <w14:solidFill>
              <w14:schemeClr w14:val="tx1"/>
            </w14:solidFill>
          </w14:textFill>
        </w:rPr>
        <w:t>1</w:t>
      </w:r>
      <w:r>
        <w:rPr>
          <w:rFonts w:ascii="Times New Roman" w:hAnsi="Times New Roman" w:cs="Times New Roman" w:eastAsiaTheme="minorEastAsia"/>
          <w:color w:val="000000" w:themeColor="text1"/>
          <w:w w:val="99"/>
          <w:sz w:val="24"/>
          <w:szCs w:val="24"/>
          <w14:textFill>
            <w14:solidFill>
              <w14:schemeClr w14:val="tx1"/>
            </w14:solidFill>
          </w14:textFill>
        </w:rPr>
        <w:t>-1</w:t>
      </w:r>
      <w:r>
        <w:rPr>
          <w:rFonts w:ascii="Times New Roman" w:hAnsi="Times New Roman" w:cs="Times New Roman" w:eastAsiaTheme="minorEastAsia"/>
          <w:color w:val="000000" w:themeColor="text1"/>
          <w:w w:val="99"/>
          <w:sz w:val="24"/>
          <w14:textFill>
            <w14:solidFill>
              <w14:schemeClr w14:val="tx1"/>
            </w14:solidFill>
          </w14:textFill>
        </w:rPr>
        <w:t>。</w:t>
      </w:r>
    </w:p>
    <w:p w14:paraId="4B20CF0E">
      <w:pPr>
        <w:autoSpaceDE/>
        <w:autoSpaceDN/>
        <w:spacing w:line="440" w:lineRule="exact"/>
        <w:ind w:firstLine="476" w:firstLineChars="200"/>
        <w:rPr>
          <w:rFonts w:ascii="Times New Roman" w:hAnsi="Times New Roman" w:cs="Times New Roman" w:eastAsiaTheme="minorEastAsia"/>
          <w:b/>
          <w:snapToGrid w:val="0"/>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
          <w:snapToGrid w:val="0"/>
          <w:color w:val="000000" w:themeColor="text1"/>
          <w:w w:val="99"/>
          <w:sz w:val="24"/>
          <w:szCs w:val="24"/>
          <w:lang w:val="en-US" w:bidi="ar-SA"/>
          <w14:textFill>
            <w14:solidFill>
              <w14:schemeClr w14:val="tx1"/>
            </w14:solidFill>
          </w14:textFill>
        </w:rPr>
        <w:t>表3.1-1        本工程项目组成一览表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4"/>
        <w:gridCol w:w="1314"/>
        <w:gridCol w:w="6161"/>
        <w:gridCol w:w="721"/>
      </w:tblGrid>
      <w:tr w14:paraId="6DE2E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tcBorders>
              <w:tl2br w:val="nil"/>
              <w:tr2bl w:val="nil"/>
            </w:tcBorders>
            <w:vAlign w:val="center"/>
          </w:tcPr>
          <w:p w14:paraId="44B4227A">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r>
              <w:rPr>
                <w:rFonts w:ascii="Times New Roman" w:hAnsi="Times New Roman" w:cs="Times New Roman" w:eastAsiaTheme="minorEastAsia"/>
                <w:color w:val="000000" w:themeColor="text1"/>
                <w:w w:val="99"/>
                <w:sz w:val="21"/>
                <w:szCs w:val="21"/>
                <w:lang w:bidi="ar-SA"/>
                <w14:textFill>
                  <w14:solidFill>
                    <w14:schemeClr w14:val="tx1"/>
                  </w14:solidFill>
                </w14:textFill>
              </w:rPr>
              <w:t>工程类别</w:t>
            </w:r>
          </w:p>
        </w:tc>
        <w:tc>
          <w:tcPr>
            <w:tcW w:w="707" w:type="pct"/>
            <w:tcBorders>
              <w:tl2br w:val="nil"/>
              <w:tr2bl w:val="nil"/>
            </w:tcBorders>
            <w:vAlign w:val="center"/>
          </w:tcPr>
          <w:p w14:paraId="4D9B8CB8">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r>
              <w:rPr>
                <w:rFonts w:ascii="Times New Roman" w:hAnsi="Times New Roman" w:cs="Times New Roman" w:eastAsiaTheme="minorEastAsia"/>
                <w:color w:val="000000" w:themeColor="text1"/>
                <w:w w:val="99"/>
                <w:sz w:val="21"/>
                <w:szCs w:val="21"/>
                <w:lang w:bidi="ar-SA"/>
                <w14:textFill>
                  <w14:solidFill>
                    <w14:schemeClr w14:val="tx1"/>
                  </w14:solidFill>
                </w14:textFill>
              </w:rPr>
              <w:t>工程名称</w:t>
            </w:r>
          </w:p>
        </w:tc>
        <w:tc>
          <w:tcPr>
            <w:tcW w:w="3316" w:type="pct"/>
            <w:tcBorders>
              <w:tl2br w:val="nil"/>
              <w:tr2bl w:val="nil"/>
            </w:tcBorders>
            <w:vAlign w:val="center"/>
          </w:tcPr>
          <w:p w14:paraId="637245FC">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r>
              <w:rPr>
                <w:rFonts w:ascii="Times New Roman" w:hAnsi="Times New Roman" w:cs="Times New Roman" w:eastAsiaTheme="minorEastAsia"/>
                <w:color w:val="000000" w:themeColor="text1"/>
                <w:w w:val="99"/>
                <w:sz w:val="21"/>
                <w:szCs w:val="21"/>
                <w:lang w:bidi="ar-SA"/>
                <w14:textFill>
                  <w14:solidFill>
                    <w14:schemeClr w14:val="tx1"/>
                  </w14:solidFill>
                </w14:textFill>
              </w:rPr>
              <w:t>规模及建设内容</w:t>
            </w:r>
          </w:p>
        </w:tc>
        <w:tc>
          <w:tcPr>
            <w:tcW w:w="388" w:type="pct"/>
            <w:tcBorders>
              <w:tl2br w:val="nil"/>
              <w:tr2bl w:val="nil"/>
            </w:tcBorders>
            <w:vAlign w:val="center"/>
          </w:tcPr>
          <w:p w14:paraId="31F3B7E7">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r>
              <w:rPr>
                <w:rFonts w:ascii="Times New Roman" w:hAnsi="Times New Roman" w:cs="Times New Roman" w:eastAsiaTheme="minorEastAsia"/>
                <w:color w:val="000000" w:themeColor="text1"/>
                <w:w w:val="99"/>
                <w:sz w:val="21"/>
                <w:szCs w:val="21"/>
                <w:lang w:bidi="ar-SA"/>
                <w14:textFill>
                  <w14:solidFill>
                    <w14:schemeClr w14:val="tx1"/>
                  </w14:solidFill>
                </w14:textFill>
              </w:rPr>
              <w:t>备注</w:t>
            </w:r>
          </w:p>
        </w:tc>
      </w:tr>
      <w:tr w14:paraId="1709D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restart"/>
            <w:tcBorders>
              <w:tl2br w:val="nil"/>
              <w:tr2bl w:val="nil"/>
            </w:tcBorders>
            <w:vAlign w:val="center"/>
          </w:tcPr>
          <w:p w14:paraId="35B317B8">
            <w:pPr>
              <w:adjustRightInd w:val="0"/>
              <w:snapToGrid w:val="0"/>
              <w:spacing w:line="32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r>
              <w:rPr>
                <w:rFonts w:ascii="Times New Roman" w:hAnsi="Times New Roman" w:cs="Times New Roman" w:eastAsiaTheme="minorEastAsia"/>
                <w:color w:val="000000" w:themeColor="text1"/>
                <w:w w:val="99"/>
                <w:sz w:val="21"/>
                <w:szCs w:val="21"/>
                <w:lang w:bidi="ar-SA"/>
                <w14:textFill>
                  <w14:solidFill>
                    <w14:schemeClr w14:val="tx1"/>
                  </w14:solidFill>
                </w14:textFill>
              </w:rPr>
              <w:t>主体工程</w:t>
            </w:r>
          </w:p>
        </w:tc>
        <w:tc>
          <w:tcPr>
            <w:tcW w:w="707" w:type="pct"/>
            <w:tcBorders>
              <w:tl2br w:val="nil"/>
              <w:tr2bl w:val="nil"/>
            </w:tcBorders>
            <w:vAlign w:val="center"/>
          </w:tcPr>
          <w:p w14:paraId="32A1C549">
            <w:pPr>
              <w:widowControl/>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混输阀组间1座</w:t>
            </w:r>
          </w:p>
        </w:tc>
        <w:tc>
          <w:tcPr>
            <w:tcW w:w="3316" w:type="pct"/>
            <w:tcBorders>
              <w:tl2br w:val="nil"/>
              <w:tr2bl w:val="nil"/>
            </w:tcBorders>
            <w:vAlign w:val="center"/>
          </w:tcPr>
          <w:p w14:paraId="031A5A63">
            <w:pPr>
              <w:adjustRightInd w:val="0"/>
              <w:spacing w:line="320" w:lineRule="exact"/>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在原17号拉油点位置新建混输阀组间1座，阀组间内新建2台Q=</w:t>
            </w:r>
            <w:r>
              <w:rPr>
                <w:rFonts w:ascii="Times New Roman" w:hAnsi="Times New Roman" w:cs="Times New Roman" w:eastAsiaTheme="minorEastAsia"/>
                <w:color w:val="000000" w:themeColor="text1"/>
                <w:w w:val="99"/>
                <w:sz w:val="21"/>
                <w:szCs w:val="21"/>
                <w:lang w:val="en-US"/>
                <w14:textFill>
                  <w14:solidFill>
                    <w14:schemeClr w14:val="tx1"/>
                  </w14:solidFill>
                </w14:textFill>
              </w:rPr>
              <w:t>80</w:t>
            </w:r>
            <w:r>
              <w:rPr>
                <w:rFonts w:ascii="Times New Roman" w:hAnsi="Times New Roman" w:cs="Times New Roman" w:eastAsiaTheme="minorEastAsia"/>
                <w:color w:val="000000" w:themeColor="text1"/>
                <w:w w:val="99"/>
                <w:sz w:val="21"/>
                <w:szCs w:val="21"/>
                <w14:textFill>
                  <w14:solidFill>
                    <w14:schemeClr w14:val="tx1"/>
                  </w14:solidFill>
                </w14:textFill>
              </w:rPr>
              <w:t>m</w:t>
            </w:r>
            <w:r>
              <w:rPr>
                <w:rFonts w:ascii="Times New Roman" w:hAnsi="Times New Roman" w:cs="Times New Roman" w:eastAsiaTheme="minorEastAsia"/>
                <w:color w:val="000000" w:themeColor="text1"/>
                <w:w w:val="99"/>
                <w:sz w:val="21"/>
                <w:szCs w:val="21"/>
                <w:vertAlign w:val="superscript"/>
                <w14:textFill>
                  <w14:solidFill>
                    <w14:schemeClr w14:val="tx1"/>
                  </w14:solidFill>
                </w14:textFill>
              </w:rPr>
              <w:t>3</w:t>
            </w:r>
            <w:r>
              <w:rPr>
                <w:rFonts w:ascii="Times New Roman" w:hAnsi="Times New Roman" w:cs="Times New Roman" w:eastAsiaTheme="minorEastAsia"/>
                <w:color w:val="000000" w:themeColor="text1"/>
                <w:w w:val="99"/>
                <w:sz w:val="21"/>
                <w:szCs w:val="21"/>
                <w14:textFill>
                  <w14:solidFill>
                    <w14:schemeClr w14:val="tx1"/>
                  </w14:solidFill>
                </w14:textFill>
              </w:rPr>
              <w:t>/h，ΔP=</w:t>
            </w:r>
            <w:r>
              <w:rPr>
                <w:rFonts w:ascii="Times New Roman" w:hAnsi="Times New Roman" w:cs="Times New Roman" w:eastAsiaTheme="minorEastAsia"/>
                <w:color w:val="000000" w:themeColor="text1"/>
                <w:w w:val="99"/>
                <w:sz w:val="21"/>
                <w:szCs w:val="21"/>
                <w:lang w:val="en-US"/>
                <w14:textFill>
                  <w14:solidFill>
                    <w14:schemeClr w14:val="tx1"/>
                  </w14:solidFill>
                </w14:textFill>
              </w:rPr>
              <w:t>0.8</w:t>
            </w:r>
            <w:r>
              <w:rPr>
                <w:rFonts w:ascii="Times New Roman" w:hAnsi="Times New Roman" w:cs="Times New Roman" w:eastAsiaTheme="minorEastAsia"/>
                <w:color w:val="000000" w:themeColor="text1"/>
                <w:w w:val="99"/>
                <w:sz w:val="21"/>
                <w:szCs w:val="21"/>
                <w14:textFill>
                  <w14:solidFill>
                    <w14:schemeClr w14:val="tx1"/>
                  </w14:solidFill>
                </w14:textFill>
              </w:rPr>
              <w:t>MPa的混输泵，运1备1。</w:t>
            </w:r>
          </w:p>
        </w:tc>
        <w:tc>
          <w:tcPr>
            <w:tcW w:w="388" w:type="pct"/>
            <w:tcBorders>
              <w:tl2br w:val="nil"/>
              <w:tr2bl w:val="nil"/>
            </w:tcBorders>
            <w:vAlign w:val="center"/>
          </w:tcPr>
          <w:p w14:paraId="250A4BC7">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新建</w:t>
            </w:r>
          </w:p>
        </w:tc>
      </w:tr>
      <w:tr w14:paraId="594B5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vAlign w:val="center"/>
          </w:tcPr>
          <w:p w14:paraId="1EE6BA65">
            <w:pPr>
              <w:adjustRightInd w:val="0"/>
              <w:snapToGrid w:val="0"/>
              <w:spacing w:line="32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p>
        </w:tc>
        <w:tc>
          <w:tcPr>
            <w:tcW w:w="707" w:type="pct"/>
            <w:tcBorders>
              <w:tl2br w:val="nil"/>
              <w:tr2bl w:val="nil"/>
            </w:tcBorders>
            <w:vAlign w:val="center"/>
          </w:tcPr>
          <w:p w14:paraId="14897535">
            <w:pPr>
              <w:widowControl/>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集油管道</w:t>
            </w:r>
            <w:r>
              <w:rPr>
                <w:rFonts w:ascii="Times New Roman" w:hAnsi="Times New Roman" w:cs="Times New Roman" w:eastAsiaTheme="minorEastAsia"/>
                <w:color w:val="000000" w:themeColor="text1"/>
                <w:w w:val="99"/>
                <w:sz w:val="21"/>
                <w:szCs w:val="21"/>
                <w:lang w:val="en-US"/>
                <w14:textFill>
                  <w14:solidFill>
                    <w14:schemeClr w14:val="tx1"/>
                  </w14:solidFill>
                </w14:textFill>
              </w:rPr>
              <w:t>23.37km</w:t>
            </w:r>
          </w:p>
        </w:tc>
        <w:tc>
          <w:tcPr>
            <w:tcW w:w="3316" w:type="pct"/>
            <w:tcBorders>
              <w:tl2br w:val="nil"/>
              <w:tr2bl w:val="nil"/>
            </w:tcBorders>
            <w:vAlign w:val="center"/>
          </w:tcPr>
          <w:p w14:paraId="786234CA">
            <w:pPr>
              <w:adjustRightInd w:val="0"/>
              <w:spacing w:line="320" w:lineRule="exact"/>
              <w:jc w:val="both"/>
              <w:rPr>
                <w:rFonts w:ascii="Times New Roman" w:hAnsi="Times New Roman" w:cs="Times New Roman" w:eastAsiaTheme="minorEastAsia"/>
                <w:color w:val="000000" w:themeColor="text1"/>
                <w:w w:val="99"/>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新建</w:t>
            </w:r>
            <w:r>
              <w:rPr>
                <w:rFonts w:ascii="Times New Roman" w:hAnsi="Times New Roman" w:cs="Times New Roman" w:eastAsiaTheme="minorEastAsia"/>
                <w:color w:val="000000" w:themeColor="text1"/>
                <w:w w:val="99"/>
                <w:sz w:val="21"/>
                <w:szCs w:val="21"/>
                <w:lang w:val="en-US"/>
                <w14:textFill>
                  <w14:solidFill>
                    <w14:schemeClr w14:val="tx1"/>
                  </w14:solidFill>
                </w14:textFill>
              </w:rPr>
              <w:t>11号平台至龙一联合站</w:t>
            </w:r>
            <w:r>
              <w:rPr>
                <w:rFonts w:ascii="Times New Roman" w:hAnsi="Times New Roman" w:cs="Times New Roman" w:eastAsiaTheme="minorEastAsia"/>
                <w:color w:val="000000" w:themeColor="text1"/>
                <w:w w:val="99"/>
                <w:szCs w:val="21"/>
                <w14:textFill>
                  <w14:solidFill>
                    <w14:schemeClr w14:val="tx1"/>
                  </w14:solidFill>
                </w14:textFill>
              </w:rPr>
              <w:t>φ89×4.5电热管道</w:t>
            </w:r>
            <w:r>
              <w:rPr>
                <w:rFonts w:ascii="Times New Roman" w:hAnsi="Times New Roman" w:cs="Times New Roman" w:eastAsiaTheme="minorEastAsia"/>
                <w:color w:val="000000" w:themeColor="text1"/>
                <w:w w:val="99"/>
                <w:szCs w:val="21"/>
                <w:lang w:val="en-US"/>
                <w14:textFill>
                  <w14:solidFill>
                    <w14:schemeClr w14:val="tx1"/>
                  </w14:solidFill>
                </w14:textFill>
              </w:rPr>
              <w:t>3.15km；</w:t>
            </w:r>
          </w:p>
          <w:p w14:paraId="6A900E9C">
            <w:pPr>
              <w:adjustRightInd w:val="0"/>
              <w:spacing w:line="320" w:lineRule="exact"/>
              <w:jc w:val="both"/>
              <w:rPr>
                <w:rFonts w:ascii="Times New Roman" w:hAnsi="Times New Roman" w:cs="Times New Roman" w:eastAsiaTheme="minorEastAsia"/>
                <w:color w:val="000000" w:themeColor="text1"/>
                <w:w w:val="99"/>
                <w:szCs w:val="21"/>
                <w:lang w:val="en-US"/>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新建</w:t>
            </w:r>
            <w:r>
              <w:rPr>
                <w:rFonts w:ascii="Times New Roman" w:hAnsi="Times New Roman" w:cs="Times New Roman" w:eastAsiaTheme="minorEastAsia"/>
                <w:color w:val="000000" w:themeColor="text1"/>
                <w:w w:val="99"/>
                <w:szCs w:val="21"/>
                <w14:textFill>
                  <w14:solidFill>
                    <w14:schemeClr w14:val="tx1"/>
                  </w14:solidFill>
                </w14:textFill>
              </w:rPr>
              <w:t>龙27-1号拉油点1号平台至龙27-斜6拉油点Φ60×3.5电热管道</w:t>
            </w:r>
            <w:r>
              <w:rPr>
                <w:rFonts w:ascii="Times New Roman" w:hAnsi="Times New Roman" w:cs="Times New Roman" w:eastAsiaTheme="minorEastAsia"/>
                <w:color w:val="000000" w:themeColor="text1"/>
                <w:w w:val="99"/>
                <w:szCs w:val="21"/>
                <w:lang w:val="en-US"/>
                <w14:textFill>
                  <w14:solidFill>
                    <w14:schemeClr w14:val="tx1"/>
                  </w14:solidFill>
                </w14:textFill>
              </w:rPr>
              <w:t>0.8km；</w:t>
            </w:r>
          </w:p>
          <w:p w14:paraId="338D5FCC">
            <w:pPr>
              <w:adjustRightInd w:val="0"/>
              <w:spacing w:line="320" w:lineRule="exact"/>
              <w:jc w:val="both"/>
              <w:rPr>
                <w:rFonts w:ascii="Times New Roman" w:hAnsi="Times New Roman" w:cs="Times New Roman" w:eastAsiaTheme="minorEastAsia"/>
                <w:color w:val="000000" w:themeColor="text1"/>
                <w:w w:val="99"/>
                <w:szCs w:val="21"/>
                <w:lang w:val="en-US"/>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新建</w:t>
            </w:r>
            <w:r>
              <w:rPr>
                <w:rFonts w:ascii="Times New Roman" w:hAnsi="Times New Roman" w:cs="Times New Roman" w:eastAsiaTheme="minorEastAsia"/>
                <w:color w:val="000000" w:themeColor="text1"/>
                <w:w w:val="99"/>
                <w:szCs w:val="21"/>
                <w14:textFill>
                  <w14:solidFill>
                    <w14:schemeClr w14:val="tx1"/>
                  </w14:solidFill>
                </w14:textFill>
              </w:rPr>
              <w:t>龙27-5拉油点至龙27-斜6拉油点Φ60×3.5</w:t>
            </w:r>
            <w:r>
              <w:rPr>
                <w:rFonts w:ascii="Times New Roman" w:hAnsi="Times New Roman" w:cs="Times New Roman" w:eastAsiaTheme="minorEastAsia"/>
                <w:color w:val="000000" w:themeColor="text1"/>
                <w:w w:val="99"/>
                <w:szCs w:val="21"/>
                <w:lang w:val="en-US"/>
                <w14:textFill>
                  <w14:solidFill>
                    <w14:schemeClr w14:val="tx1"/>
                  </w14:solidFill>
                </w14:textFill>
              </w:rPr>
              <w:t>电热管道</w:t>
            </w:r>
            <w:r>
              <w:rPr>
                <w:rFonts w:ascii="Times New Roman" w:hAnsi="Times New Roman" w:cs="Times New Roman" w:eastAsiaTheme="minorEastAsia"/>
                <w:color w:val="000000" w:themeColor="text1"/>
                <w:w w:val="99"/>
                <w:szCs w:val="21"/>
                <w14:textFill>
                  <w14:solidFill>
                    <w14:schemeClr w14:val="tx1"/>
                  </w14:solidFill>
                </w14:textFill>
              </w:rPr>
              <w:t>0.42km；</w:t>
            </w:r>
          </w:p>
          <w:p w14:paraId="51A0E8E1">
            <w:pPr>
              <w:adjustRightInd w:val="0"/>
              <w:spacing w:line="320" w:lineRule="exact"/>
              <w:jc w:val="both"/>
              <w:rPr>
                <w:rFonts w:ascii="Times New Roman" w:hAnsi="Times New Roman" w:cs="Times New Roman" w:eastAsiaTheme="minorEastAsia"/>
                <w:color w:val="000000" w:themeColor="text1"/>
                <w:w w:val="99"/>
                <w:szCs w:val="21"/>
                <w:lang w:val="en-US"/>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新建</w:t>
            </w:r>
            <w:r>
              <w:rPr>
                <w:rFonts w:ascii="Times New Roman" w:hAnsi="Times New Roman" w:cs="Times New Roman" w:eastAsiaTheme="minorEastAsia"/>
                <w:color w:val="000000" w:themeColor="text1"/>
                <w:w w:val="99"/>
                <w:szCs w:val="21"/>
                <w14:textFill>
                  <w14:solidFill>
                    <w14:schemeClr w14:val="tx1"/>
                  </w14:solidFill>
                </w14:textFill>
              </w:rPr>
              <w:t>5号拉油点至汇合点1Φ60×3.5</w:t>
            </w:r>
            <w:r>
              <w:rPr>
                <w:rFonts w:ascii="Times New Roman" w:hAnsi="Times New Roman" w:cs="Times New Roman" w:eastAsiaTheme="minorEastAsia"/>
                <w:color w:val="000000" w:themeColor="text1"/>
                <w:w w:val="99"/>
                <w:szCs w:val="21"/>
                <w:lang w:val="en-US"/>
                <w14:textFill>
                  <w14:solidFill>
                    <w14:schemeClr w14:val="tx1"/>
                  </w14:solidFill>
                </w14:textFill>
              </w:rPr>
              <w:t>电热管道</w:t>
            </w:r>
            <w:r>
              <w:rPr>
                <w:rFonts w:ascii="Times New Roman" w:hAnsi="Times New Roman" w:cs="Times New Roman" w:eastAsiaTheme="minorEastAsia"/>
                <w:color w:val="000000" w:themeColor="text1"/>
                <w:w w:val="99"/>
                <w:szCs w:val="21"/>
                <w14:textFill>
                  <w14:solidFill>
                    <w14:schemeClr w14:val="tx1"/>
                  </w14:solidFill>
                </w14:textFill>
              </w:rPr>
              <w:t>0.65km</w:t>
            </w:r>
            <w:r>
              <w:rPr>
                <w:rFonts w:ascii="Times New Roman" w:hAnsi="Times New Roman" w:cs="Times New Roman" w:eastAsiaTheme="minorEastAsia"/>
                <w:color w:val="000000" w:themeColor="text1"/>
                <w:w w:val="99"/>
                <w:szCs w:val="21"/>
                <w:lang w:val="en-US"/>
                <w14:textFill>
                  <w14:solidFill>
                    <w14:schemeClr w14:val="tx1"/>
                  </w14:solidFill>
                </w14:textFill>
              </w:rPr>
              <w:t>；</w:t>
            </w:r>
          </w:p>
          <w:p w14:paraId="2512DC6D">
            <w:pPr>
              <w:adjustRightInd w:val="0"/>
              <w:spacing w:line="320" w:lineRule="exact"/>
              <w:jc w:val="both"/>
              <w:rPr>
                <w:rFonts w:ascii="Times New Roman" w:hAnsi="Times New Roman" w:cs="Times New Roman" w:eastAsiaTheme="minorEastAsia"/>
                <w:color w:val="000000" w:themeColor="text1"/>
                <w:w w:val="99"/>
                <w:szCs w:val="21"/>
                <w:lang w:val="en-US"/>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新建</w:t>
            </w:r>
            <w:r>
              <w:rPr>
                <w:rFonts w:ascii="Times New Roman" w:hAnsi="Times New Roman" w:cs="Times New Roman" w:eastAsiaTheme="minorEastAsia"/>
                <w:color w:val="000000" w:themeColor="text1"/>
                <w:w w:val="99"/>
                <w:szCs w:val="21"/>
                <w14:textFill>
                  <w14:solidFill>
                    <w14:schemeClr w14:val="tx1"/>
                  </w14:solidFill>
                </w14:textFill>
              </w:rPr>
              <w:t>龙242-斜3拉油点至汇合点2Φ60×3.5</w:t>
            </w:r>
            <w:r>
              <w:rPr>
                <w:rFonts w:ascii="Times New Roman" w:hAnsi="Times New Roman" w:cs="Times New Roman" w:eastAsiaTheme="minorEastAsia"/>
                <w:color w:val="000000" w:themeColor="text1"/>
                <w:w w:val="99"/>
                <w:szCs w:val="21"/>
                <w:lang w:val="en-US"/>
                <w14:textFill>
                  <w14:solidFill>
                    <w14:schemeClr w14:val="tx1"/>
                  </w14:solidFill>
                </w14:textFill>
              </w:rPr>
              <w:t>电热管道</w:t>
            </w:r>
            <w:r>
              <w:rPr>
                <w:rFonts w:ascii="Times New Roman" w:hAnsi="Times New Roman" w:cs="Times New Roman" w:eastAsiaTheme="minorEastAsia"/>
                <w:color w:val="000000" w:themeColor="text1"/>
                <w:w w:val="99"/>
                <w:szCs w:val="21"/>
                <w14:textFill>
                  <w14:solidFill>
                    <w14:schemeClr w14:val="tx1"/>
                  </w14:solidFill>
                </w14:textFill>
              </w:rPr>
              <w:t>0.48km</w:t>
            </w:r>
            <w:r>
              <w:rPr>
                <w:rFonts w:ascii="Times New Roman" w:hAnsi="Times New Roman" w:cs="Times New Roman" w:eastAsiaTheme="minorEastAsia"/>
                <w:color w:val="000000" w:themeColor="text1"/>
                <w:w w:val="99"/>
                <w:szCs w:val="21"/>
                <w:lang w:val="en-US"/>
                <w14:textFill>
                  <w14:solidFill>
                    <w14:schemeClr w14:val="tx1"/>
                  </w14:solidFill>
                </w14:textFill>
              </w:rPr>
              <w:t>；</w:t>
            </w:r>
          </w:p>
          <w:p w14:paraId="5F9F0F85">
            <w:pPr>
              <w:adjustRightInd w:val="0"/>
              <w:spacing w:line="320" w:lineRule="exact"/>
              <w:jc w:val="both"/>
              <w:rPr>
                <w:rFonts w:ascii="Times New Roman" w:hAnsi="Times New Roman" w:cs="Times New Roman" w:eastAsiaTheme="minorEastAsia"/>
                <w:color w:val="000000" w:themeColor="text1"/>
                <w:w w:val="99"/>
                <w:szCs w:val="21"/>
                <w:lang w:val="en-US"/>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新建</w:t>
            </w:r>
            <w:r>
              <w:rPr>
                <w:rFonts w:ascii="Times New Roman" w:hAnsi="Times New Roman" w:cs="Times New Roman" w:eastAsiaTheme="minorEastAsia"/>
                <w:color w:val="000000" w:themeColor="text1"/>
                <w:w w:val="99"/>
                <w:szCs w:val="21"/>
                <w14:textFill>
                  <w14:solidFill>
                    <w14:schemeClr w14:val="tx1"/>
                  </w14:solidFill>
                </w14:textFill>
              </w:rPr>
              <w:t>龙26-平54拉油点至龙27-斜6拉油点4号平台Φ60×3.5</w:t>
            </w:r>
            <w:r>
              <w:rPr>
                <w:rFonts w:ascii="Times New Roman" w:hAnsi="Times New Roman" w:cs="Times New Roman" w:eastAsiaTheme="minorEastAsia"/>
                <w:color w:val="000000" w:themeColor="text1"/>
                <w:w w:val="99"/>
                <w:szCs w:val="21"/>
                <w:lang w:val="en-US"/>
                <w14:textFill>
                  <w14:solidFill>
                    <w14:schemeClr w14:val="tx1"/>
                  </w14:solidFill>
                </w14:textFill>
              </w:rPr>
              <w:t>电热管道</w:t>
            </w:r>
            <w:r>
              <w:rPr>
                <w:rFonts w:ascii="Times New Roman" w:hAnsi="Times New Roman" w:cs="Times New Roman" w:eastAsiaTheme="minorEastAsia"/>
                <w:color w:val="000000" w:themeColor="text1"/>
                <w:w w:val="99"/>
                <w:szCs w:val="21"/>
                <w14:textFill>
                  <w14:solidFill>
                    <w14:schemeClr w14:val="tx1"/>
                  </w14:solidFill>
                </w14:textFill>
              </w:rPr>
              <w:t>0.88km</w:t>
            </w:r>
            <w:r>
              <w:rPr>
                <w:rFonts w:ascii="Times New Roman" w:hAnsi="Times New Roman" w:cs="Times New Roman" w:eastAsiaTheme="minorEastAsia"/>
                <w:color w:val="000000" w:themeColor="text1"/>
                <w:w w:val="99"/>
                <w:szCs w:val="21"/>
                <w:lang w:val="en-US"/>
                <w14:textFill>
                  <w14:solidFill>
                    <w14:schemeClr w14:val="tx1"/>
                  </w14:solidFill>
                </w14:textFill>
              </w:rPr>
              <w:t>；</w:t>
            </w:r>
          </w:p>
          <w:p w14:paraId="74235DEB">
            <w:pPr>
              <w:adjustRightInd w:val="0"/>
              <w:spacing w:line="320" w:lineRule="exact"/>
              <w:jc w:val="both"/>
              <w:rPr>
                <w:rFonts w:ascii="Times New Roman" w:hAnsi="Times New Roman" w:cs="Times New Roman" w:eastAsiaTheme="minorEastAsia"/>
                <w:color w:val="000000" w:themeColor="text1"/>
                <w:w w:val="99"/>
                <w:szCs w:val="21"/>
                <w:lang w:val="en-US"/>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新建</w:t>
            </w:r>
            <w:r>
              <w:rPr>
                <w:rFonts w:ascii="Times New Roman" w:hAnsi="Times New Roman" w:cs="Times New Roman" w:eastAsiaTheme="minorEastAsia"/>
                <w:color w:val="000000" w:themeColor="text1"/>
                <w:w w:val="99"/>
                <w:szCs w:val="21"/>
                <w14:textFill>
                  <w14:solidFill>
                    <w14:schemeClr w14:val="tx1"/>
                  </w14:solidFill>
                </w14:textFill>
              </w:rPr>
              <w:t>龙27-斜6拉油点至新建混输阀组间Φ76×4.5</w:t>
            </w:r>
            <w:r>
              <w:rPr>
                <w:rFonts w:ascii="Times New Roman" w:hAnsi="Times New Roman" w:cs="Times New Roman" w:eastAsiaTheme="minorEastAsia"/>
                <w:color w:val="000000" w:themeColor="text1"/>
                <w:w w:val="99"/>
                <w:szCs w:val="21"/>
                <w:lang w:val="en-US"/>
                <w14:textFill>
                  <w14:solidFill>
                    <w14:schemeClr w14:val="tx1"/>
                  </w14:solidFill>
                </w14:textFill>
              </w:rPr>
              <w:t>电热管道</w:t>
            </w:r>
            <w:r>
              <w:rPr>
                <w:rFonts w:ascii="Times New Roman" w:hAnsi="Times New Roman" w:cs="Times New Roman" w:eastAsiaTheme="minorEastAsia"/>
                <w:color w:val="000000" w:themeColor="text1"/>
                <w:w w:val="99"/>
                <w:szCs w:val="21"/>
                <w14:textFill>
                  <w14:solidFill>
                    <w14:schemeClr w14:val="tx1"/>
                  </w14:solidFill>
                </w14:textFill>
              </w:rPr>
              <w:t>3km</w:t>
            </w:r>
            <w:r>
              <w:rPr>
                <w:rFonts w:ascii="Times New Roman" w:hAnsi="Times New Roman" w:cs="Times New Roman" w:eastAsiaTheme="minorEastAsia"/>
                <w:color w:val="000000" w:themeColor="text1"/>
                <w:w w:val="99"/>
                <w:szCs w:val="21"/>
                <w:lang w:val="en-US"/>
                <w14:textFill>
                  <w14:solidFill>
                    <w14:schemeClr w14:val="tx1"/>
                  </w14:solidFill>
                </w14:textFill>
              </w:rPr>
              <w:t>；</w:t>
            </w:r>
          </w:p>
          <w:p w14:paraId="0BD70333">
            <w:pPr>
              <w:adjustRightInd w:val="0"/>
              <w:spacing w:line="320" w:lineRule="exact"/>
              <w:jc w:val="both"/>
              <w:rPr>
                <w:rFonts w:ascii="Times New Roman" w:hAnsi="Times New Roman" w:cs="Times New Roman" w:eastAsiaTheme="minorEastAsia"/>
                <w:color w:val="000000" w:themeColor="text1"/>
                <w:w w:val="99"/>
                <w:szCs w:val="21"/>
                <w:lang w:val="en-US"/>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新建</w:t>
            </w:r>
            <w:r>
              <w:rPr>
                <w:rFonts w:ascii="Times New Roman" w:hAnsi="Times New Roman" w:cs="Times New Roman" w:eastAsiaTheme="minorEastAsia"/>
                <w:color w:val="000000" w:themeColor="text1"/>
                <w:w w:val="99"/>
                <w:szCs w:val="21"/>
                <w14:textFill>
                  <w14:solidFill>
                    <w14:schemeClr w14:val="tx1"/>
                  </w14:solidFill>
                </w14:textFill>
              </w:rPr>
              <w:t>混输阀组间至龙一联合站Φ168×5</w:t>
            </w:r>
            <w:r>
              <w:rPr>
                <w:rFonts w:ascii="Times New Roman" w:hAnsi="Times New Roman" w:cs="Times New Roman" w:eastAsiaTheme="minorEastAsia"/>
                <w:color w:val="000000" w:themeColor="text1"/>
                <w:w w:val="99"/>
                <w:szCs w:val="21"/>
                <w:lang w:val="en-US"/>
                <w14:textFill>
                  <w14:solidFill>
                    <w14:schemeClr w14:val="tx1"/>
                  </w14:solidFill>
                </w14:textFill>
              </w:rPr>
              <w:t>电热管道</w:t>
            </w:r>
            <w:r>
              <w:rPr>
                <w:rFonts w:ascii="Times New Roman" w:hAnsi="Times New Roman" w:cs="Times New Roman" w:eastAsiaTheme="minorEastAsia"/>
                <w:color w:val="000000" w:themeColor="text1"/>
                <w:w w:val="99"/>
                <w:szCs w:val="21"/>
                <w14:textFill>
                  <w14:solidFill>
                    <w14:schemeClr w14:val="tx1"/>
                  </w14:solidFill>
                </w14:textFill>
              </w:rPr>
              <w:t>7.35km</w:t>
            </w:r>
            <w:r>
              <w:rPr>
                <w:rFonts w:ascii="Times New Roman" w:hAnsi="Times New Roman" w:cs="Times New Roman" w:eastAsiaTheme="minorEastAsia"/>
                <w:color w:val="000000" w:themeColor="text1"/>
                <w:w w:val="99"/>
                <w:szCs w:val="21"/>
                <w:lang w:val="en-US"/>
                <w14:textFill>
                  <w14:solidFill>
                    <w14:schemeClr w14:val="tx1"/>
                  </w14:solidFill>
                </w14:textFill>
              </w:rPr>
              <w:t>；</w:t>
            </w:r>
          </w:p>
          <w:p w14:paraId="52A274B2">
            <w:pPr>
              <w:adjustRightInd w:val="0"/>
              <w:spacing w:line="320" w:lineRule="exact"/>
              <w:jc w:val="both"/>
              <w:rPr>
                <w:rFonts w:ascii="Times New Roman" w:hAnsi="Times New Roman" w:cs="Times New Roman" w:eastAsiaTheme="minorEastAsia"/>
                <w:color w:val="000000" w:themeColor="text1"/>
                <w:w w:val="99"/>
                <w:szCs w:val="21"/>
                <w:lang w:val="en-US"/>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新建</w:t>
            </w:r>
            <w:r>
              <w:rPr>
                <w:rFonts w:ascii="Times New Roman" w:hAnsi="Times New Roman" w:cs="Times New Roman" w:eastAsiaTheme="minorEastAsia"/>
                <w:color w:val="000000" w:themeColor="text1"/>
                <w:w w:val="99"/>
                <w:szCs w:val="21"/>
                <w14:textFill>
                  <w14:solidFill>
                    <w14:schemeClr w14:val="tx1"/>
                  </w14:solidFill>
                </w14:textFill>
              </w:rPr>
              <w:t>龙242-1拉油点至汇合点3Φ60×3.5</w:t>
            </w:r>
            <w:r>
              <w:rPr>
                <w:rFonts w:ascii="Times New Roman" w:hAnsi="Times New Roman" w:cs="Times New Roman" w:eastAsiaTheme="minorEastAsia"/>
                <w:color w:val="000000" w:themeColor="text1"/>
                <w:w w:val="99"/>
                <w:szCs w:val="21"/>
                <w:lang w:val="en-US"/>
                <w14:textFill>
                  <w14:solidFill>
                    <w14:schemeClr w14:val="tx1"/>
                  </w14:solidFill>
                </w14:textFill>
              </w:rPr>
              <w:t>电热管道</w:t>
            </w:r>
            <w:r>
              <w:rPr>
                <w:rFonts w:ascii="Times New Roman" w:hAnsi="Times New Roman" w:cs="Times New Roman" w:eastAsiaTheme="minorEastAsia"/>
                <w:color w:val="000000" w:themeColor="text1"/>
                <w:w w:val="99"/>
                <w:szCs w:val="21"/>
                <w14:textFill>
                  <w14:solidFill>
                    <w14:schemeClr w14:val="tx1"/>
                  </w14:solidFill>
                </w14:textFill>
              </w:rPr>
              <w:t>0.96km</w:t>
            </w:r>
            <w:r>
              <w:rPr>
                <w:rFonts w:ascii="Times New Roman" w:hAnsi="Times New Roman" w:cs="Times New Roman" w:eastAsiaTheme="minorEastAsia"/>
                <w:color w:val="000000" w:themeColor="text1"/>
                <w:w w:val="99"/>
                <w:szCs w:val="21"/>
                <w:lang w:val="en-US"/>
                <w14:textFill>
                  <w14:solidFill>
                    <w14:schemeClr w14:val="tx1"/>
                  </w14:solidFill>
                </w14:textFill>
              </w:rPr>
              <w:t>；</w:t>
            </w:r>
          </w:p>
          <w:p w14:paraId="3D63C135">
            <w:pPr>
              <w:adjustRightInd w:val="0"/>
              <w:spacing w:line="320" w:lineRule="exact"/>
              <w:jc w:val="both"/>
              <w:rPr>
                <w:rFonts w:ascii="Times New Roman" w:hAnsi="Times New Roman" w:cs="Times New Roman" w:eastAsiaTheme="minorEastAsia"/>
                <w:color w:val="000000" w:themeColor="text1"/>
                <w:w w:val="99"/>
                <w:szCs w:val="21"/>
                <w:lang w:val="en-US"/>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新建</w:t>
            </w:r>
            <w:r>
              <w:rPr>
                <w:rFonts w:ascii="Times New Roman" w:hAnsi="Times New Roman" w:cs="Times New Roman" w:eastAsiaTheme="minorEastAsia"/>
                <w:color w:val="000000" w:themeColor="text1"/>
                <w:w w:val="99"/>
                <w:szCs w:val="21"/>
                <w14:textFill>
                  <w14:solidFill>
                    <w14:schemeClr w14:val="tx1"/>
                  </w14:solidFill>
                </w14:textFill>
              </w:rPr>
              <w:t>8号拉油点至汇合点4Φ60×3.5</w:t>
            </w:r>
            <w:r>
              <w:rPr>
                <w:rFonts w:ascii="Times New Roman" w:hAnsi="Times New Roman" w:cs="Times New Roman" w:eastAsiaTheme="minorEastAsia"/>
                <w:color w:val="000000" w:themeColor="text1"/>
                <w:w w:val="99"/>
                <w:szCs w:val="21"/>
                <w:lang w:val="en-US"/>
                <w14:textFill>
                  <w14:solidFill>
                    <w14:schemeClr w14:val="tx1"/>
                  </w14:solidFill>
                </w14:textFill>
              </w:rPr>
              <w:t>电热管道</w:t>
            </w:r>
            <w:r>
              <w:rPr>
                <w:rFonts w:ascii="Times New Roman" w:hAnsi="Times New Roman" w:cs="Times New Roman" w:eastAsiaTheme="minorEastAsia"/>
                <w:color w:val="000000" w:themeColor="text1"/>
                <w:w w:val="99"/>
                <w:szCs w:val="21"/>
                <w14:textFill>
                  <w14:solidFill>
                    <w14:schemeClr w14:val="tx1"/>
                  </w14:solidFill>
                </w14:textFill>
              </w:rPr>
              <w:t>0.55km</w:t>
            </w:r>
            <w:r>
              <w:rPr>
                <w:rFonts w:ascii="Times New Roman" w:hAnsi="Times New Roman" w:cs="Times New Roman" w:eastAsiaTheme="minorEastAsia"/>
                <w:color w:val="000000" w:themeColor="text1"/>
                <w:w w:val="99"/>
                <w:szCs w:val="21"/>
                <w:lang w:val="en-US"/>
                <w14:textFill>
                  <w14:solidFill>
                    <w14:schemeClr w14:val="tx1"/>
                  </w14:solidFill>
                </w14:textFill>
              </w:rPr>
              <w:t>；</w:t>
            </w:r>
          </w:p>
          <w:p w14:paraId="36F7E15A">
            <w:pPr>
              <w:adjustRightInd w:val="0"/>
              <w:spacing w:line="320" w:lineRule="exact"/>
              <w:jc w:val="both"/>
              <w:rPr>
                <w:rFonts w:ascii="Times New Roman" w:hAnsi="Times New Roman" w:cs="Times New Roman" w:eastAsiaTheme="minorEastAsia"/>
                <w:color w:val="000000" w:themeColor="text1"/>
                <w:w w:val="99"/>
                <w:szCs w:val="21"/>
                <w:lang w:val="en-US"/>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新建</w:t>
            </w:r>
            <w:r>
              <w:rPr>
                <w:rFonts w:ascii="Times New Roman" w:hAnsi="Times New Roman" w:cs="Times New Roman" w:eastAsiaTheme="minorEastAsia"/>
                <w:color w:val="000000" w:themeColor="text1"/>
                <w:w w:val="99"/>
                <w:szCs w:val="21"/>
                <w14:textFill>
                  <w14:solidFill>
                    <w14:schemeClr w14:val="tx1"/>
                  </w14:solidFill>
                </w14:textFill>
              </w:rPr>
              <w:t>9号拉油点至汇合点5Φ60×3.5</w:t>
            </w:r>
            <w:r>
              <w:rPr>
                <w:rFonts w:ascii="Times New Roman" w:hAnsi="Times New Roman" w:cs="Times New Roman" w:eastAsiaTheme="minorEastAsia"/>
                <w:color w:val="000000" w:themeColor="text1"/>
                <w:w w:val="99"/>
                <w:szCs w:val="21"/>
                <w:lang w:val="en-US"/>
                <w14:textFill>
                  <w14:solidFill>
                    <w14:schemeClr w14:val="tx1"/>
                  </w14:solidFill>
                </w14:textFill>
              </w:rPr>
              <w:t>电热管道</w:t>
            </w:r>
            <w:r>
              <w:rPr>
                <w:rFonts w:ascii="Times New Roman" w:hAnsi="Times New Roman" w:cs="Times New Roman" w:eastAsiaTheme="minorEastAsia"/>
                <w:color w:val="000000" w:themeColor="text1"/>
                <w:w w:val="99"/>
                <w:szCs w:val="21"/>
                <w14:textFill>
                  <w14:solidFill>
                    <w14:schemeClr w14:val="tx1"/>
                  </w14:solidFill>
                </w14:textFill>
              </w:rPr>
              <w:t>1.17km</w:t>
            </w:r>
            <w:r>
              <w:rPr>
                <w:rFonts w:ascii="Times New Roman" w:hAnsi="Times New Roman" w:cs="Times New Roman" w:eastAsiaTheme="minorEastAsia"/>
                <w:color w:val="000000" w:themeColor="text1"/>
                <w:w w:val="99"/>
                <w:szCs w:val="21"/>
                <w:lang w:val="en-US"/>
                <w14:textFill>
                  <w14:solidFill>
                    <w14:schemeClr w14:val="tx1"/>
                  </w14:solidFill>
                </w14:textFill>
              </w:rPr>
              <w:t>。</w:t>
            </w:r>
          </w:p>
          <w:p w14:paraId="5E8CFE07">
            <w:pPr>
              <w:adjustRightInd w:val="0"/>
              <w:spacing w:line="320" w:lineRule="exact"/>
              <w:jc w:val="both"/>
              <w:rPr>
                <w:rFonts w:ascii="Times New Roman" w:hAnsi="Times New Roman" w:cs="Times New Roman" w:eastAsiaTheme="minorEastAsia"/>
                <w:color w:val="000000" w:themeColor="text1"/>
                <w:w w:val="99"/>
                <w:szCs w:val="21"/>
                <w:lang w:val="en-US"/>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新建</w:t>
            </w:r>
            <w:r>
              <w:rPr>
                <w:rFonts w:ascii="Times New Roman" w:hAnsi="Times New Roman" w:cs="Times New Roman" w:eastAsiaTheme="minorEastAsia"/>
                <w:color w:val="000000" w:themeColor="text1"/>
                <w:w w:val="99"/>
                <w:szCs w:val="21"/>
                <w14:textFill>
                  <w14:solidFill>
                    <w14:schemeClr w14:val="tx1"/>
                  </w14:solidFill>
                </w14:textFill>
              </w:rPr>
              <w:t>汇合点5至新建混输阀组间Φ89×4.5</w:t>
            </w:r>
            <w:r>
              <w:rPr>
                <w:rFonts w:ascii="Times New Roman" w:hAnsi="Times New Roman" w:cs="Times New Roman" w:eastAsiaTheme="minorEastAsia"/>
                <w:color w:val="000000" w:themeColor="text1"/>
                <w:w w:val="99"/>
                <w:szCs w:val="21"/>
                <w:lang w:val="en-US"/>
                <w14:textFill>
                  <w14:solidFill>
                    <w14:schemeClr w14:val="tx1"/>
                  </w14:solidFill>
                </w14:textFill>
              </w:rPr>
              <w:t>电热管道</w:t>
            </w:r>
            <w:r>
              <w:rPr>
                <w:rFonts w:ascii="Times New Roman" w:hAnsi="Times New Roman" w:cs="Times New Roman" w:eastAsiaTheme="minorEastAsia"/>
                <w:color w:val="000000" w:themeColor="text1"/>
                <w:w w:val="99"/>
                <w:szCs w:val="21"/>
                <w14:textFill>
                  <w14:solidFill>
                    <w14:schemeClr w14:val="tx1"/>
                  </w14:solidFill>
                </w14:textFill>
              </w:rPr>
              <w:t>3.96km。</w:t>
            </w:r>
          </w:p>
        </w:tc>
        <w:tc>
          <w:tcPr>
            <w:tcW w:w="388" w:type="pct"/>
            <w:tcBorders>
              <w:tl2br w:val="nil"/>
              <w:tr2bl w:val="nil"/>
            </w:tcBorders>
            <w:vAlign w:val="center"/>
          </w:tcPr>
          <w:p w14:paraId="61FA458E">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新建</w:t>
            </w:r>
          </w:p>
        </w:tc>
      </w:tr>
      <w:tr w14:paraId="5D1CA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restart"/>
            <w:tcBorders>
              <w:tl2br w:val="nil"/>
              <w:tr2bl w:val="nil"/>
            </w:tcBorders>
            <w:vAlign w:val="center"/>
          </w:tcPr>
          <w:p w14:paraId="2F2A5EBF">
            <w:pPr>
              <w:adjustRightInd w:val="0"/>
              <w:snapToGrid w:val="0"/>
              <w:spacing w:line="32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r>
              <w:rPr>
                <w:rFonts w:ascii="Times New Roman" w:hAnsi="Times New Roman" w:cs="Times New Roman" w:eastAsiaTheme="minorEastAsia"/>
                <w:color w:val="000000" w:themeColor="text1"/>
                <w:w w:val="99"/>
                <w:sz w:val="21"/>
                <w:szCs w:val="21"/>
                <w:lang w:bidi="ar-SA"/>
                <w14:textFill>
                  <w14:solidFill>
                    <w14:schemeClr w14:val="tx1"/>
                  </w14:solidFill>
                </w14:textFill>
              </w:rPr>
              <w:t>辅助工程</w:t>
            </w:r>
          </w:p>
        </w:tc>
        <w:tc>
          <w:tcPr>
            <w:tcW w:w="707" w:type="pct"/>
            <w:tcBorders>
              <w:tl2br w:val="nil"/>
              <w:tr2bl w:val="nil"/>
            </w:tcBorders>
            <w:vAlign w:val="center"/>
          </w:tcPr>
          <w:p w14:paraId="0781A30D">
            <w:pPr>
              <w:widowControl/>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拆除装置</w:t>
            </w:r>
          </w:p>
        </w:tc>
        <w:tc>
          <w:tcPr>
            <w:tcW w:w="3316" w:type="pct"/>
            <w:tcBorders>
              <w:tl2br w:val="nil"/>
              <w:tr2bl w:val="nil"/>
            </w:tcBorders>
            <w:vAlign w:val="center"/>
          </w:tcPr>
          <w:p w14:paraId="1358DF26">
            <w:pPr>
              <w:adjustRightInd w:val="0"/>
              <w:spacing w:line="320" w:lineRule="exact"/>
              <w:jc w:val="both"/>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拆除11座拉油点内九合一装置30座。</w:t>
            </w:r>
          </w:p>
        </w:tc>
        <w:tc>
          <w:tcPr>
            <w:tcW w:w="388" w:type="pct"/>
            <w:tcBorders>
              <w:tl2br w:val="nil"/>
              <w:tr2bl w:val="nil"/>
            </w:tcBorders>
            <w:vAlign w:val="center"/>
          </w:tcPr>
          <w:p w14:paraId="53757BD6">
            <w:pPr>
              <w:widowControl/>
              <w:adjustRightInd w:val="0"/>
              <w:snapToGrid w:val="0"/>
              <w:spacing w:line="320" w:lineRule="exact"/>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拆除</w:t>
            </w:r>
          </w:p>
        </w:tc>
      </w:tr>
      <w:tr w14:paraId="33773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vAlign w:val="center"/>
          </w:tcPr>
          <w:p w14:paraId="398EBB15">
            <w:pPr>
              <w:adjustRightInd w:val="0"/>
              <w:snapToGrid w:val="0"/>
              <w:spacing w:line="32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p>
        </w:tc>
        <w:tc>
          <w:tcPr>
            <w:tcW w:w="707" w:type="pct"/>
            <w:tcBorders>
              <w:tl2br w:val="nil"/>
              <w:tr2bl w:val="nil"/>
            </w:tcBorders>
            <w:vAlign w:val="center"/>
          </w:tcPr>
          <w:p w14:paraId="33ABEDA5">
            <w:pPr>
              <w:widowControl/>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管道电加热</w:t>
            </w:r>
          </w:p>
        </w:tc>
        <w:tc>
          <w:tcPr>
            <w:tcW w:w="3316" w:type="pct"/>
            <w:tcBorders>
              <w:tl2br w:val="nil"/>
              <w:tr2bl w:val="nil"/>
            </w:tcBorders>
            <w:vAlign w:val="center"/>
          </w:tcPr>
          <w:p w14:paraId="65C8A4B0">
            <w:pPr>
              <w:adjustRightInd w:val="0"/>
              <w:spacing w:line="320" w:lineRule="exact"/>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新建管道电伴热30套，新建防爆井口电加热器11台。</w:t>
            </w:r>
          </w:p>
        </w:tc>
        <w:tc>
          <w:tcPr>
            <w:tcW w:w="388" w:type="pct"/>
            <w:tcBorders>
              <w:tl2br w:val="nil"/>
              <w:tr2bl w:val="nil"/>
            </w:tcBorders>
            <w:vAlign w:val="center"/>
          </w:tcPr>
          <w:p w14:paraId="5D62D44B">
            <w:pPr>
              <w:widowControl/>
              <w:adjustRightInd w:val="0"/>
              <w:snapToGrid w:val="0"/>
              <w:spacing w:line="320" w:lineRule="exact"/>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新建</w:t>
            </w:r>
          </w:p>
        </w:tc>
      </w:tr>
      <w:tr w14:paraId="50618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restart"/>
            <w:tcBorders>
              <w:tl2br w:val="nil"/>
              <w:tr2bl w:val="nil"/>
            </w:tcBorders>
            <w:vAlign w:val="center"/>
          </w:tcPr>
          <w:p w14:paraId="7EBB059B">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r>
              <w:rPr>
                <w:rFonts w:ascii="Times New Roman" w:hAnsi="Times New Roman" w:cs="Times New Roman" w:eastAsiaTheme="minorEastAsia"/>
                <w:color w:val="000000" w:themeColor="text1"/>
                <w:w w:val="99"/>
                <w:sz w:val="21"/>
                <w:szCs w:val="21"/>
                <w:lang w:bidi="ar-SA"/>
                <w14:textFill>
                  <w14:solidFill>
                    <w14:schemeClr w14:val="tx1"/>
                  </w14:solidFill>
                </w14:textFill>
              </w:rPr>
              <w:t>公用工程</w:t>
            </w:r>
          </w:p>
        </w:tc>
        <w:tc>
          <w:tcPr>
            <w:tcW w:w="707" w:type="pct"/>
            <w:tcBorders>
              <w:tl2br w:val="nil"/>
              <w:tr2bl w:val="nil"/>
            </w:tcBorders>
            <w:vAlign w:val="center"/>
          </w:tcPr>
          <w:p w14:paraId="67D2FA20">
            <w:pPr>
              <w:adjustRightInd w:val="0"/>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供电工程</w:t>
            </w:r>
          </w:p>
        </w:tc>
        <w:tc>
          <w:tcPr>
            <w:tcW w:w="3316" w:type="pct"/>
            <w:tcBorders>
              <w:tl2br w:val="nil"/>
              <w:tr2bl w:val="nil"/>
            </w:tcBorders>
            <w:vAlign w:val="center"/>
          </w:tcPr>
          <w:p w14:paraId="23D29058">
            <w:pPr>
              <w:adjustRightInd w:val="0"/>
              <w:spacing w:line="320" w:lineRule="exact"/>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本项目施工期用电依托采油九厂已建油田供电线路；运营期用电由采油九厂已建油田供电线路引接，在原拉油点位置</w:t>
            </w:r>
            <w:r>
              <w:rPr>
                <w:rFonts w:ascii="Times New Roman" w:hAnsi="Times New Roman" w:cs="Times New Roman" w:eastAsiaTheme="minorEastAsia"/>
                <w:color w:val="000000" w:themeColor="text1"/>
                <w:w w:val="99"/>
                <w:sz w:val="21"/>
                <w:szCs w:val="21"/>
                <w:lang w:val="en-US"/>
                <w14:textFill>
                  <w14:solidFill>
                    <w14:schemeClr w14:val="tx1"/>
                  </w14:solidFill>
                </w14:textFill>
              </w:rPr>
              <w:t>新建柱上变9座，新建低压电力电缆0.85km、高压电力电缆0.3km、6kV架空线路14km</w:t>
            </w:r>
            <w:r>
              <w:rPr>
                <w:rFonts w:ascii="Times New Roman" w:hAnsi="Times New Roman" w:cs="Times New Roman" w:eastAsiaTheme="minorEastAsia"/>
                <w:color w:val="000000" w:themeColor="text1"/>
                <w:w w:val="99"/>
                <w:sz w:val="21"/>
                <w:szCs w:val="21"/>
                <w14:textFill>
                  <w14:solidFill>
                    <w14:schemeClr w14:val="tx1"/>
                  </w14:solidFill>
                </w14:textFill>
              </w:rPr>
              <w:t>。</w:t>
            </w:r>
          </w:p>
        </w:tc>
        <w:tc>
          <w:tcPr>
            <w:tcW w:w="388" w:type="pct"/>
            <w:tcBorders>
              <w:tl2br w:val="nil"/>
              <w:tr2bl w:val="nil"/>
            </w:tcBorders>
            <w:vAlign w:val="center"/>
          </w:tcPr>
          <w:p w14:paraId="5FF836F7">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r>
              <w:rPr>
                <w:rFonts w:ascii="Times New Roman" w:hAnsi="Times New Roman" w:cs="Times New Roman" w:eastAsiaTheme="minorEastAsia"/>
                <w:color w:val="000000" w:themeColor="text1"/>
                <w:w w:val="99"/>
                <w:sz w:val="21"/>
                <w:szCs w:val="21"/>
                <w:lang w:bidi="ar-SA"/>
                <w14:textFill>
                  <w14:solidFill>
                    <w14:schemeClr w14:val="tx1"/>
                  </w14:solidFill>
                </w14:textFill>
              </w:rPr>
              <w:t>新建</w:t>
            </w:r>
          </w:p>
        </w:tc>
      </w:tr>
      <w:tr w14:paraId="709A2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vAlign w:val="center"/>
          </w:tcPr>
          <w:p w14:paraId="48AB8C3E">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p>
        </w:tc>
        <w:tc>
          <w:tcPr>
            <w:tcW w:w="707" w:type="pct"/>
            <w:tcBorders>
              <w:tl2br w:val="nil"/>
              <w:tr2bl w:val="nil"/>
            </w:tcBorders>
            <w:vAlign w:val="center"/>
          </w:tcPr>
          <w:p w14:paraId="7830065B">
            <w:pPr>
              <w:adjustRightInd w:val="0"/>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供水工程</w:t>
            </w:r>
          </w:p>
        </w:tc>
        <w:tc>
          <w:tcPr>
            <w:tcW w:w="3316" w:type="pct"/>
            <w:tcBorders>
              <w:tl2br w:val="nil"/>
              <w:tr2bl w:val="nil"/>
            </w:tcBorders>
            <w:vAlign w:val="center"/>
          </w:tcPr>
          <w:p w14:paraId="6570B71C">
            <w:pPr>
              <w:adjustRightInd w:val="0"/>
              <w:spacing w:line="320" w:lineRule="exact"/>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施工期生产用水由水罐车运送，生活用水采用桶装水。</w:t>
            </w:r>
          </w:p>
          <w:p w14:paraId="302D964C">
            <w:pPr>
              <w:adjustRightInd w:val="0"/>
              <w:spacing w:line="320" w:lineRule="exact"/>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运营期不新增</w:t>
            </w:r>
            <w:r>
              <w:rPr>
                <w:rFonts w:hint="eastAsia" w:ascii="Times New Roman" w:hAnsi="Times New Roman" w:cs="Times New Roman" w:eastAsiaTheme="minorEastAsia"/>
                <w:color w:val="000000" w:themeColor="text1"/>
                <w:w w:val="99"/>
                <w:sz w:val="21"/>
                <w:szCs w:val="21"/>
                <w:lang w:val="en-US"/>
                <w14:textFill>
                  <w14:solidFill>
                    <w14:schemeClr w14:val="tx1"/>
                  </w14:solidFill>
                </w14:textFill>
              </w:rPr>
              <w:t>用水</w:t>
            </w:r>
            <w:r>
              <w:rPr>
                <w:rFonts w:ascii="Times New Roman" w:hAnsi="Times New Roman" w:cs="Times New Roman" w:eastAsiaTheme="minorEastAsia"/>
                <w:color w:val="000000" w:themeColor="text1"/>
                <w:w w:val="99"/>
                <w:sz w:val="21"/>
                <w:szCs w:val="21"/>
                <w:lang w:val="en-US"/>
                <w14:textFill>
                  <w14:solidFill>
                    <w14:schemeClr w14:val="tx1"/>
                  </w14:solidFill>
                </w14:textFill>
              </w:rPr>
              <w:t>。</w:t>
            </w:r>
          </w:p>
        </w:tc>
        <w:tc>
          <w:tcPr>
            <w:tcW w:w="388" w:type="pct"/>
            <w:tcBorders>
              <w:tl2br w:val="nil"/>
              <w:tr2bl w:val="nil"/>
            </w:tcBorders>
            <w:vAlign w:val="center"/>
          </w:tcPr>
          <w:p w14:paraId="5FEBB561">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r>
              <w:rPr>
                <w:rFonts w:ascii="Times New Roman" w:hAnsi="Times New Roman" w:cs="Times New Roman" w:eastAsiaTheme="minorEastAsia"/>
                <w:color w:val="000000" w:themeColor="text1"/>
                <w:w w:val="99"/>
                <w:sz w:val="21"/>
                <w:szCs w:val="21"/>
                <w:lang w:bidi="ar-SA"/>
                <w14:textFill>
                  <w14:solidFill>
                    <w14:schemeClr w14:val="tx1"/>
                  </w14:solidFill>
                </w14:textFill>
              </w:rPr>
              <w:t>/</w:t>
            </w:r>
          </w:p>
        </w:tc>
      </w:tr>
      <w:tr w14:paraId="5BA95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vAlign w:val="center"/>
          </w:tcPr>
          <w:p w14:paraId="64D42005">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p>
        </w:tc>
        <w:tc>
          <w:tcPr>
            <w:tcW w:w="707" w:type="pct"/>
            <w:tcBorders>
              <w:tl2br w:val="nil"/>
              <w:tr2bl w:val="nil"/>
            </w:tcBorders>
            <w:vAlign w:val="center"/>
          </w:tcPr>
          <w:p w14:paraId="38DD5C6C">
            <w:pPr>
              <w:adjustRightInd w:val="0"/>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排水工程</w:t>
            </w:r>
          </w:p>
        </w:tc>
        <w:tc>
          <w:tcPr>
            <w:tcW w:w="3316" w:type="pct"/>
            <w:tcBorders>
              <w:tl2br w:val="nil"/>
              <w:tr2bl w:val="nil"/>
            </w:tcBorders>
            <w:vAlign w:val="center"/>
          </w:tcPr>
          <w:p w14:paraId="7B0FC70B">
            <w:pPr>
              <w:adjustRightInd w:val="0"/>
              <w:spacing w:line="320" w:lineRule="exact"/>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管线试压废水由罐车拉运至龙一联含油污水处理站处理满足《大庆油田地面工程建设设计规定》（Q/SYDQ0639-2015）“含油量≤</w:t>
            </w:r>
            <w:r>
              <w:rPr>
                <w:rFonts w:ascii="Times New Roman" w:hAnsi="Times New Roman" w:cs="Times New Roman" w:eastAsiaTheme="minorEastAsia"/>
                <w:color w:val="000000" w:themeColor="text1"/>
                <w:w w:val="99"/>
                <w:sz w:val="21"/>
                <w:szCs w:val="21"/>
                <w:lang w:val="en-US"/>
                <w14:textFill>
                  <w14:solidFill>
                    <w14:schemeClr w14:val="tx1"/>
                  </w14:solidFill>
                </w14:textFill>
              </w:rPr>
              <w:t>8</w:t>
            </w:r>
            <w:r>
              <w:rPr>
                <w:rFonts w:ascii="Times New Roman" w:hAnsi="Times New Roman" w:cs="Times New Roman" w:eastAsiaTheme="minorEastAsia"/>
                <w:color w:val="000000" w:themeColor="text1"/>
                <w:w w:val="99"/>
                <w:sz w:val="21"/>
                <w:szCs w:val="21"/>
                <w14:textFill>
                  <w14:solidFill>
                    <w14:schemeClr w14:val="tx1"/>
                  </w14:solidFill>
                </w14:textFill>
              </w:rPr>
              <w:t>mg/L、悬浮固体含量≤</w:t>
            </w:r>
            <w:r>
              <w:rPr>
                <w:rFonts w:ascii="Times New Roman" w:hAnsi="Times New Roman" w:cs="Times New Roman" w:eastAsiaTheme="minorEastAsia"/>
                <w:color w:val="000000" w:themeColor="text1"/>
                <w:w w:val="99"/>
                <w:sz w:val="21"/>
                <w:szCs w:val="21"/>
                <w:lang w:val="en-US"/>
                <w14:textFill>
                  <w14:solidFill>
                    <w14:schemeClr w14:val="tx1"/>
                  </w14:solidFill>
                </w14:textFill>
              </w:rPr>
              <w:t>3</w:t>
            </w:r>
            <w:r>
              <w:rPr>
                <w:rFonts w:ascii="Times New Roman" w:hAnsi="Times New Roman" w:cs="Times New Roman" w:eastAsiaTheme="minorEastAsia"/>
                <w:color w:val="000000" w:themeColor="text1"/>
                <w:w w:val="99"/>
                <w:sz w:val="21"/>
                <w:szCs w:val="21"/>
                <w14:textFill>
                  <w14:solidFill>
                    <w14:schemeClr w14:val="tx1"/>
                  </w14:solidFill>
                </w14:textFill>
              </w:rPr>
              <w:t>mg/L”限值要求后回注，不外排。施工人员住宿依托施工单位后线驻地，施工现场不设暂舍，</w:t>
            </w:r>
            <w:r>
              <w:rPr>
                <w:rFonts w:ascii="Times New Roman" w:hAnsi="Times New Roman" w:cs="Times New Roman" w:eastAsiaTheme="minorEastAsia"/>
                <w:color w:val="000000" w:themeColor="text1"/>
                <w:w w:val="99"/>
                <w:sz w:val="21"/>
                <w:szCs w:val="21"/>
                <w:lang w:val="en-US"/>
                <w14:textFill>
                  <w14:solidFill>
                    <w14:schemeClr w14:val="tx1"/>
                  </w14:solidFill>
                </w14:textFill>
              </w:rPr>
              <w:t>施工人员的生活污水排入拉油点已建防渗旱厕，定期清掏外运堆肥处理。</w:t>
            </w:r>
          </w:p>
        </w:tc>
        <w:tc>
          <w:tcPr>
            <w:tcW w:w="388" w:type="pct"/>
            <w:tcBorders>
              <w:tl2br w:val="nil"/>
              <w:tr2bl w:val="nil"/>
            </w:tcBorders>
            <w:vAlign w:val="center"/>
          </w:tcPr>
          <w:p w14:paraId="2753F9F8">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r>
              <w:rPr>
                <w:rFonts w:ascii="Times New Roman" w:hAnsi="Times New Roman" w:cs="Times New Roman" w:eastAsiaTheme="minorEastAsia"/>
                <w:color w:val="000000" w:themeColor="text1"/>
                <w:w w:val="99"/>
                <w:sz w:val="21"/>
                <w:szCs w:val="21"/>
                <w:lang w:bidi="ar-SA"/>
                <w14:textFill>
                  <w14:solidFill>
                    <w14:schemeClr w14:val="tx1"/>
                  </w14:solidFill>
                </w14:textFill>
              </w:rPr>
              <w:t>依托</w:t>
            </w:r>
          </w:p>
        </w:tc>
      </w:tr>
      <w:tr w14:paraId="78E66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vAlign w:val="center"/>
          </w:tcPr>
          <w:p w14:paraId="418052B1">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p>
        </w:tc>
        <w:tc>
          <w:tcPr>
            <w:tcW w:w="707" w:type="pct"/>
            <w:tcBorders>
              <w:tl2br w:val="nil"/>
              <w:tr2bl w:val="nil"/>
            </w:tcBorders>
            <w:vAlign w:val="center"/>
          </w:tcPr>
          <w:p w14:paraId="72F11622">
            <w:pPr>
              <w:adjustRightInd w:val="0"/>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供暖工程</w:t>
            </w:r>
          </w:p>
        </w:tc>
        <w:tc>
          <w:tcPr>
            <w:tcW w:w="3316" w:type="pct"/>
            <w:tcBorders>
              <w:tl2br w:val="nil"/>
              <w:tr2bl w:val="nil"/>
            </w:tcBorders>
            <w:vAlign w:val="center"/>
          </w:tcPr>
          <w:p w14:paraId="25EAFB48">
            <w:pPr>
              <w:adjustRightInd w:val="0"/>
              <w:spacing w:line="320" w:lineRule="exact"/>
              <w:jc w:val="both"/>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本项目不设施工营地，不需供暖。</w:t>
            </w:r>
          </w:p>
        </w:tc>
        <w:tc>
          <w:tcPr>
            <w:tcW w:w="388" w:type="pct"/>
            <w:tcBorders>
              <w:tl2br w:val="nil"/>
              <w:tr2bl w:val="nil"/>
            </w:tcBorders>
            <w:vAlign w:val="center"/>
          </w:tcPr>
          <w:p w14:paraId="42B6C668">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r>
              <w:rPr>
                <w:rFonts w:ascii="Times New Roman" w:hAnsi="Times New Roman" w:cs="Times New Roman" w:eastAsiaTheme="minorEastAsia"/>
                <w:color w:val="000000" w:themeColor="text1"/>
                <w:w w:val="99"/>
                <w:sz w:val="21"/>
                <w:szCs w:val="21"/>
                <w:lang w:bidi="ar-SA"/>
                <w14:textFill>
                  <w14:solidFill>
                    <w14:schemeClr w14:val="tx1"/>
                  </w14:solidFill>
                </w14:textFill>
              </w:rPr>
              <w:t>/</w:t>
            </w:r>
          </w:p>
        </w:tc>
      </w:tr>
      <w:tr w14:paraId="0DEBB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vAlign w:val="center"/>
          </w:tcPr>
          <w:p w14:paraId="0A0AFA21">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p>
        </w:tc>
        <w:tc>
          <w:tcPr>
            <w:tcW w:w="707" w:type="pct"/>
            <w:tcBorders>
              <w:tl2br w:val="nil"/>
              <w:tr2bl w:val="nil"/>
            </w:tcBorders>
            <w:vAlign w:val="center"/>
          </w:tcPr>
          <w:p w14:paraId="622A7151">
            <w:pPr>
              <w:adjustRightInd w:val="0"/>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供</w:t>
            </w:r>
            <w:r>
              <w:rPr>
                <w:rFonts w:hint="eastAsia" w:ascii="Times New Roman" w:hAnsi="Times New Roman" w:cs="Times New Roman" w:eastAsiaTheme="minorEastAsia"/>
                <w:color w:val="000000" w:themeColor="text1"/>
                <w:w w:val="99"/>
                <w:sz w:val="21"/>
                <w:szCs w:val="21"/>
                <w14:textFill>
                  <w14:solidFill>
                    <w14:schemeClr w14:val="tx1"/>
                  </w14:solidFill>
                </w14:textFill>
              </w:rPr>
              <w:t>热</w:t>
            </w:r>
            <w:r>
              <w:rPr>
                <w:rFonts w:ascii="Times New Roman" w:hAnsi="Times New Roman" w:cs="Times New Roman" w:eastAsiaTheme="minorEastAsia"/>
                <w:color w:val="000000" w:themeColor="text1"/>
                <w:w w:val="99"/>
                <w:sz w:val="21"/>
                <w:szCs w:val="21"/>
                <w14:textFill>
                  <w14:solidFill>
                    <w14:schemeClr w14:val="tx1"/>
                  </w14:solidFill>
                </w14:textFill>
              </w:rPr>
              <w:t>工程</w:t>
            </w:r>
          </w:p>
        </w:tc>
        <w:tc>
          <w:tcPr>
            <w:tcW w:w="3316" w:type="pct"/>
            <w:tcBorders>
              <w:tl2br w:val="nil"/>
              <w:tr2bl w:val="nil"/>
            </w:tcBorders>
            <w:vAlign w:val="center"/>
          </w:tcPr>
          <w:p w14:paraId="659A4945">
            <w:pPr>
              <w:adjustRightInd w:val="0"/>
              <w:spacing w:line="320" w:lineRule="exact"/>
              <w:jc w:val="both"/>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val="en-US"/>
                <w14:textFill>
                  <w14:solidFill>
                    <w14:schemeClr w14:val="tx1"/>
                  </w14:solidFill>
                </w14:textFill>
              </w:rPr>
              <w:t>新建集油管线供热由新建的电加管供给</w:t>
            </w:r>
            <w:r>
              <w:rPr>
                <w:rFonts w:ascii="Times New Roman" w:hAnsi="Times New Roman" w:cs="Times New Roman" w:eastAsiaTheme="minorEastAsia"/>
                <w:color w:val="000000" w:themeColor="text1"/>
                <w:w w:val="99"/>
                <w:sz w:val="21"/>
                <w:szCs w:val="21"/>
                <w:lang w:val="en-US"/>
                <w14:textFill>
                  <w14:solidFill>
                    <w14:schemeClr w14:val="tx1"/>
                  </w14:solidFill>
                </w14:textFill>
              </w:rPr>
              <w:t>。</w:t>
            </w:r>
          </w:p>
        </w:tc>
        <w:tc>
          <w:tcPr>
            <w:tcW w:w="388" w:type="pct"/>
            <w:tcBorders>
              <w:tl2br w:val="nil"/>
              <w:tr2bl w:val="nil"/>
            </w:tcBorders>
            <w:vAlign w:val="center"/>
          </w:tcPr>
          <w:p w14:paraId="6AF9D84C">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bidi="ar-SA"/>
                <w14:textFill>
                  <w14:solidFill>
                    <w14:schemeClr w14:val="tx1"/>
                  </w14:solidFill>
                </w14:textFill>
              </w:rPr>
              <w:t>新建</w:t>
            </w:r>
          </w:p>
        </w:tc>
      </w:tr>
      <w:tr w14:paraId="185FA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restart"/>
            <w:tcBorders>
              <w:tl2br w:val="nil"/>
              <w:tr2bl w:val="nil"/>
            </w:tcBorders>
            <w:vAlign w:val="center"/>
          </w:tcPr>
          <w:p w14:paraId="278883EC">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r>
              <w:rPr>
                <w:rFonts w:ascii="Times New Roman" w:hAnsi="Times New Roman" w:cs="Times New Roman" w:eastAsiaTheme="minorEastAsia"/>
                <w:color w:val="000000" w:themeColor="text1"/>
                <w:w w:val="99"/>
                <w:sz w:val="21"/>
                <w:szCs w:val="21"/>
                <w:lang w:bidi="ar-SA"/>
                <w14:textFill>
                  <w14:solidFill>
                    <w14:schemeClr w14:val="tx1"/>
                  </w14:solidFill>
                </w14:textFill>
              </w:rPr>
              <w:t>环保工程</w:t>
            </w:r>
          </w:p>
        </w:tc>
        <w:tc>
          <w:tcPr>
            <w:tcW w:w="707" w:type="pct"/>
            <w:tcBorders>
              <w:tl2br w:val="nil"/>
              <w:tr2bl w:val="nil"/>
            </w:tcBorders>
            <w:vAlign w:val="center"/>
          </w:tcPr>
          <w:p w14:paraId="3B39B613">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
                <w14:textFill>
                  <w14:solidFill>
                    <w14:schemeClr w14:val="tx1"/>
                  </w14:solidFill>
                </w14:textFill>
              </w:rPr>
            </w:pPr>
            <w:r>
              <w:rPr>
                <w:rFonts w:ascii="Times New Roman" w:hAnsi="Times New Roman" w:cs="Times New Roman" w:eastAsiaTheme="minorEastAsia"/>
                <w:color w:val="000000" w:themeColor="text1"/>
                <w:w w:val="99"/>
                <w:sz w:val="21"/>
                <w:szCs w:val="21"/>
                <w:lang w:bidi="ar"/>
                <w14:textFill>
                  <w14:solidFill>
                    <w14:schemeClr w14:val="tx1"/>
                  </w14:solidFill>
                </w14:textFill>
              </w:rPr>
              <w:t>废气治理措施</w:t>
            </w:r>
          </w:p>
        </w:tc>
        <w:tc>
          <w:tcPr>
            <w:tcW w:w="3316" w:type="pct"/>
            <w:tcBorders>
              <w:tl2br w:val="nil"/>
              <w:tr2bl w:val="nil"/>
            </w:tcBorders>
            <w:vAlign w:val="center"/>
          </w:tcPr>
          <w:p w14:paraId="300AB95D">
            <w:pPr>
              <w:widowControl/>
              <w:adjustRightInd w:val="0"/>
              <w:snapToGrid w:val="0"/>
              <w:spacing w:line="320" w:lineRule="exact"/>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本项目施工期采取了在</w:t>
            </w:r>
            <w:r>
              <w:rPr>
                <w:rFonts w:ascii="Times New Roman" w:hAnsi="Times New Roman" w:cs="Times New Roman" w:eastAsiaTheme="minorEastAsia"/>
                <w:color w:val="000000" w:themeColor="text1"/>
                <w:w w:val="99"/>
                <w:sz w:val="21"/>
                <w:szCs w:val="21"/>
                <w:lang w:val="en-US"/>
                <w14:textFill>
                  <w14:solidFill>
                    <w14:schemeClr w14:val="tx1"/>
                  </w14:solidFill>
                </w14:textFill>
              </w:rPr>
              <w:t>施工现场及时洒水、运输车辆洒水抑尘、大风天气避免土方作业等措施，防止扬尘的扩散。运营期油气集输全部采用密闭</w:t>
            </w:r>
            <w:r>
              <w:rPr>
                <w:rFonts w:hint="eastAsia" w:ascii="Times New Roman" w:hAnsi="Times New Roman" w:cs="Times New Roman" w:eastAsiaTheme="minorEastAsia"/>
                <w:color w:val="000000" w:themeColor="text1"/>
                <w:w w:val="99"/>
                <w:sz w:val="21"/>
                <w:szCs w:val="21"/>
                <w:lang w:val="en-US"/>
                <w14:textFill>
                  <w14:solidFill>
                    <w14:schemeClr w14:val="tx1"/>
                  </w14:solidFill>
                </w14:textFill>
              </w:rPr>
              <w:t>集输</w:t>
            </w:r>
            <w:r>
              <w:rPr>
                <w:rFonts w:ascii="Times New Roman" w:hAnsi="Times New Roman" w:cs="Times New Roman" w:eastAsiaTheme="minorEastAsia"/>
                <w:color w:val="000000" w:themeColor="text1"/>
                <w:w w:val="99"/>
                <w:sz w:val="21"/>
                <w:szCs w:val="21"/>
                <w:lang w:val="en-US"/>
                <w14:textFill>
                  <w14:solidFill>
                    <w14:schemeClr w14:val="tx1"/>
                  </w14:solidFill>
                </w14:textFill>
              </w:rPr>
              <w:t>工艺流程，阀门、泵等密封</w:t>
            </w:r>
            <w:r>
              <w:rPr>
                <w:rFonts w:hint="eastAsia" w:ascii="Times New Roman" w:hAnsi="Times New Roman" w:cs="Times New Roman" w:eastAsiaTheme="minorEastAsia"/>
                <w:color w:val="000000" w:themeColor="text1"/>
                <w:w w:val="99"/>
                <w:sz w:val="21"/>
                <w:szCs w:val="21"/>
                <w:lang w:val="en-US"/>
                <w14:textFill>
                  <w14:solidFill>
                    <w14:schemeClr w14:val="tx1"/>
                  </w14:solidFill>
                </w14:textFill>
              </w:rPr>
              <w:t>点</w:t>
            </w:r>
            <w:r>
              <w:rPr>
                <w:rFonts w:ascii="Times New Roman" w:hAnsi="Times New Roman" w:cs="Times New Roman" w:eastAsiaTheme="minorEastAsia"/>
                <w:color w:val="000000" w:themeColor="text1"/>
                <w:w w:val="99"/>
                <w:sz w:val="21"/>
                <w:szCs w:val="21"/>
                <w:lang w:val="en-US"/>
                <w14:textFill>
                  <w14:solidFill>
                    <w14:schemeClr w14:val="tx1"/>
                  </w14:solidFill>
                </w14:textFill>
              </w:rPr>
              <w:t>安装密封垫，定期对设备和管道进行维修保养，保证油气</w:t>
            </w:r>
            <w:r>
              <w:rPr>
                <w:rFonts w:hint="eastAsia" w:ascii="Times New Roman" w:hAnsi="Times New Roman" w:cs="Times New Roman" w:eastAsiaTheme="minorEastAsia"/>
                <w:color w:val="000000" w:themeColor="text1"/>
                <w:w w:val="99"/>
                <w:sz w:val="21"/>
                <w:szCs w:val="21"/>
                <w:lang w:val="en-US"/>
                <w14:textFill>
                  <w14:solidFill>
                    <w14:schemeClr w14:val="tx1"/>
                  </w14:solidFill>
                </w14:textFill>
              </w:rPr>
              <w:t>集输</w:t>
            </w:r>
            <w:r>
              <w:rPr>
                <w:rFonts w:ascii="Times New Roman" w:hAnsi="Times New Roman" w:cs="Times New Roman" w:eastAsiaTheme="minorEastAsia"/>
                <w:color w:val="000000" w:themeColor="text1"/>
                <w:w w:val="99"/>
                <w:sz w:val="21"/>
                <w:szCs w:val="21"/>
                <w:lang w:val="en-US"/>
                <w14:textFill>
                  <w14:solidFill>
                    <w14:schemeClr w14:val="tx1"/>
                  </w14:solidFill>
                </w14:textFill>
              </w:rPr>
              <w:t>设施的平稳运行，控制烃类气体的无组织挥发。</w:t>
            </w:r>
          </w:p>
        </w:tc>
        <w:tc>
          <w:tcPr>
            <w:tcW w:w="388" w:type="pct"/>
            <w:tcBorders>
              <w:tl2br w:val="nil"/>
              <w:tr2bl w:val="nil"/>
            </w:tcBorders>
            <w:vAlign w:val="center"/>
          </w:tcPr>
          <w:p w14:paraId="2676030C">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
                <w14:textFill>
                  <w14:solidFill>
                    <w14:schemeClr w14:val="tx1"/>
                  </w14:solidFill>
                </w14:textFill>
              </w:rPr>
              <w:t>新建</w:t>
            </w:r>
          </w:p>
        </w:tc>
      </w:tr>
      <w:tr w14:paraId="301FD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vAlign w:val="center"/>
          </w:tcPr>
          <w:p w14:paraId="2910000D">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p>
        </w:tc>
        <w:tc>
          <w:tcPr>
            <w:tcW w:w="707" w:type="pct"/>
            <w:tcBorders>
              <w:tl2br w:val="nil"/>
              <w:tr2bl w:val="nil"/>
            </w:tcBorders>
            <w:vAlign w:val="center"/>
          </w:tcPr>
          <w:p w14:paraId="65DEB0B0">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
                <w14:textFill>
                  <w14:solidFill>
                    <w14:schemeClr w14:val="tx1"/>
                  </w14:solidFill>
                </w14:textFill>
              </w:rPr>
            </w:pPr>
            <w:r>
              <w:rPr>
                <w:rFonts w:ascii="Times New Roman" w:hAnsi="Times New Roman" w:cs="Times New Roman" w:eastAsiaTheme="minorEastAsia"/>
                <w:color w:val="000000" w:themeColor="text1"/>
                <w:w w:val="99"/>
                <w:sz w:val="21"/>
                <w:szCs w:val="21"/>
                <w:lang w:bidi="ar"/>
                <w14:textFill>
                  <w14:solidFill>
                    <w14:schemeClr w14:val="tx1"/>
                  </w14:solidFill>
                </w14:textFill>
              </w:rPr>
              <w:t>废水治理措施</w:t>
            </w:r>
          </w:p>
          <w:p w14:paraId="2B2D3218">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
                <w14:textFill>
                  <w14:solidFill>
                    <w14:schemeClr w14:val="tx1"/>
                  </w14:solidFill>
                </w14:textFill>
              </w:rPr>
            </w:pPr>
          </w:p>
        </w:tc>
        <w:tc>
          <w:tcPr>
            <w:tcW w:w="3316" w:type="pct"/>
            <w:tcBorders>
              <w:tl2br w:val="nil"/>
              <w:tr2bl w:val="nil"/>
            </w:tcBorders>
            <w:vAlign w:val="center"/>
          </w:tcPr>
          <w:p w14:paraId="7FE79A9B">
            <w:pPr>
              <w:widowControl/>
              <w:adjustRightInd w:val="0"/>
              <w:snapToGrid w:val="0"/>
              <w:spacing w:line="320" w:lineRule="exact"/>
              <w:rPr>
                <w:rFonts w:ascii="Times New Roman" w:hAnsi="Times New Roman" w:cs="Times New Roman" w:eastAsiaTheme="minorEastAsia"/>
                <w:color w:val="000000" w:themeColor="text1"/>
                <w:w w:val="99"/>
                <w:sz w:val="21"/>
                <w:szCs w:val="21"/>
                <w:lang w:val="en-US" w:bidi="ar"/>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
                <w14:textFill>
                  <w14:solidFill>
                    <w14:schemeClr w14:val="tx1"/>
                  </w14:solidFill>
                </w14:textFill>
              </w:rPr>
              <w:t>管道试压废水由罐车拉运至龙一联含油污水处理站处理后回注，不外排</w:t>
            </w:r>
            <w:r>
              <w:rPr>
                <w:rFonts w:ascii="Times New Roman" w:hAnsi="Times New Roman" w:cs="Times New Roman" w:eastAsiaTheme="minorEastAsia"/>
                <w:color w:val="000000" w:themeColor="text1"/>
                <w:w w:val="99"/>
                <w:sz w:val="21"/>
                <w:szCs w:val="21"/>
                <w:lang w:val="en-US"/>
                <w14:textFill>
                  <w14:solidFill>
                    <w14:schemeClr w14:val="tx1"/>
                  </w14:solidFill>
                </w14:textFill>
              </w:rPr>
              <w:t>；生活污水排入拉油点已建防渗旱厕，定期清掏外运堆肥处理</w:t>
            </w:r>
            <w:r>
              <w:rPr>
                <w:rFonts w:ascii="Times New Roman" w:hAnsi="Times New Roman" w:cs="Times New Roman" w:eastAsiaTheme="minorEastAsia"/>
                <w:color w:val="000000" w:themeColor="text1"/>
                <w:w w:val="99"/>
                <w:sz w:val="21"/>
                <w:szCs w:val="21"/>
                <w14:textFill>
                  <w14:solidFill>
                    <w14:schemeClr w14:val="tx1"/>
                  </w14:solidFill>
                </w14:textFill>
              </w:rPr>
              <w:t>。</w:t>
            </w:r>
          </w:p>
        </w:tc>
        <w:tc>
          <w:tcPr>
            <w:tcW w:w="388" w:type="pct"/>
            <w:tcBorders>
              <w:tl2br w:val="nil"/>
              <w:tr2bl w:val="nil"/>
            </w:tcBorders>
            <w:vAlign w:val="center"/>
          </w:tcPr>
          <w:p w14:paraId="73232EFB">
            <w:pPr>
              <w:adjustRightInd w:val="0"/>
              <w:snapToGrid w:val="0"/>
              <w:spacing w:line="320" w:lineRule="exact"/>
              <w:jc w:val="both"/>
              <w:rPr>
                <w:rFonts w:ascii="Times New Roman" w:hAnsi="Times New Roman" w:cs="Times New Roman" w:eastAsiaTheme="minorEastAsia"/>
                <w:color w:val="000000" w:themeColor="text1"/>
                <w:w w:val="99"/>
                <w:sz w:val="21"/>
                <w:szCs w:val="21"/>
                <w:lang w:bidi="ar"/>
                <w14:textFill>
                  <w14:solidFill>
                    <w14:schemeClr w14:val="tx1"/>
                  </w14:solidFill>
                </w14:textFill>
              </w:rPr>
            </w:pPr>
          </w:p>
          <w:p w14:paraId="27CE4AFF">
            <w:pPr>
              <w:adjustRightInd w:val="0"/>
              <w:snapToGrid w:val="0"/>
              <w:spacing w:line="320" w:lineRule="exact"/>
              <w:jc w:val="center"/>
              <w:rPr>
                <w:rFonts w:ascii="Times New Roman" w:hAnsi="Times New Roman" w:cs="Times New Roman" w:eastAsiaTheme="minorEastAsia"/>
                <w:color w:val="000000" w:themeColor="text1"/>
                <w:w w:val="99"/>
                <w:sz w:val="21"/>
                <w:szCs w:val="21"/>
                <w:lang w:bidi="ar"/>
                <w14:textFill>
                  <w14:solidFill>
                    <w14:schemeClr w14:val="tx1"/>
                  </w14:solidFill>
                </w14:textFill>
              </w:rPr>
            </w:pPr>
            <w:r>
              <w:rPr>
                <w:rFonts w:ascii="Times New Roman" w:hAnsi="Times New Roman" w:cs="Times New Roman" w:eastAsiaTheme="minorEastAsia"/>
                <w:color w:val="000000" w:themeColor="text1"/>
                <w:w w:val="99"/>
                <w:sz w:val="21"/>
                <w:szCs w:val="21"/>
                <w:lang w:bidi="ar"/>
                <w14:textFill>
                  <w14:solidFill>
                    <w14:schemeClr w14:val="tx1"/>
                  </w14:solidFill>
                </w14:textFill>
              </w:rPr>
              <w:t>依托</w:t>
            </w:r>
          </w:p>
        </w:tc>
      </w:tr>
      <w:tr w14:paraId="587AC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vAlign w:val="center"/>
          </w:tcPr>
          <w:p w14:paraId="5175A8B8">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p>
        </w:tc>
        <w:tc>
          <w:tcPr>
            <w:tcW w:w="707" w:type="pct"/>
            <w:tcBorders>
              <w:tl2br w:val="nil"/>
              <w:tr2bl w:val="nil"/>
            </w:tcBorders>
            <w:vAlign w:val="center"/>
          </w:tcPr>
          <w:p w14:paraId="29D687B7">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
                <w14:textFill>
                  <w14:solidFill>
                    <w14:schemeClr w14:val="tx1"/>
                  </w14:solidFill>
                </w14:textFill>
              </w:rPr>
              <w:t>噪声治理措施</w:t>
            </w:r>
          </w:p>
        </w:tc>
        <w:tc>
          <w:tcPr>
            <w:tcW w:w="3316" w:type="pct"/>
            <w:tcBorders>
              <w:tl2br w:val="nil"/>
              <w:tr2bl w:val="nil"/>
            </w:tcBorders>
            <w:vAlign w:val="center"/>
          </w:tcPr>
          <w:p w14:paraId="26214E66">
            <w:pPr>
              <w:spacing w:line="320" w:lineRule="exact"/>
              <w:jc w:val="both"/>
              <w:rPr>
                <w:rFonts w:ascii="Times New Roman" w:hAnsi="Times New Roman" w:cs="Times New Roman" w:eastAsiaTheme="minorEastAsia"/>
                <w:color w:val="000000" w:themeColor="text1"/>
                <w:w w:val="99"/>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
                <w14:textFill>
                  <w14:solidFill>
                    <w14:schemeClr w14:val="tx1"/>
                  </w14:solidFill>
                </w14:textFill>
              </w:rPr>
              <w:t>施工期</w:t>
            </w:r>
            <w:r>
              <w:rPr>
                <w:rFonts w:ascii="Times New Roman" w:hAnsi="Times New Roman" w:cs="Times New Roman" w:eastAsiaTheme="minorEastAsia"/>
                <w:bCs/>
                <w:color w:val="000000" w:themeColor="text1"/>
                <w:w w:val="99"/>
                <w:sz w:val="21"/>
                <w:szCs w:val="21"/>
                <w:lang w:val="en-US" w:bidi="ar"/>
                <w14:textFill>
                  <w14:solidFill>
                    <w14:schemeClr w14:val="tx1"/>
                  </w14:solidFill>
                </w14:textFill>
              </w:rPr>
              <w:t>在靠近敏感点施工带采取建立围挡、</w:t>
            </w:r>
            <w:r>
              <w:rPr>
                <w:rFonts w:ascii="Times New Roman" w:hAnsi="Times New Roman" w:cs="Times New Roman" w:eastAsiaTheme="minorEastAsia"/>
                <w:color w:val="000000" w:themeColor="text1"/>
                <w:w w:val="99"/>
                <w:sz w:val="21"/>
                <w:szCs w:val="21"/>
                <w:lang w:val="en-US" w:bidi="ar"/>
                <w14:textFill>
                  <w14:solidFill>
                    <w14:schemeClr w14:val="tx1"/>
                  </w14:solidFill>
                </w14:textFill>
              </w:rPr>
              <w:t>选用低噪声设备，定期对施工设备进行保养维护，保证设备保持在最佳运行状态，降低噪声源强度；</w:t>
            </w:r>
            <w:r>
              <w:rPr>
                <w:rFonts w:ascii="Times New Roman" w:hAnsi="Times New Roman" w:cs="Times New Roman" w:eastAsiaTheme="minorEastAsia"/>
                <w:color w:val="000000" w:themeColor="text1"/>
                <w:w w:val="99"/>
                <w:sz w:val="21"/>
                <w:szCs w:val="21"/>
                <w:lang w:val="en-US"/>
                <w14:textFill>
                  <w14:solidFill>
                    <w14:schemeClr w14:val="tx1"/>
                  </w14:solidFill>
                </w14:textFill>
              </w:rPr>
              <w:t>运营期混输泵噪声采取建设减震基础、隔声等降噪措施。</w:t>
            </w:r>
          </w:p>
        </w:tc>
        <w:tc>
          <w:tcPr>
            <w:tcW w:w="388" w:type="pct"/>
            <w:tcBorders>
              <w:tl2br w:val="nil"/>
              <w:tr2bl w:val="nil"/>
            </w:tcBorders>
            <w:vAlign w:val="center"/>
          </w:tcPr>
          <w:p w14:paraId="66C96D81">
            <w:pPr>
              <w:adjustRightInd w:val="0"/>
              <w:snapToGrid w:val="0"/>
              <w:spacing w:line="320" w:lineRule="exact"/>
              <w:jc w:val="center"/>
              <w:rPr>
                <w:rFonts w:ascii="Times New Roman" w:hAnsi="Times New Roman" w:cs="Times New Roman" w:eastAsiaTheme="minorEastAsia"/>
                <w:color w:val="000000" w:themeColor="text1"/>
                <w:w w:val="99"/>
                <w:sz w:val="21"/>
                <w:szCs w:val="21"/>
                <w:lang w:bidi="ar"/>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val="en-US" w:bidi="ar"/>
                <w14:textFill>
                  <w14:solidFill>
                    <w14:schemeClr w14:val="tx1"/>
                  </w14:solidFill>
                </w14:textFill>
              </w:rPr>
              <w:t>新建</w:t>
            </w:r>
          </w:p>
        </w:tc>
      </w:tr>
      <w:tr w14:paraId="1E60C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vAlign w:val="center"/>
          </w:tcPr>
          <w:p w14:paraId="7A51AA4A">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p>
        </w:tc>
        <w:tc>
          <w:tcPr>
            <w:tcW w:w="707" w:type="pct"/>
            <w:vMerge w:val="restart"/>
            <w:tcBorders>
              <w:tl2br w:val="nil"/>
              <w:tr2bl w:val="nil"/>
            </w:tcBorders>
            <w:vAlign w:val="center"/>
          </w:tcPr>
          <w:p w14:paraId="29FEE141">
            <w:pPr>
              <w:spacing w:line="320" w:lineRule="exact"/>
              <w:jc w:val="center"/>
              <w:rPr>
                <w:rFonts w:ascii="Times New Roman" w:hAnsi="Times New Roman" w:cs="Times New Roman" w:eastAsiaTheme="minorEastAsia"/>
                <w:color w:val="000000" w:themeColor="text1"/>
                <w:w w:val="99"/>
                <w:sz w:val="21"/>
                <w:szCs w:val="21"/>
                <w:lang w:val="en-US" w:bidi="ar"/>
                <w14:textFill>
                  <w14:solidFill>
                    <w14:schemeClr w14:val="tx1"/>
                  </w14:solidFill>
                </w14:textFill>
              </w:rPr>
            </w:pPr>
            <w:r>
              <w:rPr>
                <w:rFonts w:ascii="Times New Roman" w:hAnsi="Times New Roman" w:cs="Times New Roman" w:eastAsiaTheme="minorEastAsia"/>
                <w:color w:val="000000" w:themeColor="text1"/>
                <w:w w:val="99"/>
                <w:sz w:val="21"/>
                <w:szCs w:val="21"/>
                <w:lang w:bidi="ar"/>
                <w14:textFill>
                  <w14:solidFill>
                    <w14:schemeClr w14:val="tx1"/>
                  </w14:solidFill>
                </w14:textFill>
              </w:rPr>
              <w:t>固废处置措施</w:t>
            </w:r>
          </w:p>
        </w:tc>
        <w:tc>
          <w:tcPr>
            <w:tcW w:w="3316" w:type="pct"/>
            <w:tcBorders>
              <w:tl2br w:val="nil"/>
              <w:tr2bl w:val="nil"/>
            </w:tcBorders>
            <w:vAlign w:val="center"/>
          </w:tcPr>
          <w:p w14:paraId="32144492">
            <w:pPr>
              <w:spacing w:line="320" w:lineRule="exact"/>
              <w:jc w:val="both"/>
              <w:rPr>
                <w:rFonts w:ascii="Times New Roman" w:hAnsi="Times New Roman" w:cs="Times New Roman" w:eastAsiaTheme="minorEastAsia"/>
                <w:color w:val="000000" w:themeColor="text1"/>
                <w:w w:val="99"/>
                <w:sz w:val="21"/>
                <w:szCs w:val="21"/>
                <w:lang w:val="en-US" w:bidi="ar"/>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
                <w14:textFill>
                  <w14:solidFill>
                    <w14:schemeClr w14:val="tx1"/>
                  </w14:solidFill>
                </w14:textFill>
              </w:rPr>
              <w:t>拆除的九合一装置等废旧设备</w:t>
            </w:r>
            <w:r>
              <w:rPr>
                <w:rFonts w:ascii="Times New Roman" w:hAnsi="Times New Roman" w:cs="Times New Roman" w:eastAsiaTheme="minorEastAsia"/>
                <w:bCs/>
                <w:color w:val="000000" w:themeColor="text1"/>
                <w:w w:val="99"/>
                <w:kern w:val="2"/>
                <w:sz w:val="21"/>
                <w:szCs w:val="21"/>
                <w14:textFill>
                  <w14:solidFill>
                    <w14:schemeClr w14:val="tx1"/>
                  </w14:solidFill>
                </w14:textFill>
              </w:rPr>
              <w:t>全部</w:t>
            </w:r>
            <w:r>
              <w:rPr>
                <w:rFonts w:ascii="Times New Roman" w:hAnsi="Times New Roman" w:cs="Times New Roman" w:eastAsiaTheme="minorEastAsia"/>
                <w:color w:val="000000" w:themeColor="text1"/>
                <w:w w:val="99"/>
                <w:kern w:val="2"/>
                <w:sz w:val="21"/>
                <w:szCs w:val="21"/>
                <w14:textFill>
                  <w14:solidFill>
                    <w14:schemeClr w14:val="tx1"/>
                  </w14:solidFill>
                </w14:textFill>
              </w:rPr>
              <w:t>回收至</w:t>
            </w:r>
            <w:r>
              <w:rPr>
                <w:rFonts w:hint="eastAsia" w:ascii="Times New Roman" w:hAnsi="Times New Roman" w:cs="Times New Roman" w:eastAsiaTheme="minorEastAsia"/>
                <w:color w:val="000000" w:themeColor="text1"/>
                <w:w w:val="99"/>
                <w:kern w:val="2"/>
                <w:sz w:val="21"/>
                <w:szCs w:val="21"/>
                <w:lang w:eastAsia="zh-CN"/>
                <w14:textFill>
                  <w14:solidFill>
                    <w14:schemeClr w14:val="tx1"/>
                  </w14:solidFill>
                </w14:textFill>
              </w:rPr>
              <w:t>第五采油厂</w:t>
            </w:r>
            <w:r>
              <w:rPr>
                <w:rFonts w:ascii="Times New Roman" w:hAnsi="Times New Roman" w:cs="Times New Roman" w:eastAsiaTheme="minorEastAsia"/>
                <w:color w:val="000000" w:themeColor="text1"/>
                <w:w w:val="99"/>
                <w:kern w:val="2"/>
                <w:sz w:val="21"/>
                <w:szCs w:val="21"/>
                <w14:textFill>
                  <w14:solidFill>
                    <w14:schemeClr w14:val="tx1"/>
                  </w14:solidFill>
                </w14:textFill>
              </w:rPr>
              <w:t>物资库再利用</w:t>
            </w:r>
            <w:r>
              <w:rPr>
                <w:rFonts w:ascii="Times New Roman" w:hAnsi="Times New Roman" w:cs="Times New Roman" w:eastAsiaTheme="minorEastAsia"/>
                <w:color w:val="000000" w:themeColor="text1"/>
                <w:w w:val="99"/>
                <w:sz w:val="21"/>
                <w:szCs w:val="21"/>
                <w:lang w:val="en-US" w:bidi="ar"/>
                <w14:textFill>
                  <w14:solidFill>
                    <w14:schemeClr w14:val="tx1"/>
                  </w14:solidFill>
                </w14:textFill>
              </w:rPr>
              <w:t>。</w:t>
            </w:r>
          </w:p>
        </w:tc>
        <w:tc>
          <w:tcPr>
            <w:tcW w:w="388" w:type="pct"/>
            <w:vMerge w:val="restart"/>
            <w:tcBorders>
              <w:tl2br w:val="nil"/>
              <w:tr2bl w:val="nil"/>
            </w:tcBorders>
            <w:vAlign w:val="center"/>
          </w:tcPr>
          <w:p w14:paraId="4E97533B">
            <w:pPr>
              <w:adjustRightInd w:val="0"/>
              <w:snapToGrid w:val="0"/>
              <w:spacing w:line="320" w:lineRule="exact"/>
              <w:jc w:val="center"/>
              <w:rPr>
                <w:rFonts w:ascii="Times New Roman" w:hAnsi="Times New Roman" w:cs="Times New Roman" w:eastAsiaTheme="minorEastAsia"/>
                <w:color w:val="000000" w:themeColor="text1"/>
                <w:w w:val="99"/>
                <w:sz w:val="21"/>
                <w:szCs w:val="21"/>
                <w:lang w:bidi="ar"/>
                <w14:textFill>
                  <w14:solidFill>
                    <w14:schemeClr w14:val="tx1"/>
                  </w14:solidFill>
                </w14:textFill>
              </w:rPr>
            </w:pPr>
            <w:r>
              <w:rPr>
                <w:rFonts w:ascii="Times New Roman" w:hAnsi="Times New Roman" w:cs="Times New Roman" w:eastAsiaTheme="minorEastAsia"/>
                <w:color w:val="000000" w:themeColor="text1"/>
                <w:w w:val="99"/>
                <w:sz w:val="21"/>
                <w:szCs w:val="21"/>
                <w:lang w:bidi="ar"/>
                <w14:textFill>
                  <w14:solidFill>
                    <w14:schemeClr w14:val="tx1"/>
                  </w14:solidFill>
                </w14:textFill>
              </w:rPr>
              <w:t>依托</w:t>
            </w:r>
          </w:p>
        </w:tc>
      </w:tr>
      <w:tr w14:paraId="64222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vAlign w:val="center"/>
          </w:tcPr>
          <w:p w14:paraId="02F716E2">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p>
        </w:tc>
        <w:tc>
          <w:tcPr>
            <w:tcW w:w="707" w:type="pct"/>
            <w:vMerge w:val="continue"/>
            <w:tcBorders>
              <w:tl2br w:val="nil"/>
              <w:tr2bl w:val="nil"/>
            </w:tcBorders>
            <w:vAlign w:val="center"/>
          </w:tcPr>
          <w:p w14:paraId="5C35932C">
            <w:pPr>
              <w:spacing w:line="320" w:lineRule="exact"/>
              <w:jc w:val="center"/>
              <w:rPr>
                <w:rFonts w:ascii="Times New Roman" w:hAnsi="Times New Roman" w:cs="Times New Roman" w:eastAsiaTheme="minorEastAsia"/>
                <w:color w:val="000000" w:themeColor="text1"/>
                <w:w w:val="99"/>
                <w:sz w:val="21"/>
                <w:szCs w:val="21"/>
                <w:lang w:val="en-US" w:bidi="ar"/>
                <w14:textFill>
                  <w14:solidFill>
                    <w14:schemeClr w14:val="tx1"/>
                  </w14:solidFill>
                </w14:textFill>
              </w:rPr>
            </w:pPr>
          </w:p>
        </w:tc>
        <w:tc>
          <w:tcPr>
            <w:tcW w:w="3316" w:type="pct"/>
            <w:tcBorders>
              <w:tl2br w:val="nil"/>
              <w:tr2bl w:val="nil"/>
            </w:tcBorders>
            <w:vAlign w:val="center"/>
          </w:tcPr>
          <w:p w14:paraId="0E5BEC3C">
            <w:pPr>
              <w:spacing w:line="320" w:lineRule="exact"/>
              <w:jc w:val="both"/>
              <w:rPr>
                <w:rFonts w:ascii="Times New Roman" w:hAnsi="Times New Roman" w:cs="Times New Roman" w:eastAsiaTheme="minorEastAsia"/>
                <w:color w:val="000000" w:themeColor="text1"/>
                <w:w w:val="99"/>
                <w:sz w:val="21"/>
                <w:szCs w:val="21"/>
                <w:lang w:val="en-US" w:bidi="ar"/>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
                <w14:textFill>
                  <w14:solidFill>
                    <w14:schemeClr w14:val="tx1"/>
                  </w14:solidFill>
                </w14:textFill>
              </w:rPr>
              <w:t>施工人员产生的生活垃圾统一收集后送大庆龙清生物科技有限公司处理。</w:t>
            </w:r>
          </w:p>
        </w:tc>
        <w:tc>
          <w:tcPr>
            <w:tcW w:w="388" w:type="pct"/>
            <w:vMerge w:val="continue"/>
            <w:tcBorders>
              <w:tl2br w:val="nil"/>
              <w:tr2bl w:val="nil"/>
            </w:tcBorders>
            <w:vAlign w:val="center"/>
          </w:tcPr>
          <w:p w14:paraId="77827DD4">
            <w:pPr>
              <w:adjustRightInd w:val="0"/>
              <w:snapToGrid w:val="0"/>
              <w:spacing w:line="320" w:lineRule="exact"/>
              <w:jc w:val="center"/>
              <w:rPr>
                <w:rFonts w:ascii="Times New Roman" w:hAnsi="Times New Roman" w:cs="Times New Roman" w:eastAsiaTheme="minorEastAsia"/>
                <w:color w:val="000000" w:themeColor="text1"/>
                <w:w w:val="99"/>
                <w:sz w:val="21"/>
                <w:szCs w:val="21"/>
                <w:lang w:bidi="ar"/>
                <w14:textFill>
                  <w14:solidFill>
                    <w14:schemeClr w14:val="tx1"/>
                  </w14:solidFill>
                </w14:textFill>
              </w:rPr>
            </w:pPr>
          </w:p>
        </w:tc>
      </w:tr>
      <w:tr w14:paraId="25414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vAlign w:val="center"/>
          </w:tcPr>
          <w:p w14:paraId="0DEC70C0">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p>
        </w:tc>
        <w:tc>
          <w:tcPr>
            <w:tcW w:w="707" w:type="pct"/>
            <w:vMerge w:val="continue"/>
            <w:tcBorders>
              <w:tl2br w:val="nil"/>
              <w:tr2bl w:val="nil"/>
            </w:tcBorders>
            <w:vAlign w:val="center"/>
          </w:tcPr>
          <w:p w14:paraId="42AE2AA6">
            <w:pPr>
              <w:spacing w:line="320" w:lineRule="exact"/>
              <w:jc w:val="center"/>
              <w:rPr>
                <w:rFonts w:ascii="Times New Roman" w:hAnsi="Times New Roman" w:cs="Times New Roman" w:eastAsiaTheme="minorEastAsia"/>
                <w:color w:val="000000" w:themeColor="text1"/>
                <w:w w:val="99"/>
                <w:sz w:val="21"/>
                <w:szCs w:val="21"/>
                <w:lang w:val="en-US" w:bidi="ar"/>
                <w14:textFill>
                  <w14:solidFill>
                    <w14:schemeClr w14:val="tx1"/>
                  </w14:solidFill>
                </w14:textFill>
              </w:rPr>
            </w:pPr>
          </w:p>
        </w:tc>
        <w:tc>
          <w:tcPr>
            <w:tcW w:w="3316" w:type="pct"/>
            <w:tcBorders>
              <w:tl2br w:val="nil"/>
              <w:tr2bl w:val="nil"/>
            </w:tcBorders>
            <w:vAlign w:val="center"/>
          </w:tcPr>
          <w:p w14:paraId="2EA70549">
            <w:pPr>
              <w:spacing w:line="320" w:lineRule="exact"/>
              <w:jc w:val="both"/>
              <w:rPr>
                <w:rFonts w:ascii="Times New Roman" w:hAnsi="Times New Roman" w:cs="Times New Roman" w:eastAsiaTheme="minorEastAsia"/>
                <w:color w:val="000000" w:themeColor="text1"/>
                <w:w w:val="99"/>
                <w:sz w:val="21"/>
                <w:szCs w:val="21"/>
                <w:lang w:val="en-US" w:bidi="ar"/>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
                <w14:textFill>
                  <w14:solidFill>
                    <w14:schemeClr w14:val="tx1"/>
                  </w14:solidFill>
                </w14:textFill>
              </w:rPr>
              <w:t>管道施工废料拉运至第八采油厂工业固废填埋场处理。</w:t>
            </w:r>
          </w:p>
        </w:tc>
        <w:tc>
          <w:tcPr>
            <w:tcW w:w="388" w:type="pct"/>
            <w:vMerge w:val="continue"/>
            <w:tcBorders>
              <w:tl2br w:val="nil"/>
              <w:tr2bl w:val="nil"/>
            </w:tcBorders>
            <w:vAlign w:val="center"/>
          </w:tcPr>
          <w:p w14:paraId="58829956">
            <w:pPr>
              <w:adjustRightInd w:val="0"/>
              <w:snapToGrid w:val="0"/>
              <w:spacing w:line="320" w:lineRule="exact"/>
              <w:jc w:val="center"/>
              <w:rPr>
                <w:rFonts w:ascii="Times New Roman" w:hAnsi="Times New Roman" w:cs="Times New Roman" w:eastAsiaTheme="minorEastAsia"/>
                <w:color w:val="000000" w:themeColor="text1"/>
                <w:w w:val="99"/>
                <w:sz w:val="21"/>
                <w:szCs w:val="21"/>
                <w:lang w:bidi="ar"/>
                <w14:textFill>
                  <w14:solidFill>
                    <w14:schemeClr w14:val="tx1"/>
                  </w14:solidFill>
                </w14:textFill>
              </w:rPr>
            </w:pPr>
          </w:p>
        </w:tc>
      </w:tr>
      <w:tr w14:paraId="7A6AB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vAlign w:val="center"/>
          </w:tcPr>
          <w:p w14:paraId="554A490F">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p>
        </w:tc>
        <w:tc>
          <w:tcPr>
            <w:tcW w:w="707" w:type="pct"/>
            <w:vMerge w:val="continue"/>
            <w:tcBorders>
              <w:tl2br w:val="nil"/>
              <w:tr2bl w:val="nil"/>
            </w:tcBorders>
            <w:vAlign w:val="center"/>
          </w:tcPr>
          <w:p w14:paraId="1DE1AEED">
            <w:pPr>
              <w:spacing w:line="320" w:lineRule="exact"/>
              <w:jc w:val="center"/>
              <w:rPr>
                <w:rFonts w:ascii="Times New Roman" w:hAnsi="Times New Roman" w:cs="Times New Roman" w:eastAsiaTheme="minorEastAsia"/>
                <w:color w:val="000000" w:themeColor="text1"/>
                <w:w w:val="99"/>
                <w:sz w:val="21"/>
                <w:szCs w:val="21"/>
                <w:lang w:val="en-US" w:bidi="ar"/>
                <w14:textFill>
                  <w14:solidFill>
                    <w14:schemeClr w14:val="tx1"/>
                  </w14:solidFill>
                </w14:textFill>
              </w:rPr>
            </w:pPr>
          </w:p>
        </w:tc>
        <w:tc>
          <w:tcPr>
            <w:tcW w:w="3316" w:type="pct"/>
            <w:tcBorders>
              <w:tl2br w:val="nil"/>
              <w:tr2bl w:val="nil"/>
            </w:tcBorders>
            <w:vAlign w:val="center"/>
          </w:tcPr>
          <w:p w14:paraId="760071D7">
            <w:pPr>
              <w:spacing w:line="320" w:lineRule="exact"/>
              <w:jc w:val="both"/>
              <w:rPr>
                <w:rFonts w:ascii="Times New Roman" w:hAnsi="Times New Roman" w:cs="Times New Roman" w:eastAsiaTheme="minorEastAsia"/>
                <w:color w:val="000000" w:themeColor="text1"/>
                <w:w w:val="99"/>
                <w:sz w:val="21"/>
                <w:szCs w:val="21"/>
                <w:lang w:val="en-US" w:bidi="ar"/>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
                <w14:textFill>
                  <w14:solidFill>
                    <w14:schemeClr w14:val="tx1"/>
                  </w14:solidFill>
                </w14:textFill>
              </w:rPr>
              <w:t>清淤油泥</w:t>
            </w:r>
            <w:r>
              <w:rPr>
                <w:rFonts w:ascii="Times New Roman" w:hAnsi="Times New Roman" w:cs="Times New Roman" w:eastAsiaTheme="minorEastAsia"/>
                <w:bCs/>
                <w:color w:val="000000" w:themeColor="text1"/>
                <w:w w:val="99"/>
                <w:sz w:val="21"/>
                <w:szCs w:val="21"/>
                <w:lang w:val="en-US" w:bidi="ar"/>
                <w14:textFill>
                  <w14:solidFill>
                    <w14:schemeClr w14:val="tx1"/>
                  </w14:solidFill>
                </w14:textFill>
              </w:rPr>
              <w:t>由罐车拉运至</w:t>
            </w:r>
            <w:r>
              <w:rPr>
                <w:rFonts w:hint="eastAsia" w:ascii="Times New Roman" w:hAnsi="Times New Roman" w:cs="Times New Roman" w:eastAsiaTheme="minorEastAsia"/>
                <w:bCs/>
                <w:color w:val="000000" w:themeColor="text1"/>
                <w:w w:val="99"/>
                <w:sz w:val="21"/>
                <w:szCs w:val="21"/>
                <w:lang w:val="en-US" w:eastAsia="zh-CN" w:bidi="ar"/>
                <w14:textFill>
                  <w14:solidFill>
                    <w14:schemeClr w14:val="tx1"/>
                  </w14:solidFill>
                </w14:textFill>
              </w:rPr>
              <w:t>第五采油厂</w:t>
            </w:r>
            <w:r>
              <w:rPr>
                <w:rFonts w:ascii="Times New Roman" w:hAnsi="Times New Roman" w:cs="Times New Roman" w:eastAsiaTheme="minorEastAsia"/>
                <w:bCs/>
                <w:color w:val="000000" w:themeColor="text1"/>
                <w:w w:val="99"/>
                <w:sz w:val="21"/>
                <w:szCs w:val="21"/>
                <w:lang w:val="en-US" w:bidi="ar"/>
                <w14:textFill>
                  <w14:solidFill>
                    <w14:schemeClr w14:val="tx1"/>
                  </w14:solidFill>
                </w14:textFill>
              </w:rPr>
              <w:t>含油污泥处理站处理满足《油田含油污泥处置与利用污染控制要求》（DB23/T 3104-2022）表1中</w:t>
            </w:r>
            <w:r>
              <w:rPr>
                <w:rFonts w:ascii="Times New Roman" w:hAnsi="Times New Roman" w:cs="Times New Roman" w:eastAsiaTheme="minorEastAsia"/>
                <w:bCs/>
                <w:color w:val="000000" w:themeColor="text1"/>
                <w:w w:val="99"/>
                <w:sz w:val="21"/>
                <w:szCs w:val="21"/>
                <w14:textFill>
                  <w14:solidFill>
                    <w14:schemeClr w14:val="tx1"/>
                  </w14:solidFill>
                </w14:textFill>
              </w:rPr>
              <w:t>油田含油污泥经处置后泥渣利用污染物控制限值后用作油田垫井场和通井路</w:t>
            </w:r>
            <w:r>
              <w:rPr>
                <w:rFonts w:ascii="Times New Roman" w:hAnsi="Times New Roman" w:cs="Times New Roman" w:eastAsiaTheme="minorEastAsia"/>
                <w:bCs/>
                <w:color w:val="000000" w:themeColor="text1"/>
                <w:w w:val="99"/>
                <w:sz w:val="21"/>
                <w:szCs w:val="21"/>
                <w:lang w:val="en-US" w:bidi="ar"/>
                <w14:textFill>
                  <w14:solidFill>
                    <w14:schemeClr w14:val="tx1"/>
                  </w14:solidFill>
                </w14:textFill>
              </w:rPr>
              <w:t>。</w:t>
            </w:r>
          </w:p>
        </w:tc>
        <w:tc>
          <w:tcPr>
            <w:tcW w:w="388" w:type="pct"/>
            <w:vMerge w:val="continue"/>
            <w:tcBorders>
              <w:tl2br w:val="nil"/>
              <w:tr2bl w:val="nil"/>
            </w:tcBorders>
            <w:vAlign w:val="center"/>
          </w:tcPr>
          <w:p w14:paraId="0A1C4AB5">
            <w:pPr>
              <w:adjustRightInd w:val="0"/>
              <w:snapToGrid w:val="0"/>
              <w:spacing w:line="320" w:lineRule="exact"/>
              <w:jc w:val="center"/>
              <w:rPr>
                <w:rFonts w:ascii="Times New Roman" w:hAnsi="Times New Roman" w:cs="Times New Roman" w:eastAsiaTheme="minorEastAsia"/>
                <w:color w:val="000000" w:themeColor="text1"/>
                <w:w w:val="99"/>
                <w:sz w:val="21"/>
                <w:szCs w:val="21"/>
                <w:lang w:bidi="ar"/>
                <w14:textFill>
                  <w14:solidFill>
                    <w14:schemeClr w14:val="tx1"/>
                  </w14:solidFill>
                </w14:textFill>
              </w:rPr>
            </w:pPr>
          </w:p>
        </w:tc>
      </w:tr>
      <w:tr w14:paraId="03C5E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vAlign w:val="center"/>
          </w:tcPr>
          <w:p w14:paraId="69F3F2E6">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p>
        </w:tc>
        <w:tc>
          <w:tcPr>
            <w:tcW w:w="707" w:type="pct"/>
            <w:vMerge w:val="continue"/>
            <w:tcBorders>
              <w:tl2br w:val="nil"/>
              <w:tr2bl w:val="nil"/>
            </w:tcBorders>
            <w:vAlign w:val="center"/>
          </w:tcPr>
          <w:p w14:paraId="4EBA46C8">
            <w:pPr>
              <w:spacing w:line="320" w:lineRule="exact"/>
              <w:jc w:val="center"/>
              <w:rPr>
                <w:rFonts w:ascii="Times New Roman" w:hAnsi="Times New Roman" w:cs="Times New Roman" w:eastAsiaTheme="minorEastAsia"/>
                <w:color w:val="000000" w:themeColor="text1"/>
                <w:w w:val="99"/>
                <w:sz w:val="21"/>
                <w:szCs w:val="21"/>
                <w:lang w:val="en-US" w:bidi="ar"/>
                <w14:textFill>
                  <w14:solidFill>
                    <w14:schemeClr w14:val="tx1"/>
                  </w14:solidFill>
                </w14:textFill>
              </w:rPr>
            </w:pPr>
          </w:p>
        </w:tc>
        <w:tc>
          <w:tcPr>
            <w:tcW w:w="3316" w:type="pct"/>
            <w:tcBorders>
              <w:tl2br w:val="nil"/>
              <w:tr2bl w:val="nil"/>
            </w:tcBorders>
            <w:vAlign w:val="center"/>
          </w:tcPr>
          <w:p w14:paraId="5B3A4FB4">
            <w:pPr>
              <w:spacing w:line="320" w:lineRule="exact"/>
              <w:jc w:val="both"/>
              <w:rPr>
                <w:rFonts w:ascii="Times New Roman" w:hAnsi="Times New Roman" w:cs="Times New Roman" w:eastAsiaTheme="minorEastAsia"/>
                <w:color w:val="000000" w:themeColor="text1"/>
                <w:w w:val="99"/>
                <w:sz w:val="21"/>
                <w:szCs w:val="21"/>
                <w:lang w:val="en-US" w:bidi="ar"/>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
                <w14:textFill>
                  <w14:solidFill>
                    <w14:schemeClr w14:val="tx1"/>
                  </w14:solidFill>
                </w14:textFill>
              </w:rPr>
              <w:t>拆除九合一装置基础及新建混输阀组间基础产生的建筑垃圾由施工单位拉运至大庆市</w:t>
            </w:r>
            <w:r>
              <w:rPr>
                <w:rFonts w:hint="eastAsia" w:ascii="Times New Roman" w:hAnsi="Times New Roman" w:cs="Times New Roman" w:eastAsiaTheme="minorEastAsia"/>
                <w:color w:val="000000" w:themeColor="text1"/>
                <w:w w:val="99"/>
                <w:sz w:val="21"/>
                <w:szCs w:val="21"/>
                <w:lang w:val="en-US" w:eastAsia="zh-CN" w:bidi="ar"/>
                <w14:textFill>
                  <w14:solidFill>
                    <w14:schemeClr w14:val="tx1"/>
                  </w14:solidFill>
                </w14:textFill>
              </w:rPr>
              <w:t>红岗区杏树岗镇</w:t>
            </w:r>
            <w:r>
              <w:rPr>
                <w:rFonts w:ascii="Times New Roman" w:hAnsi="Times New Roman" w:cs="Times New Roman" w:eastAsiaTheme="minorEastAsia"/>
                <w:color w:val="000000" w:themeColor="text1"/>
                <w:w w:val="99"/>
                <w:sz w:val="21"/>
                <w:szCs w:val="21"/>
                <w:lang w:val="en-US" w:bidi="ar"/>
                <w14:textFill>
                  <w14:solidFill>
                    <w14:schemeClr w14:val="tx1"/>
                  </w14:solidFill>
                </w14:textFill>
              </w:rPr>
              <w:t>建筑垃圾消纳场处理。</w:t>
            </w:r>
          </w:p>
        </w:tc>
        <w:tc>
          <w:tcPr>
            <w:tcW w:w="388" w:type="pct"/>
            <w:vMerge w:val="continue"/>
            <w:tcBorders>
              <w:tl2br w:val="nil"/>
              <w:tr2bl w:val="nil"/>
            </w:tcBorders>
            <w:vAlign w:val="center"/>
          </w:tcPr>
          <w:p w14:paraId="67109F8E">
            <w:pPr>
              <w:adjustRightInd w:val="0"/>
              <w:snapToGrid w:val="0"/>
              <w:spacing w:line="320" w:lineRule="exact"/>
              <w:jc w:val="center"/>
              <w:rPr>
                <w:rFonts w:ascii="Times New Roman" w:hAnsi="Times New Roman" w:cs="Times New Roman" w:eastAsiaTheme="minorEastAsia"/>
                <w:color w:val="000000" w:themeColor="text1"/>
                <w:w w:val="99"/>
                <w:sz w:val="21"/>
                <w:szCs w:val="21"/>
                <w:lang w:bidi="ar"/>
                <w14:textFill>
                  <w14:solidFill>
                    <w14:schemeClr w14:val="tx1"/>
                  </w14:solidFill>
                </w14:textFill>
              </w:rPr>
            </w:pPr>
          </w:p>
        </w:tc>
      </w:tr>
      <w:tr w14:paraId="6B8CC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vAlign w:val="center"/>
          </w:tcPr>
          <w:p w14:paraId="5AE44F3E">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p>
        </w:tc>
        <w:tc>
          <w:tcPr>
            <w:tcW w:w="707" w:type="pct"/>
            <w:tcBorders>
              <w:tl2br w:val="nil"/>
              <w:tr2bl w:val="nil"/>
            </w:tcBorders>
            <w:vAlign w:val="center"/>
          </w:tcPr>
          <w:p w14:paraId="03C0D74B">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
                <w14:textFill>
                  <w14:solidFill>
                    <w14:schemeClr w14:val="tx1"/>
                  </w14:solidFill>
                </w14:textFill>
              </w:rPr>
            </w:pPr>
            <w:r>
              <w:rPr>
                <w:rFonts w:ascii="Times New Roman" w:hAnsi="Times New Roman" w:cs="Times New Roman" w:eastAsiaTheme="minorEastAsia"/>
                <w:color w:val="000000" w:themeColor="text1"/>
                <w:w w:val="99"/>
                <w:sz w:val="21"/>
                <w:szCs w:val="21"/>
                <w:lang w:bidi="ar"/>
                <w14:textFill>
                  <w14:solidFill>
                    <w14:schemeClr w14:val="tx1"/>
                  </w14:solidFill>
                </w14:textFill>
              </w:rPr>
              <w:t>生态保护措施</w:t>
            </w:r>
          </w:p>
        </w:tc>
        <w:tc>
          <w:tcPr>
            <w:tcW w:w="3316" w:type="pct"/>
            <w:tcBorders>
              <w:tl2br w:val="nil"/>
              <w:tr2bl w:val="nil"/>
            </w:tcBorders>
            <w:vAlign w:val="center"/>
          </w:tcPr>
          <w:p w14:paraId="180FFC97">
            <w:pPr>
              <w:widowControl/>
              <w:adjustRightInd w:val="0"/>
              <w:snapToGrid w:val="0"/>
              <w:spacing w:line="320" w:lineRule="exact"/>
              <w:rPr>
                <w:rFonts w:ascii="Times New Roman" w:hAnsi="Times New Roman" w:cs="Times New Roman" w:eastAsiaTheme="minorEastAsia"/>
                <w:color w:val="000000" w:themeColor="text1"/>
                <w:w w:val="99"/>
                <w:sz w:val="21"/>
                <w:szCs w:val="21"/>
                <w:lang w:bidi="ar"/>
                <w14:textFill>
                  <w14:solidFill>
                    <w14:schemeClr w14:val="tx1"/>
                  </w14:solidFill>
                </w14:textFill>
              </w:rPr>
            </w:pPr>
            <w:r>
              <w:rPr>
                <w:rFonts w:ascii="Times New Roman" w:hAnsi="Times New Roman" w:cs="Times New Roman" w:eastAsiaTheme="minorEastAsia"/>
                <w:color w:val="000000" w:themeColor="text1"/>
                <w:w w:val="99"/>
                <w:sz w:val="21"/>
                <w:szCs w:val="21"/>
                <w:lang w:bidi="ar-SA"/>
                <w14:textFill>
                  <w14:solidFill>
                    <w14:schemeClr w14:val="tx1"/>
                  </w14:solidFill>
                </w14:textFill>
              </w:rPr>
              <w:t>本项目生态恢复主要是对管线铺设临时占地进行恢复，需恢复的面积为</w:t>
            </w:r>
            <w:r>
              <w:rPr>
                <w:rFonts w:hint="eastAsia" w:ascii="Times New Roman" w:hAnsi="Times New Roman" w:cs="Times New Roman" w:eastAsiaTheme="minorEastAsia"/>
                <w:color w:val="000000" w:themeColor="text1"/>
                <w:w w:val="99"/>
                <w:sz w:val="21"/>
                <w:szCs w:val="21"/>
                <w:lang w:val="en-US" w:eastAsia="zh-CN" w:bidi="ar-SA"/>
                <w14:textFill>
                  <w14:solidFill>
                    <w14:schemeClr w14:val="tx1"/>
                  </w14:solidFill>
                </w14:textFill>
              </w:rPr>
              <w:t>4.5hm2</w:t>
            </w:r>
            <w:r>
              <w:rPr>
                <w:rFonts w:ascii="Times New Roman" w:hAnsi="Times New Roman" w:cs="Times New Roman" w:eastAsiaTheme="minorEastAsia"/>
                <w:color w:val="000000" w:themeColor="text1"/>
                <w:w w:val="99"/>
                <w:sz w:val="21"/>
                <w:szCs w:val="21"/>
                <w:lang w:bidi="ar-SA"/>
                <w14:textFill>
                  <w14:solidFill>
                    <w14:schemeClr w14:val="tx1"/>
                  </w14:solidFill>
                </w14:textFill>
              </w:rPr>
              <w:t>。对临时占用土地采取表土留存，分层回填，翻松整平，植被恢复等措施。</w:t>
            </w:r>
          </w:p>
        </w:tc>
        <w:tc>
          <w:tcPr>
            <w:tcW w:w="388" w:type="pct"/>
            <w:tcBorders>
              <w:tl2br w:val="nil"/>
              <w:tr2bl w:val="nil"/>
            </w:tcBorders>
            <w:vAlign w:val="center"/>
          </w:tcPr>
          <w:p w14:paraId="3859E401">
            <w:pPr>
              <w:adjustRightInd w:val="0"/>
              <w:snapToGrid w:val="0"/>
              <w:spacing w:line="320" w:lineRule="exact"/>
              <w:jc w:val="center"/>
              <w:rPr>
                <w:rFonts w:ascii="Times New Roman" w:hAnsi="Times New Roman" w:cs="Times New Roman" w:eastAsiaTheme="minorEastAsia"/>
                <w:color w:val="000000" w:themeColor="text1"/>
                <w:w w:val="99"/>
                <w:sz w:val="21"/>
                <w:szCs w:val="21"/>
                <w:lang w:bidi="ar"/>
                <w14:textFill>
                  <w14:solidFill>
                    <w14:schemeClr w14:val="tx1"/>
                  </w14:solidFill>
                </w14:textFill>
              </w:rPr>
            </w:pPr>
            <w:r>
              <w:rPr>
                <w:rFonts w:ascii="Times New Roman" w:hAnsi="Times New Roman" w:cs="Times New Roman" w:eastAsiaTheme="minorEastAsia"/>
                <w:color w:val="000000" w:themeColor="text1"/>
                <w:w w:val="99"/>
                <w:sz w:val="21"/>
                <w:szCs w:val="21"/>
                <w:lang w:bidi="ar"/>
                <w14:textFill>
                  <w14:solidFill>
                    <w14:schemeClr w14:val="tx1"/>
                  </w14:solidFill>
                </w14:textFill>
              </w:rPr>
              <w:t>新建</w:t>
            </w:r>
          </w:p>
        </w:tc>
      </w:tr>
      <w:tr w14:paraId="10996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vAlign w:val="center"/>
          </w:tcPr>
          <w:p w14:paraId="12E9B542">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p>
        </w:tc>
        <w:tc>
          <w:tcPr>
            <w:tcW w:w="707" w:type="pct"/>
            <w:vMerge w:val="restart"/>
            <w:tcBorders>
              <w:tl2br w:val="nil"/>
              <w:tr2bl w:val="nil"/>
            </w:tcBorders>
            <w:vAlign w:val="center"/>
          </w:tcPr>
          <w:p w14:paraId="2ADB5F59">
            <w:pPr>
              <w:adjustRightInd w:val="0"/>
              <w:snapToGrid w:val="0"/>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地下水及土壤防护</w:t>
            </w:r>
          </w:p>
        </w:tc>
        <w:tc>
          <w:tcPr>
            <w:tcW w:w="3316" w:type="pct"/>
            <w:tcBorders>
              <w:tl2br w:val="nil"/>
              <w:tr2bl w:val="nil"/>
            </w:tcBorders>
            <w:vAlign w:val="center"/>
          </w:tcPr>
          <w:p w14:paraId="3CE59FEA">
            <w:pPr>
              <w:spacing w:line="320" w:lineRule="exact"/>
              <w:jc w:val="both"/>
              <w:rPr>
                <w:rFonts w:ascii="Times New Roman" w:hAnsi="Times New Roman" w:cs="Times New Roman" w:eastAsiaTheme="minorEastAsia"/>
                <w:bCs/>
                <w:color w:val="000000" w:themeColor="text1"/>
                <w:w w:val="99"/>
                <w:kern w:val="21"/>
                <w:sz w:val="21"/>
                <w:szCs w:val="21"/>
                <w14:textFill>
                  <w14:solidFill>
                    <w14:schemeClr w14:val="tx1"/>
                  </w14:solidFill>
                </w14:textFill>
              </w:rPr>
            </w:pPr>
            <w:r>
              <w:rPr>
                <w:rFonts w:ascii="Times New Roman" w:hAnsi="Times New Roman" w:cs="Times New Roman" w:eastAsiaTheme="minorEastAsia"/>
                <w:bCs/>
                <w:color w:val="000000" w:themeColor="text1"/>
                <w:w w:val="99"/>
                <w:kern w:val="21"/>
                <w:sz w:val="21"/>
                <w:szCs w:val="21"/>
                <w14:textFill>
                  <w14:solidFill>
                    <w14:schemeClr w14:val="tx1"/>
                  </w14:solidFill>
                </w14:textFill>
              </w:rPr>
              <w:t>在本项目区块上游</w:t>
            </w:r>
            <w:r>
              <w:rPr>
                <w:rFonts w:ascii="Times New Roman" w:hAnsi="Times New Roman" w:cs="Times New Roman" w:eastAsiaTheme="minorEastAsia"/>
                <w:bCs/>
                <w:color w:val="000000" w:themeColor="text1"/>
                <w:w w:val="99"/>
                <w:kern w:val="21"/>
                <w:sz w:val="21"/>
                <w:szCs w:val="21"/>
                <w:lang w:val="en-US"/>
                <w14:textFill>
                  <w14:solidFill>
                    <w14:schemeClr w14:val="tx1"/>
                  </w14:solidFill>
                </w14:textFill>
              </w:rPr>
              <w:t>好尔陶牧场苏家水井</w:t>
            </w:r>
            <w:r>
              <w:rPr>
                <w:rFonts w:ascii="Times New Roman" w:hAnsi="Times New Roman" w:cs="Times New Roman" w:eastAsiaTheme="minorEastAsia"/>
                <w:bCs/>
                <w:color w:val="000000" w:themeColor="text1"/>
                <w:w w:val="99"/>
                <w:kern w:val="21"/>
                <w:sz w:val="21"/>
                <w:szCs w:val="21"/>
                <w14:textFill>
                  <w14:solidFill>
                    <w14:schemeClr w14:val="tx1"/>
                  </w14:solidFill>
                </w14:textFill>
              </w:rPr>
              <w:t>（</w:t>
            </w:r>
            <w:r>
              <w:rPr>
                <w:rFonts w:ascii="Times New Roman" w:hAnsi="Times New Roman" w:cs="Times New Roman" w:eastAsiaTheme="minorEastAsia"/>
                <w:bCs/>
                <w:color w:val="000000" w:themeColor="text1"/>
                <w:w w:val="99"/>
                <w:kern w:val="21"/>
                <w:sz w:val="21"/>
                <w:szCs w:val="21"/>
                <w:lang w:val="en-US"/>
                <w14:textFill>
                  <w14:solidFill>
                    <w14:schemeClr w14:val="tx1"/>
                  </w14:solidFill>
                </w14:textFill>
              </w:rPr>
              <w:t>东经124°24′25.92″，北纬46°22′57.32″</w:t>
            </w:r>
            <w:r>
              <w:rPr>
                <w:rFonts w:ascii="Times New Roman" w:hAnsi="Times New Roman" w:cs="Times New Roman" w:eastAsiaTheme="minorEastAsia"/>
                <w:bCs/>
                <w:color w:val="000000" w:themeColor="text1"/>
                <w:w w:val="99"/>
                <w:kern w:val="21"/>
                <w:sz w:val="21"/>
                <w:szCs w:val="21"/>
                <w14:textFill>
                  <w14:solidFill>
                    <w14:schemeClr w14:val="tx1"/>
                  </w14:solidFill>
                </w14:textFill>
              </w:rPr>
              <w:t>）布设1个潜水背景值监测水井，在区块内</w:t>
            </w:r>
            <w:r>
              <w:rPr>
                <w:rFonts w:ascii="Times New Roman" w:hAnsi="Times New Roman" w:cs="Times New Roman" w:eastAsiaTheme="minorEastAsia"/>
                <w:bCs/>
                <w:color w:val="000000" w:themeColor="text1"/>
                <w:w w:val="99"/>
                <w:kern w:val="21"/>
                <w:sz w:val="21"/>
                <w:szCs w:val="21"/>
                <w:lang w:val="en-US"/>
                <w14:textFill>
                  <w14:solidFill>
                    <w14:schemeClr w14:val="tx1"/>
                  </w14:solidFill>
                </w14:textFill>
              </w:rPr>
              <w:t>杏树岗村张家水井</w:t>
            </w:r>
            <w:r>
              <w:rPr>
                <w:rFonts w:ascii="Times New Roman" w:hAnsi="Times New Roman" w:cs="Times New Roman" w:eastAsiaTheme="minorEastAsia"/>
                <w:bCs/>
                <w:color w:val="000000" w:themeColor="text1"/>
                <w:w w:val="99"/>
                <w:kern w:val="21"/>
                <w:sz w:val="21"/>
                <w:szCs w:val="21"/>
                <w14:textFill>
                  <w14:solidFill>
                    <w14:schemeClr w14:val="tx1"/>
                  </w14:solidFill>
                </w14:textFill>
              </w:rPr>
              <w:t>（</w:t>
            </w:r>
            <w:r>
              <w:rPr>
                <w:rFonts w:ascii="Times New Roman" w:hAnsi="Times New Roman" w:cs="Times New Roman" w:eastAsiaTheme="minorEastAsia"/>
                <w:bCs/>
                <w:color w:val="000000" w:themeColor="text1"/>
                <w:w w:val="99"/>
                <w:kern w:val="21"/>
                <w:sz w:val="21"/>
                <w:szCs w:val="21"/>
                <w:lang w:val="en-US"/>
                <w14:textFill>
                  <w14:solidFill>
                    <w14:schemeClr w14:val="tx1"/>
                  </w14:solidFill>
                </w14:textFill>
              </w:rPr>
              <w:t>东经124°25′45.192″，北纬46°19′10.704″</w:t>
            </w:r>
            <w:r>
              <w:rPr>
                <w:rFonts w:ascii="Times New Roman" w:hAnsi="Times New Roman" w:cs="Times New Roman" w:eastAsiaTheme="minorEastAsia"/>
                <w:bCs/>
                <w:color w:val="000000" w:themeColor="text1"/>
                <w:w w:val="99"/>
                <w:kern w:val="21"/>
                <w:sz w:val="21"/>
                <w:szCs w:val="21"/>
                <w14:textFill>
                  <w14:solidFill>
                    <w14:schemeClr w14:val="tx1"/>
                  </w14:solidFill>
                </w14:textFill>
              </w:rPr>
              <w:t>）、</w:t>
            </w:r>
            <w:r>
              <w:rPr>
                <w:rFonts w:hint="eastAsia" w:ascii="Times New Roman" w:hAnsi="Times New Roman" w:cs="Times New Roman" w:eastAsiaTheme="minorEastAsia"/>
                <w:bCs/>
                <w:color w:val="000000" w:themeColor="text1"/>
                <w:w w:val="99"/>
                <w:kern w:val="21"/>
                <w:sz w:val="21"/>
                <w:szCs w:val="21"/>
                <w14:textFill>
                  <w14:solidFill>
                    <w14:schemeClr w14:val="tx1"/>
                  </w14:solidFill>
                </w14:textFill>
              </w:rPr>
              <w:t>区块下游跟踪监测井</w:t>
            </w:r>
            <w:r>
              <w:rPr>
                <w:rFonts w:ascii="Times New Roman" w:hAnsi="Times New Roman" w:cs="Times New Roman" w:eastAsiaTheme="minorEastAsia"/>
                <w:bCs/>
                <w:color w:val="000000" w:themeColor="text1"/>
                <w:w w:val="99"/>
                <w:kern w:val="21"/>
                <w:sz w:val="21"/>
                <w:szCs w:val="21"/>
                <w14:textFill>
                  <w14:solidFill>
                    <w14:schemeClr w14:val="tx1"/>
                  </w14:solidFill>
                </w14:textFill>
              </w:rPr>
              <w:t>（</w:t>
            </w:r>
            <w:r>
              <w:rPr>
                <w:rFonts w:hint="eastAsia" w:ascii="Times New Roman" w:hAnsi="Times New Roman" w:cs="Times New Roman" w:eastAsiaTheme="minorEastAsia"/>
                <w:bCs/>
                <w:color w:val="000000" w:themeColor="text1"/>
                <w:w w:val="99"/>
                <w:kern w:val="21"/>
                <w:sz w:val="21"/>
                <w:szCs w:val="21"/>
                <w:lang w:val="en-US"/>
                <w14:textFill>
                  <w14:solidFill>
                    <w14:schemeClr w14:val="tx1"/>
                  </w14:solidFill>
                </w14:textFill>
              </w:rPr>
              <w:t>东经</w:t>
            </w:r>
            <w:r>
              <w:rPr>
                <w:rFonts w:ascii="Times New Roman" w:hAnsi="Times New Roman" w:cs="Times New Roman" w:eastAsiaTheme="minorEastAsia"/>
                <w:bCs/>
                <w:color w:val="000000" w:themeColor="text1"/>
                <w:w w:val="99"/>
                <w:kern w:val="21"/>
                <w:sz w:val="21"/>
                <w:szCs w:val="21"/>
                <w:lang w:val="en-US"/>
                <w14:textFill>
                  <w14:solidFill>
                    <w14:schemeClr w14:val="tx1"/>
                  </w14:solidFill>
                </w14:textFill>
              </w:rPr>
              <w:t xml:space="preserve"> 124°24′31.428″，北纬46°17′7.368″</w:t>
            </w:r>
            <w:r>
              <w:rPr>
                <w:rFonts w:ascii="Times New Roman" w:hAnsi="Times New Roman" w:cs="Times New Roman" w:eastAsiaTheme="minorEastAsia"/>
                <w:bCs/>
                <w:color w:val="000000" w:themeColor="text1"/>
                <w:w w:val="99"/>
                <w:kern w:val="21"/>
                <w:sz w:val="21"/>
                <w:szCs w:val="21"/>
                <w14:textFill>
                  <w14:solidFill>
                    <w14:schemeClr w14:val="tx1"/>
                  </w14:solidFill>
                </w14:textFill>
              </w:rPr>
              <w:t>）各布设1口潜水跟踪监测水井，定期对地下水进行跟踪监测。</w:t>
            </w:r>
          </w:p>
        </w:tc>
        <w:tc>
          <w:tcPr>
            <w:tcW w:w="388" w:type="pct"/>
            <w:tcBorders>
              <w:tl2br w:val="nil"/>
              <w:tr2bl w:val="nil"/>
            </w:tcBorders>
            <w:vAlign w:val="center"/>
          </w:tcPr>
          <w:p w14:paraId="5034B1E4">
            <w:pPr>
              <w:adjustRightInd w:val="0"/>
              <w:snapToGrid w:val="0"/>
              <w:spacing w:line="320" w:lineRule="exact"/>
              <w:jc w:val="center"/>
              <w:rPr>
                <w:rFonts w:ascii="Times New Roman" w:hAnsi="Times New Roman" w:cs="Times New Roman" w:eastAsiaTheme="minorEastAsia"/>
                <w:color w:val="000000" w:themeColor="text1"/>
                <w:w w:val="99"/>
                <w:sz w:val="21"/>
                <w:szCs w:val="21"/>
                <w:lang w:bidi="ar"/>
                <w14:textFill>
                  <w14:solidFill>
                    <w14:schemeClr w14:val="tx1"/>
                  </w14:solidFill>
                </w14:textFill>
              </w:rPr>
            </w:pPr>
            <w:r>
              <w:rPr>
                <w:rFonts w:ascii="Times New Roman" w:hAnsi="Times New Roman" w:cs="Times New Roman" w:eastAsiaTheme="minorEastAsia"/>
                <w:color w:val="000000" w:themeColor="text1"/>
                <w:w w:val="99"/>
                <w:sz w:val="21"/>
                <w:szCs w:val="21"/>
                <w:lang w:bidi="ar"/>
                <w14:textFill>
                  <w14:solidFill>
                    <w14:schemeClr w14:val="tx1"/>
                  </w14:solidFill>
                </w14:textFill>
              </w:rPr>
              <w:t>依托项目周边水井</w:t>
            </w:r>
          </w:p>
        </w:tc>
      </w:tr>
      <w:tr w14:paraId="0255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vAlign w:val="center"/>
          </w:tcPr>
          <w:p w14:paraId="684B9759">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p>
        </w:tc>
        <w:tc>
          <w:tcPr>
            <w:tcW w:w="707" w:type="pct"/>
            <w:vMerge w:val="continue"/>
            <w:tcBorders>
              <w:tl2br w:val="nil"/>
              <w:tr2bl w:val="nil"/>
            </w:tcBorders>
            <w:vAlign w:val="center"/>
          </w:tcPr>
          <w:p w14:paraId="36FA13CA">
            <w:pPr>
              <w:adjustRightInd w:val="0"/>
              <w:snapToGrid w:val="0"/>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p>
        </w:tc>
        <w:tc>
          <w:tcPr>
            <w:tcW w:w="3316" w:type="pct"/>
            <w:tcBorders>
              <w:tl2br w:val="nil"/>
              <w:tr2bl w:val="nil"/>
            </w:tcBorders>
            <w:vAlign w:val="center"/>
          </w:tcPr>
          <w:p w14:paraId="32D5F9C9">
            <w:pPr>
              <w:spacing w:line="320" w:lineRule="exact"/>
              <w:jc w:val="both"/>
              <w:rPr>
                <w:rFonts w:ascii="Times New Roman" w:hAnsi="Times New Roman" w:cs="Times New Roman" w:eastAsiaTheme="minorEastAsia"/>
                <w:bCs/>
                <w:color w:val="000000" w:themeColor="text1"/>
                <w:w w:val="99"/>
                <w:kern w:val="21"/>
                <w:sz w:val="21"/>
                <w:szCs w:val="21"/>
                <w14:textFill>
                  <w14:solidFill>
                    <w14:schemeClr w14:val="tx1"/>
                  </w14:solidFill>
                </w14:textFill>
              </w:rPr>
            </w:pPr>
            <w:r>
              <w:rPr>
                <w:rFonts w:ascii="Times New Roman" w:hAnsi="Times New Roman" w:cs="Times New Roman" w:eastAsiaTheme="minorEastAsia"/>
                <w:bCs/>
                <w:color w:val="000000" w:themeColor="text1"/>
                <w:w w:val="99"/>
                <w:kern w:val="21"/>
                <w:sz w:val="21"/>
                <w:szCs w:val="21"/>
                <w14:textFill>
                  <w14:solidFill>
                    <w14:schemeClr w14:val="tx1"/>
                  </w14:solidFill>
                </w14:textFill>
              </w:rPr>
              <w:t>在</w:t>
            </w:r>
            <w:r>
              <w:rPr>
                <w:rFonts w:ascii="Times New Roman" w:hAnsi="Times New Roman" w:cs="Times New Roman" w:eastAsiaTheme="minorEastAsia"/>
                <w:bCs/>
                <w:color w:val="000000" w:themeColor="text1"/>
                <w:w w:val="99"/>
                <w:kern w:val="21"/>
                <w:sz w:val="21"/>
                <w:szCs w:val="21"/>
                <w:lang w:val="en-US"/>
                <w14:textFill>
                  <w14:solidFill>
                    <w14:schemeClr w14:val="tx1"/>
                  </w14:solidFill>
                </w14:textFill>
              </w:rPr>
              <w:t>混输阀组间</w:t>
            </w:r>
            <w:r>
              <w:rPr>
                <w:rFonts w:ascii="Times New Roman" w:hAnsi="Times New Roman" w:cs="Times New Roman" w:eastAsiaTheme="minorEastAsia"/>
                <w:bCs/>
                <w:color w:val="000000" w:themeColor="text1"/>
                <w:w w:val="99"/>
                <w:kern w:val="21"/>
                <w:sz w:val="21"/>
                <w:szCs w:val="21"/>
                <w14:textFill>
                  <w14:solidFill>
                    <w14:schemeClr w14:val="tx1"/>
                  </w14:solidFill>
                </w14:textFill>
              </w:rPr>
              <w:t>、</w:t>
            </w:r>
            <w:r>
              <w:rPr>
                <w:rFonts w:ascii="Times New Roman" w:hAnsi="Times New Roman" w:cs="Times New Roman" w:eastAsiaTheme="minorEastAsia"/>
                <w:bCs/>
                <w:color w:val="000000" w:themeColor="text1"/>
                <w:w w:val="99"/>
                <w:kern w:val="21"/>
                <w:sz w:val="21"/>
                <w:szCs w:val="21"/>
                <w:lang w:val="en-US"/>
                <w14:textFill>
                  <w14:solidFill>
                    <w14:schemeClr w14:val="tx1"/>
                  </w14:solidFill>
                </w14:textFill>
              </w:rPr>
              <w:t>混输阀组间南侧200m耕地</w:t>
            </w:r>
            <w:r>
              <w:rPr>
                <w:rFonts w:ascii="Times New Roman" w:hAnsi="Times New Roman" w:cs="Times New Roman" w:eastAsiaTheme="minorEastAsia"/>
                <w:bCs/>
                <w:color w:val="000000" w:themeColor="text1"/>
                <w:w w:val="99"/>
                <w:kern w:val="21"/>
                <w:sz w:val="21"/>
                <w:szCs w:val="21"/>
                <w14:textFill>
                  <w14:solidFill>
                    <w14:schemeClr w14:val="tx1"/>
                  </w14:solidFill>
                </w14:textFill>
              </w:rPr>
              <w:t>共布设2个土壤跟踪监测点，定期对土壤进行跟踪监测，监测因子为</w:t>
            </w:r>
            <w:r>
              <w:rPr>
                <w:rFonts w:ascii="Times New Roman" w:hAnsi="Times New Roman" w:cs="Times New Roman" w:eastAsiaTheme="minorEastAsia"/>
                <w:bCs/>
                <w:color w:val="000000" w:themeColor="text1"/>
                <w:w w:val="99"/>
                <w:kern w:val="21"/>
                <w:sz w:val="21"/>
                <w:szCs w:val="21"/>
                <w:lang w:val="en-US"/>
                <w14:textFill>
                  <w14:solidFill>
                    <w14:schemeClr w14:val="tx1"/>
                  </w14:solidFill>
                </w14:textFill>
              </w:rPr>
              <w:t>pH、</w:t>
            </w:r>
            <w:r>
              <w:rPr>
                <w:rFonts w:hint="eastAsia" w:ascii="Times New Roman" w:hAnsi="Times New Roman" w:cs="Times New Roman" w:eastAsiaTheme="minorEastAsia"/>
                <w:bCs/>
                <w:color w:val="000000" w:themeColor="text1"/>
                <w:w w:val="99"/>
                <w:kern w:val="21"/>
                <w:sz w:val="21"/>
                <w:szCs w:val="21"/>
                <w:lang w:val="en-US"/>
                <w14:textFill>
                  <w14:solidFill>
                    <w14:schemeClr w14:val="tx1"/>
                  </w14:solidFill>
                </w14:textFill>
              </w:rPr>
              <w:t>石油类、石油烃（</w:t>
            </w:r>
            <w:r>
              <w:rPr>
                <w:rFonts w:ascii="Times New Roman" w:hAnsi="Times New Roman" w:cs="Times New Roman" w:eastAsiaTheme="minorEastAsia"/>
                <w:bCs/>
                <w:color w:val="000000" w:themeColor="text1"/>
                <w:w w:val="99"/>
                <w:kern w:val="21"/>
                <w:sz w:val="21"/>
                <w:szCs w:val="21"/>
                <w:lang w:val="en-US"/>
                <w14:textFill>
                  <w14:solidFill>
                    <w14:schemeClr w14:val="tx1"/>
                  </w14:solidFill>
                </w14:textFill>
              </w:rPr>
              <w:t>C</w:t>
            </w:r>
            <w:r>
              <w:rPr>
                <w:rFonts w:ascii="Times New Roman" w:hAnsi="Times New Roman" w:cs="Times New Roman" w:eastAsiaTheme="minorEastAsia"/>
                <w:bCs/>
                <w:color w:val="000000" w:themeColor="text1"/>
                <w:w w:val="99"/>
                <w:kern w:val="21"/>
                <w:sz w:val="21"/>
                <w:szCs w:val="21"/>
                <w:vertAlign w:val="subscript"/>
                <w:lang w:val="en-US"/>
                <w14:textFill>
                  <w14:solidFill>
                    <w14:schemeClr w14:val="tx1"/>
                  </w14:solidFill>
                </w14:textFill>
              </w:rPr>
              <w:t>6</w:t>
            </w:r>
            <w:r>
              <w:rPr>
                <w:rFonts w:ascii="Times New Roman" w:hAnsi="Times New Roman" w:cs="Times New Roman" w:eastAsiaTheme="minorEastAsia"/>
                <w:bCs/>
                <w:color w:val="000000" w:themeColor="text1"/>
                <w:w w:val="99"/>
                <w:kern w:val="21"/>
                <w:sz w:val="21"/>
                <w:szCs w:val="21"/>
                <w:lang w:val="en-US"/>
                <w14:textFill>
                  <w14:solidFill>
                    <w14:schemeClr w14:val="tx1"/>
                  </w14:solidFill>
                </w14:textFill>
              </w:rPr>
              <w:t>~C</w:t>
            </w:r>
            <w:r>
              <w:rPr>
                <w:rFonts w:ascii="Times New Roman" w:hAnsi="Times New Roman" w:cs="Times New Roman" w:eastAsiaTheme="minorEastAsia"/>
                <w:bCs/>
                <w:color w:val="000000" w:themeColor="text1"/>
                <w:w w:val="99"/>
                <w:kern w:val="21"/>
                <w:sz w:val="21"/>
                <w:szCs w:val="21"/>
                <w:vertAlign w:val="subscript"/>
                <w:lang w:val="en-US"/>
                <w14:textFill>
                  <w14:solidFill>
                    <w14:schemeClr w14:val="tx1"/>
                  </w14:solidFill>
                </w14:textFill>
              </w:rPr>
              <w:t>9</w:t>
            </w:r>
            <w:r>
              <w:rPr>
                <w:rFonts w:ascii="Times New Roman" w:hAnsi="Times New Roman" w:cs="Times New Roman" w:eastAsiaTheme="minorEastAsia"/>
                <w:bCs/>
                <w:color w:val="000000" w:themeColor="text1"/>
                <w:w w:val="99"/>
                <w:kern w:val="21"/>
                <w:sz w:val="21"/>
                <w:szCs w:val="21"/>
                <w:lang w:val="en-US"/>
                <w14:textFill>
                  <w14:solidFill>
                    <w14:schemeClr w14:val="tx1"/>
                  </w14:solidFill>
                </w14:textFill>
              </w:rPr>
              <w:t>）、石油烃（C</w:t>
            </w:r>
            <w:r>
              <w:rPr>
                <w:rFonts w:ascii="Times New Roman" w:hAnsi="Times New Roman" w:cs="Times New Roman" w:eastAsiaTheme="minorEastAsia"/>
                <w:bCs/>
                <w:color w:val="000000" w:themeColor="text1"/>
                <w:w w:val="99"/>
                <w:kern w:val="21"/>
                <w:sz w:val="21"/>
                <w:szCs w:val="21"/>
                <w:vertAlign w:val="subscript"/>
                <w:lang w:val="en-US"/>
                <w14:textFill>
                  <w14:solidFill>
                    <w14:schemeClr w14:val="tx1"/>
                  </w14:solidFill>
                </w14:textFill>
              </w:rPr>
              <w:t>10</w:t>
            </w:r>
            <w:r>
              <w:rPr>
                <w:rFonts w:ascii="Times New Roman" w:hAnsi="Times New Roman" w:cs="Times New Roman" w:eastAsiaTheme="minorEastAsia"/>
                <w:bCs/>
                <w:color w:val="000000" w:themeColor="text1"/>
                <w:w w:val="99"/>
                <w:kern w:val="21"/>
                <w:sz w:val="21"/>
                <w:szCs w:val="21"/>
                <w:lang w:val="en-US"/>
                <w14:textFill>
                  <w14:solidFill>
                    <w14:schemeClr w14:val="tx1"/>
                  </w14:solidFill>
                </w14:textFill>
              </w:rPr>
              <w:t>~C</w:t>
            </w:r>
            <w:r>
              <w:rPr>
                <w:rFonts w:ascii="Times New Roman" w:hAnsi="Times New Roman" w:cs="Times New Roman" w:eastAsiaTheme="minorEastAsia"/>
                <w:bCs/>
                <w:color w:val="000000" w:themeColor="text1"/>
                <w:w w:val="99"/>
                <w:kern w:val="21"/>
                <w:sz w:val="21"/>
                <w:szCs w:val="21"/>
                <w:vertAlign w:val="subscript"/>
                <w:lang w:val="en-US"/>
                <w14:textFill>
                  <w14:solidFill>
                    <w14:schemeClr w14:val="tx1"/>
                  </w14:solidFill>
                </w14:textFill>
              </w:rPr>
              <w:t>40</w:t>
            </w:r>
            <w:r>
              <w:rPr>
                <w:rFonts w:ascii="Times New Roman" w:hAnsi="Times New Roman" w:cs="Times New Roman" w:eastAsiaTheme="minorEastAsia"/>
                <w:bCs/>
                <w:color w:val="000000" w:themeColor="text1"/>
                <w:w w:val="99"/>
                <w:kern w:val="21"/>
                <w:sz w:val="21"/>
                <w:szCs w:val="21"/>
                <w:lang w:val="en-US"/>
                <w14:textFill>
                  <w14:solidFill>
                    <w14:schemeClr w14:val="tx1"/>
                  </w14:solidFill>
                </w14:textFill>
              </w:rPr>
              <w:t>）、汞、砷、六价铬</w:t>
            </w:r>
            <w:r>
              <w:rPr>
                <w:rFonts w:ascii="Times New Roman" w:hAnsi="Times New Roman" w:cs="Times New Roman" w:eastAsiaTheme="minorEastAsia"/>
                <w:bCs/>
                <w:color w:val="000000" w:themeColor="text1"/>
                <w:w w:val="99"/>
                <w:kern w:val="21"/>
                <w:sz w:val="21"/>
                <w:szCs w:val="21"/>
                <w14:textFill>
                  <w14:solidFill>
                    <w14:schemeClr w14:val="tx1"/>
                  </w14:solidFill>
                </w14:textFill>
              </w:rPr>
              <w:t>，监测频次为1次/3年。</w:t>
            </w:r>
          </w:p>
        </w:tc>
        <w:tc>
          <w:tcPr>
            <w:tcW w:w="388" w:type="pct"/>
            <w:tcBorders>
              <w:tl2br w:val="nil"/>
              <w:tr2bl w:val="nil"/>
            </w:tcBorders>
            <w:vAlign w:val="center"/>
          </w:tcPr>
          <w:p w14:paraId="55DC5FD9">
            <w:pPr>
              <w:adjustRightInd w:val="0"/>
              <w:snapToGrid w:val="0"/>
              <w:spacing w:line="320" w:lineRule="exact"/>
              <w:jc w:val="center"/>
              <w:rPr>
                <w:rFonts w:ascii="Times New Roman" w:hAnsi="Times New Roman" w:cs="Times New Roman" w:eastAsiaTheme="minorEastAsia"/>
                <w:color w:val="000000" w:themeColor="text1"/>
                <w:w w:val="99"/>
                <w:sz w:val="21"/>
                <w:szCs w:val="21"/>
                <w:lang w:bidi="ar"/>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新建</w:t>
            </w:r>
          </w:p>
        </w:tc>
      </w:tr>
      <w:tr w14:paraId="61312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vAlign w:val="center"/>
          </w:tcPr>
          <w:p w14:paraId="32B6E10E">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p>
        </w:tc>
        <w:tc>
          <w:tcPr>
            <w:tcW w:w="707" w:type="pct"/>
            <w:vMerge w:val="continue"/>
            <w:tcBorders>
              <w:tl2br w:val="nil"/>
              <w:tr2bl w:val="nil"/>
            </w:tcBorders>
            <w:vAlign w:val="center"/>
          </w:tcPr>
          <w:p w14:paraId="2CE4AAFC">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p>
        </w:tc>
        <w:tc>
          <w:tcPr>
            <w:tcW w:w="3316" w:type="pct"/>
            <w:tcBorders>
              <w:tl2br w:val="nil"/>
              <w:tr2bl w:val="nil"/>
            </w:tcBorders>
            <w:vAlign w:val="center"/>
          </w:tcPr>
          <w:p w14:paraId="5B80484E">
            <w:pPr>
              <w:widowControl/>
              <w:adjustRightInd w:val="0"/>
              <w:snapToGrid w:val="0"/>
              <w:spacing w:line="320" w:lineRule="exact"/>
              <w:jc w:val="both"/>
              <w:rPr>
                <w:rFonts w:ascii="Times New Roman" w:hAnsi="Times New Roman" w:cs="Times New Roman" w:eastAsiaTheme="minorEastAsia"/>
                <w:color w:val="000000" w:themeColor="text1"/>
                <w:w w:val="99"/>
                <w:sz w:val="21"/>
                <w:szCs w:val="21"/>
                <w:lang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14:textFill>
                  <w14:solidFill>
                    <w14:schemeClr w14:val="tx1"/>
                  </w14:solidFill>
                </w14:textFill>
              </w:rPr>
              <w:t>集油管道为重点防渗，管道采用无缝钢管、管道设计采用管道内防腐，管道的外防腐等级采用特加强级、管道的连接方式采用焊接；</w:t>
            </w:r>
            <w:r>
              <w:rPr>
                <w:rFonts w:ascii="Times New Roman" w:hAnsi="Times New Roman" w:cs="Times New Roman" w:eastAsiaTheme="minorEastAsia"/>
                <w:bCs/>
                <w:color w:val="000000" w:themeColor="text1"/>
                <w:w w:val="99"/>
                <w:kern w:val="2"/>
                <w:sz w:val="21"/>
                <w:szCs w:val="21"/>
                <w:lang w:val="en-US"/>
                <w14:textFill>
                  <w14:solidFill>
                    <w14:schemeClr w14:val="tx1"/>
                  </w14:solidFill>
                </w14:textFill>
              </w:rPr>
              <w:t>混输阀组间</w:t>
            </w:r>
            <w:r>
              <w:rPr>
                <w:rFonts w:ascii="Times New Roman" w:hAnsi="Times New Roman" w:cs="Times New Roman" w:eastAsiaTheme="minorEastAsia"/>
                <w:bCs/>
                <w:color w:val="000000" w:themeColor="text1"/>
                <w:w w:val="99"/>
                <w:kern w:val="2"/>
                <w:sz w:val="21"/>
                <w:szCs w:val="21"/>
                <w14:textFill>
                  <w14:solidFill>
                    <w14:schemeClr w14:val="tx1"/>
                  </w14:solidFill>
                </w14:textFill>
              </w:rPr>
              <w:t>为一般防渗区，采用基底层压实+土工布+抗渗混凝土层进行防渗</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满足等效黏土防渗层Mb≥6.0m，K≤1×10</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-7</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cm/s要求。</w:t>
            </w:r>
          </w:p>
        </w:tc>
        <w:tc>
          <w:tcPr>
            <w:tcW w:w="388" w:type="pct"/>
            <w:tcBorders>
              <w:tl2br w:val="nil"/>
              <w:tr2bl w:val="nil"/>
            </w:tcBorders>
            <w:vAlign w:val="center"/>
          </w:tcPr>
          <w:p w14:paraId="6362D278">
            <w:pPr>
              <w:adjustRightInd w:val="0"/>
              <w:snapToGrid w:val="0"/>
              <w:spacing w:line="320" w:lineRule="exact"/>
              <w:jc w:val="center"/>
              <w:rPr>
                <w:rFonts w:ascii="Times New Roman" w:hAnsi="Times New Roman" w:cs="Times New Roman" w:eastAsiaTheme="minorEastAsia"/>
                <w:color w:val="000000" w:themeColor="text1"/>
                <w:w w:val="99"/>
                <w:sz w:val="21"/>
                <w:szCs w:val="21"/>
                <w:lang w:bidi="ar"/>
                <w14:textFill>
                  <w14:solidFill>
                    <w14:schemeClr w14:val="tx1"/>
                  </w14:solidFill>
                </w14:textFill>
              </w:rPr>
            </w:pPr>
            <w:r>
              <w:rPr>
                <w:rFonts w:ascii="Times New Roman" w:hAnsi="Times New Roman" w:cs="Times New Roman" w:eastAsiaTheme="minorEastAsia"/>
                <w:color w:val="000000" w:themeColor="text1"/>
                <w:w w:val="99"/>
                <w:sz w:val="21"/>
                <w:szCs w:val="21"/>
                <w:lang w:bidi="ar"/>
                <w14:textFill>
                  <w14:solidFill>
                    <w14:schemeClr w14:val="tx1"/>
                  </w14:solidFill>
                </w14:textFill>
              </w:rPr>
              <w:t>新建</w:t>
            </w:r>
          </w:p>
        </w:tc>
      </w:tr>
      <w:tr w14:paraId="368B8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vAlign w:val="center"/>
          </w:tcPr>
          <w:p w14:paraId="34FCF215">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p>
        </w:tc>
        <w:tc>
          <w:tcPr>
            <w:tcW w:w="707" w:type="pct"/>
            <w:tcBorders>
              <w:tl2br w:val="nil"/>
              <w:tr2bl w:val="nil"/>
            </w:tcBorders>
            <w:vAlign w:val="center"/>
          </w:tcPr>
          <w:p w14:paraId="66DFE5DF">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风险防范措施</w:t>
            </w:r>
          </w:p>
        </w:tc>
        <w:tc>
          <w:tcPr>
            <w:tcW w:w="3316" w:type="pct"/>
            <w:tcBorders>
              <w:tl2br w:val="nil"/>
              <w:tr2bl w:val="nil"/>
            </w:tcBorders>
            <w:vAlign w:val="center"/>
          </w:tcPr>
          <w:p w14:paraId="36827879">
            <w:pPr>
              <w:widowControl/>
              <w:adjustRightInd w:val="0"/>
              <w:snapToGrid w:val="0"/>
              <w:spacing w:line="320" w:lineRule="exact"/>
              <w:jc w:val="both"/>
              <w:rPr>
                <w:rFonts w:ascii="Times New Roman" w:hAnsi="Times New Roman" w:cs="Times New Roman" w:eastAsiaTheme="minorEastAsia"/>
                <w:bCs/>
                <w:color w:val="000000" w:themeColor="text1"/>
                <w:w w:val="99"/>
                <w:kern w:val="2"/>
                <w:sz w:val="21"/>
                <w:szCs w:val="21"/>
                <w14:textFill>
                  <w14:solidFill>
                    <w14:schemeClr w14:val="tx1"/>
                  </w14:solidFill>
                </w14:textFill>
              </w:rPr>
            </w:pPr>
            <w:r>
              <w:rPr>
                <w:rFonts w:ascii="Times New Roman" w:hAnsi="Times New Roman" w:cs="Times New Roman" w:eastAsiaTheme="minorEastAsia"/>
                <w:bCs/>
                <w:color w:val="000000" w:themeColor="text1"/>
                <w:w w:val="99"/>
                <w:kern w:val="2"/>
                <w:sz w:val="21"/>
                <w:szCs w:val="21"/>
                <w14:textFill>
                  <w14:solidFill>
                    <w14:schemeClr w14:val="tx1"/>
                  </w14:solidFill>
                </w14:textFill>
              </w:rPr>
              <w:t>严格岗位责任制，定期对工人进行安全和环境保护意识教育，对事故应急预案进行补充完善</w:t>
            </w:r>
            <w:r>
              <w:rPr>
                <w:rFonts w:hint="eastAsia" w:ascii="Times New Roman" w:hAnsi="Times New Roman" w:cs="Times New Roman" w:eastAsiaTheme="minorEastAsia"/>
                <w:bCs/>
                <w:color w:val="000000" w:themeColor="text1"/>
                <w:w w:val="99"/>
                <w:kern w:val="2"/>
                <w:sz w:val="21"/>
                <w:szCs w:val="21"/>
                <w14:textFill>
                  <w14:solidFill>
                    <w14:schemeClr w14:val="tx1"/>
                  </w14:solidFill>
                </w14:textFill>
              </w:rPr>
              <w:t>，</w:t>
            </w:r>
            <w:r>
              <w:rPr>
                <w:rFonts w:ascii="Times New Roman" w:hAnsi="Times New Roman" w:cs="Times New Roman" w:eastAsiaTheme="minorEastAsia"/>
                <w:bCs/>
                <w:color w:val="000000" w:themeColor="text1"/>
                <w:w w:val="99"/>
                <w:kern w:val="2"/>
                <w:sz w:val="21"/>
                <w:szCs w:val="21"/>
                <w14:textFill>
                  <w14:solidFill>
                    <w14:schemeClr w14:val="tx1"/>
                  </w14:solidFill>
                </w14:textFill>
              </w:rPr>
              <w:t>确保应急工具和设备齐备完好，定期检测集输管线防腐及腐蚀情况，及时维修或更新。</w:t>
            </w:r>
          </w:p>
        </w:tc>
        <w:tc>
          <w:tcPr>
            <w:tcW w:w="388" w:type="pct"/>
            <w:tcBorders>
              <w:tl2br w:val="nil"/>
              <w:tr2bl w:val="nil"/>
            </w:tcBorders>
            <w:vAlign w:val="center"/>
          </w:tcPr>
          <w:p w14:paraId="46549957">
            <w:pPr>
              <w:adjustRightInd w:val="0"/>
              <w:snapToGrid w:val="0"/>
              <w:spacing w:line="320" w:lineRule="exact"/>
              <w:jc w:val="center"/>
              <w:rPr>
                <w:rFonts w:ascii="Times New Roman" w:hAnsi="Times New Roman" w:cs="Times New Roman" w:eastAsiaTheme="minorEastAsia"/>
                <w:color w:val="000000" w:themeColor="text1"/>
                <w:w w:val="99"/>
                <w:sz w:val="21"/>
                <w:szCs w:val="21"/>
                <w:lang w:bidi="ar"/>
                <w14:textFill>
                  <w14:solidFill>
                    <w14:schemeClr w14:val="tx1"/>
                  </w14:solidFill>
                </w14:textFill>
              </w:rPr>
            </w:pPr>
            <w:r>
              <w:rPr>
                <w:rFonts w:ascii="Times New Roman" w:hAnsi="Times New Roman" w:cs="Times New Roman" w:eastAsiaTheme="minorEastAsia"/>
                <w:color w:val="000000" w:themeColor="text1"/>
                <w:w w:val="99"/>
                <w:sz w:val="21"/>
                <w:szCs w:val="21"/>
                <w:lang w:bidi="ar"/>
                <w14:textFill>
                  <w14:solidFill>
                    <w14:schemeClr w14:val="tx1"/>
                  </w14:solidFill>
                </w14:textFill>
              </w:rPr>
              <w:t>依托原有</w:t>
            </w:r>
          </w:p>
        </w:tc>
      </w:tr>
      <w:tr w14:paraId="2F26C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restart"/>
            <w:tcBorders>
              <w:tl2br w:val="nil"/>
              <w:tr2bl w:val="nil"/>
            </w:tcBorders>
            <w:vAlign w:val="center"/>
          </w:tcPr>
          <w:p w14:paraId="20E8CFF5">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
                <w14:textFill>
                  <w14:solidFill>
                    <w14:schemeClr w14:val="tx1"/>
                  </w14:solidFill>
                </w14:textFill>
              </w:rPr>
            </w:pPr>
            <w:r>
              <w:rPr>
                <w:rFonts w:ascii="Times New Roman" w:hAnsi="Times New Roman" w:cs="Times New Roman" w:eastAsiaTheme="minorEastAsia"/>
                <w:color w:val="000000" w:themeColor="text1"/>
                <w:w w:val="99"/>
                <w:sz w:val="21"/>
                <w:szCs w:val="21"/>
                <w:lang w:bidi="ar"/>
                <w14:textFill>
                  <w14:solidFill>
                    <w14:schemeClr w14:val="tx1"/>
                  </w14:solidFill>
                </w14:textFill>
              </w:rPr>
              <w:t>依托工程</w:t>
            </w:r>
          </w:p>
        </w:tc>
        <w:tc>
          <w:tcPr>
            <w:tcW w:w="707" w:type="pct"/>
            <w:tcBorders>
              <w:tl2br w:val="nil"/>
              <w:tr2bl w:val="nil"/>
            </w:tcBorders>
            <w:vAlign w:val="center"/>
          </w:tcPr>
          <w:p w14:paraId="1E7EAD97">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
                <w14:textFill>
                  <w14:solidFill>
                    <w14:schemeClr w14:val="tx1"/>
                  </w14:solidFill>
                </w14:textFill>
              </w:rPr>
              <w:t>龙一联含油污水处理站</w:t>
            </w:r>
          </w:p>
        </w:tc>
        <w:tc>
          <w:tcPr>
            <w:tcW w:w="3316" w:type="pct"/>
            <w:tcBorders>
              <w:tl2br w:val="nil"/>
              <w:tr2bl w:val="nil"/>
            </w:tcBorders>
            <w:vAlign w:val="center"/>
          </w:tcPr>
          <w:p w14:paraId="7CD64D8C">
            <w:pPr>
              <w:spacing w:line="320" w:lineRule="exact"/>
              <w:jc w:val="both"/>
              <w:rPr>
                <w:rFonts w:ascii="Times New Roman" w:hAnsi="Times New Roman" w:cs="Times New Roman" w:eastAsiaTheme="minorEastAsia"/>
                <w:snapToGrid w:val="0"/>
                <w:color w:val="000000" w:themeColor="text1"/>
                <w:w w:val="99"/>
                <w:sz w:val="21"/>
                <w:szCs w:val="21"/>
                <w:lang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de-DE" w:bidi="ar-SA"/>
                <w14:textFill>
                  <w14:solidFill>
                    <w14:schemeClr w14:val="tx1"/>
                  </w14:solidFill>
                </w14:textFill>
              </w:rPr>
              <w:t>站内</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主要工艺为“自然沉降、混凝沉降、两级压力过滤处理工艺”，设计出水水质指标为</w:t>
            </w:r>
            <w:r>
              <w:rPr>
                <w:rFonts w:ascii="Times New Roman" w:hAnsi="Times New Roman" w:cs="Times New Roman" w:eastAsiaTheme="minorEastAsia"/>
                <w:bCs/>
                <w:color w:val="000000" w:themeColor="text1"/>
                <w:w w:val="99"/>
                <w:kern w:val="2"/>
                <w:sz w:val="21"/>
                <w:szCs w:val="21"/>
                <w:lang w:val="en-US"/>
                <w14:textFill>
                  <w14:solidFill>
                    <w14:schemeClr w14:val="tx1"/>
                  </w14:solidFill>
                </w14:textFill>
              </w:rPr>
              <w:t>《大庆油田地面工程建设设计规定》（Q/SYDQ0639-2015）表3中的“含油量≤8mg/L、悬浮固体≤3mg/L、粒径中值≤2μm”规定</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，设计污水处理量为7500m</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/d。目前实际污水处理量为5970m</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/d，</w:t>
            </w:r>
            <w:r>
              <w:rPr>
                <w:rFonts w:ascii="Times New Roman" w:hAnsi="Times New Roman" w:cs="Times New Roman" w:eastAsiaTheme="minorEastAsia"/>
                <w:bCs/>
                <w:color w:val="000000" w:themeColor="text1"/>
                <w:w w:val="99"/>
                <w:kern w:val="2"/>
                <w:sz w:val="21"/>
                <w:szCs w:val="21"/>
                <w:lang w:val="de-DE" w:bidi="ar-SA"/>
                <w14:textFill>
                  <w14:solidFill>
                    <w14:schemeClr w14:val="tx1"/>
                  </w14:solidFill>
                </w14:textFill>
              </w:rPr>
              <w:t>本项目</w:t>
            </w: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试压废水产生</w:t>
            </w:r>
            <w:r>
              <w:rPr>
                <w:rFonts w:ascii="Times New Roman" w:hAnsi="Times New Roman" w:cs="Times New Roman" w:eastAsiaTheme="minorEastAsia"/>
                <w:bCs/>
                <w:color w:val="000000" w:themeColor="text1"/>
                <w:w w:val="99"/>
                <w:kern w:val="2"/>
                <w:sz w:val="21"/>
                <w:szCs w:val="21"/>
                <w:lang w:val="de-DE" w:bidi="ar-SA"/>
                <w14:textFill>
                  <w14:solidFill>
                    <w14:schemeClr w14:val="tx1"/>
                  </w14:solidFill>
                </w14:textFill>
              </w:rPr>
              <w:t>量为225.5</w:t>
            </w: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m</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3</w:t>
            </w:r>
            <w:r>
              <w:rPr>
                <w:rFonts w:ascii="Times New Roman" w:hAnsi="Times New Roman" w:cs="Times New Roman" w:eastAsiaTheme="minorEastAsia"/>
                <w:bCs/>
                <w:color w:val="000000" w:themeColor="text1"/>
                <w:w w:val="99"/>
                <w:kern w:val="2"/>
                <w:sz w:val="21"/>
                <w:szCs w:val="21"/>
                <w:lang w:val="de-DE" w:bidi="ar-SA"/>
                <w14:textFill>
                  <w14:solidFill>
                    <w14:schemeClr w14:val="tx1"/>
                  </w14:solidFill>
                </w14:textFill>
              </w:rPr>
              <w:t>，增加本项目废水后，该站负荷率为</w:t>
            </w: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82.6</w:t>
            </w:r>
            <w:r>
              <w:rPr>
                <w:rFonts w:ascii="Times New Roman" w:hAnsi="Times New Roman" w:cs="Times New Roman" w:eastAsiaTheme="minorEastAsia"/>
                <w:bCs/>
                <w:color w:val="000000" w:themeColor="text1"/>
                <w:w w:val="99"/>
                <w:kern w:val="2"/>
                <w:sz w:val="21"/>
                <w:szCs w:val="21"/>
                <w:lang w:val="de-DE" w:bidi="ar-SA"/>
                <w14:textFill>
                  <w14:solidFill>
                    <w14:schemeClr w14:val="tx1"/>
                  </w14:solidFill>
                </w14:textFill>
              </w:rPr>
              <w:t>%</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，满足本项目需求。</w:t>
            </w:r>
          </w:p>
        </w:tc>
        <w:tc>
          <w:tcPr>
            <w:tcW w:w="388" w:type="pct"/>
            <w:tcBorders>
              <w:tl2br w:val="nil"/>
              <w:tr2bl w:val="nil"/>
            </w:tcBorders>
            <w:vAlign w:val="center"/>
          </w:tcPr>
          <w:p w14:paraId="4469EFF1">
            <w:pPr>
              <w:adjustRightInd w:val="0"/>
              <w:snapToGrid w:val="0"/>
              <w:spacing w:line="320" w:lineRule="exact"/>
              <w:jc w:val="center"/>
              <w:rPr>
                <w:rFonts w:ascii="Times New Roman" w:hAnsi="Times New Roman" w:cs="Times New Roman" w:eastAsiaTheme="minorEastAsia"/>
                <w:color w:val="000000" w:themeColor="text1"/>
                <w:w w:val="99"/>
                <w:sz w:val="21"/>
                <w:szCs w:val="21"/>
                <w:lang w:bidi="ar"/>
                <w14:textFill>
                  <w14:solidFill>
                    <w14:schemeClr w14:val="tx1"/>
                  </w14:solidFill>
                </w14:textFill>
              </w:rPr>
            </w:pPr>
            <w:r>
              <w:rPr>
                <w:rFonts w:ascii="Times New Roman" w:hAnsi="Times New Roman" w:cs="Times New Roman" w:eastAsiaTheme="minorEastAsia"/>
                <w:color w:val="000000" w:themeColor="text1"/>
                <w:w w:val="99"/>
                <w:sz w:val="21"/>
                <w:szCs w:val="21"/>
                <w:lang w:bidi="ar"/>
                <w14:textFill>
                  <w14:solidFill>
                    <w14:schemeClr w14:val="tx1"/>
                  </w14:solidFill>
                </w14:textFill>
              </w:rPr>
              <w:t>依托</w:t>
            </w:r>
          </w:p>
        </w:tc>
      </w:tr>
      <w:tr w14:paraId="7999F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vAlign w:val="center"/>
          </w:tcPr>
          <w:p w14:paraId="7D043D72">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
                <w14:textFill>
                  <w14:solidFill>
                    <w14:schemeClr w14:val="tx1"/>
                  </w14:solidFill>
                </w14:textFill>
              </w:rPr>
            </w:pPr>
          </w:p>
        </w:tc>
        <w:tc>
          <w:tcPr>
            <w:tcW w:w="707" w:type="pct"/>
            <w:tcBorders>
              <w:tl2br w:val="nil"/>
              <w:tr2bl w:val="nil"/>
            </w:tcBorders>
            <w:vAlign w:val="center"/>
          </w:tcPr>
          <w:p w14:paraId="26B644C3">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
                <w14:textFill>
                  <w14:solidFill>
                    <w14:schemeClr w14:val="tx1"/>
                  </w14:solidFill>
                </w14:textFill>
              </w:rPr>
              <w:t>第八采油厂工业固废填埋场</w:t>
            </w:r>
          </w:p>
        </w:tc>
        <w:tc>
          <w:tcPr>
            <w:tcW w:w="3316" w:type="pct"/>
            <w:tcBorders>
              <w:tl2br w:val="nil"/>
              <w:tr2bl w:val="nil"/>
            </w:tcBorders>
            <w:vAlign w:val="center"/>
          </w:tcPr>
          <w:p w14:paraId="3978BA8B">
            <w:pPr>
              <w:widowControl/>
              <w:adjustRightInd w:val="0"/>
              <w:snapToGrid w:val="0"/>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第八采油厂工业固废填埋场位于大庆市肇州县新福乡双龙山北侧1.8km、乐业村东南1.05km处，占地面积1.91hm</w:t>
            </w:r>
            <w:r>
              <w:rPr>
                <w:rFonts w:ascii="Times New Roman" w:hAnsi="Times New Roman" w:cs="Times New Roman" w:eastAsiaTheme="minorEastAsia"/>
                <w:bCs/>
                <w:color w:val="000000" w:themeColor="text1"/>
                <w:w w:val="99"/>
                <w:sz w:val="21"/>
                <w:szCs w:val="21"/>
                <w:vertAlign w:val="superscript"/>
                <w:lang w:val="en-US" w:bidi="ar-SA"/>
                <w14:textFill>
                  <w14:solidFill>
                    <w14:schemeClr w14:val="tx1"/>
                  </w14:solidFill>
                </w14:textFill>
              </w:rPr>
              <w:t>2</w:t>
            </w: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。第八采油厂工业固废填埋场现阶段运行稳定，总容量为11624m</w:t>
            </w:r>
            <w:r>
              <w:rPr>
                <w:rFonts w:ascii="Times New Roman" w:hAnsi="Times New Roman" w:cs="Times New Roman" w:eastAsiaTheme="minorEastAsia"/>
                <w:bCs/>
                <w:color w:val="000000" w:themeColor="text1"/>
                <w:w w:val="99"/>
                <w:sz w:val="21"/>
                <w:szCs w:val="21"/>
                <w:vertAlign w:val="superscript"/>
                <w:lang w:val="en-US" w:bidi="ar-SA"/>
                <w14:textFill>
                  <w14:solidFill>
                    <w14:schemeClr w14:val="tx1"/>
                  </w14:solidFill>
                </w14:textFill>
              </w:rPr>
              <w:t>3</w:t>
            </w: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，目前实际容纳约8800m</w:t>
            </w:r>
            <w:r>
              <w:rPr>
                <w:rFonts w:ascii="Times New Roman" w:hAnsi="Times New Roman" w:cs="Times New Roman" w:eastAsiaTheme="minorEastAsia"/>
                <w:bCs/>
                <w:color w:val="000000" w:themeColor="text1"/>
                <w:w w:val="99"/>
                <w:sz w:val="21"/>
                <w:szCs w:val="21"/>
                <w:vertAlign w:val="superscript"/>
                <w:lang w:val="en-US" w:bidi="ar-SA"/>
                <w14:textFill>
                  <w14:solidFill>
                    <w14:schemeClr w14:val="tx1"/>
                  </w14:solidFill>
                </w14:textFill>
              </w:rPr>
              <w:t>3</w:t>
            </w: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，剩余能力为2824m</w:t>
            </w:r>
            <w:r>
              <w:rPr>
                <w:rFonts w:ascii="Times New Roman" w:hAnsi="Times New Roman" w:cs="Times New Roman" w:eastAsiaTheme="minorEastAsia"/>
                <w:bCs/>
                <w:color w:val="000000" w:themeColor="text1"/>
                <w:w w:val="99"/>
                <w:sz w:val="21"/>
                <w:szCs w:val="21"/>
                <w:vertAlign w:val="superscript"/>
                <w:lang w:val="en-US" w:bidi="ar-SA"/>
                <w14:textFill>
                  <w14:solidFill>
                    <w14:schemeClr w14:val="tx1"/>
                  </w14:solidFill>
                </w14:textFill>
              </w:rPr>
              <w:t>3</w:t>
            </w: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/a，本项目产生施工废料约0.467t，填埋场剩余容量能够容纳本项目产生的固体废物，本项目依托可行。</w:t>
            </w:r>
          </w:p>
        </w:tc>
        <w:tc>
          <w:tcPr>
            <w:tcW w:w="388" w:type="pct"/>
            <w:tcBorders>
              <w:tl2br w:val="nil"/>
              <w:tr2bl w:val="nil"/>
            </w:tcBorders>
            <w:vAlign w:val="center"/>
          </w:tcPr>
          <w:p w14:paraId="679927D5">
            <w:pPr>
              <w:adjustRightInd w:val="0"/>
              <w:snapToGrid w:val="0"/>
              <w:spacing w:line="320" w:lineRule="exact"/>
              <w:jc w:val="center"/>
              <w:rPr>
                <w:rFonts w:ascii="Times New Roman" w:hAnsi="Times New Roman" w:cs="Times New Roman" w:eastAsiaTheme="minorEastAsia"/>
                <w:color w:val="000000" w:themeColor="text1"/>
                <w:w w:val="99"/>
                <w:sz w:val="21"/>
                <w:szCs w:val="21"/>
                <w:lang w:bidi="ar"/>
                <w14:textFill>
                  <w14:solidFill>
                    <w14:schemeClr w14:val="tx1"/>
                  </w14:solidFill>
                </w14:textFill>
              </w:rPr>
            </w:pPr>
            <w:r>
              <w:rPr>
                <w:rFonts w:ascii="Times New Roman" w:hAnsi="Times New Roman" w:cs="Times New Roman" w:eastAsiaTheme="minorEastAsia"/>
                <w:color w:val="000000" w:themeColor="text1"/>
                <w:w w:val="99"/>
                <w:sz w:val="21"/>
                <w:szCs w:val="21"/>
                <w:lang w:bidi="ar"/>
                <w14:textFill>
                  <w14:solidFill>
                    <w14:schemeClr w14:val="tx1"/>
                  </w14:solidFill>
                </w14:textFill>
              </w:rPr>
              <w:t>依托</w:t>
            </w:r>
          </w:p>
        </w:tc>
      </w:tr>
      <w:tr w14:paraId="11DB1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tl2br w:val="nil"/>
              <w:tr2bl w:val="nil"/>
            </w:tcBorders>
            <w:vAlign w:val="center"/>
          </w:tcPr>
          <w:p w14:paraId="23E04C27">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
                <w14:textFill>
                  <w14:solidFill>
                    <w14:schemeClr w14:val="tx1"/>
                  </w14:solidFill>
                </w14:textFill>
              </w:rPr>
            </w:pPr>
          </w:p>
        </w:tc>
        <w:tc>
          <w:tcPr>
            <w:tcW w:w="707" w:type="pct"/>
            <w:tcBorders>
              <w:tl2br w:val="nil"/>
              <w:tr2bl w:val="nil"/>
            </w:tcBorders>
            <w:vAlign w:val="center"/>
          </w:tcPr>
          <w:p w14:paraId="6ED63B1F">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val="en-US" w:eastAsia="zh-CN" w:bidi="ar"/>
                <w14:textFill>
                  <w14:solidFill>
                    <w14:schemeClr w14:val="tx1"/>
                  </w14:solidFill>
                </w14:textFill>
              </w:rPr>
              <w:t>第五采油厂</w:t>
            </w:r>
            <w:r>
              <w:rPr>
                <w:rFonts w:ascii="Times New Roman" w:hAnsi="Times New Roman" w:cs="Times New Roman" w:eastAsiaTheme="minorEastAsia"/>
                <w:color w:val="000000" w:themeColor="text1"/>
                <w:w w:val="99"/>
                <w:sz w:val="21"/>
                <w:szCs w:val="21"/>
                <w:lang w:val="en-US" w:bidi="ar"/>
                <w14:textFill>
                  <w14:solidFill>
                    <w14:schemeClr w14:val="tx1"/>
                  </w14:solidFill>
                </w14:textFill>
              </w:rPr>
              <w:t>含油污泥处理站</w:t>
            </w:r>
          </w:p>
        </w:tc>
        <w:tc>
          <w:tcPr>
            <w:tcW w:w="3316" w:type="pct"/>
            <w:tcBorders>
              <w:tl2br w:val="nil"/>
              <w:tr2bl w:val="nil"/>
            </w:tcBorders>
            <w:vAlign w:val="center"/>
          </w:tcPr>
          <w:p w14:paraId="2BA714FD">
            <w:pPr>
              <w:widowControl/>
              <w:adjustRightInd w:val="0"/>
              <w:snapToGrid w:val="0"/>
              <w:spacing w:line="320" w:lineRule="exact"/>
              <w:jc w:val="both"/>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站内采用“预处理+热解”工艺，处理后泥渣含油量小于0.3%，设计处理规模为3.3万吨/年，全站含油污泥设计最大暂存能力7500m</w:t>
            </w:r>
            <w:r>
              <w:rPr>
                <w:rFonts w:ascii="Times New Roman" w:hAnsi="Times New Roman" w:cs="Times New Roman" w:eastAsiaTheme="minorEastAsia"/>
                <w:bCs/>
                <w:color w:val="000000" w:themeColor="text1"/>
                <w:w w:val="99"/>
                <w:sz w:val="21"/>
                <w:szCs w:val="21"/>
                <w:vertAlign w:val="superscript"/>
                <w:lang w:val="en-US" w:bidi="ar-SA"/>
                <w14:textFill>
                  <w14:solidFill>
                    <w14:schemeClr w14:val="tx1"/>
                  </w14:solidFill>
                </w14:textFill>
              </w:rPr>
              <w:t>3</w:t>
            </w: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，目前现存量4568.356m</w:t>
            </w:r>
            <w:r>
              <w:rPr>
                <w:rFonts w:ascii="Times New Roman" w:hAnsi="Times New Roman" w:cs="Times New Roman" w:eastAsiaTheme="minorEastAsia"/>
                <w:bCs/>
                <w:color w:val="000000" w:themeColor="text1"/>
                <w:w w:val="99"/>
                <w:sz w:val="21"/>
                <w:szCs w:val="21"/>
                <w:vertAlign w:val="superscript"/>
                <w:lang w:val="en-US" w:bidi="ar-SA"/>
                <w14:textFill>
                  <w14:solidFill>
                    <w14:schemeClr w14:val="tx1"/>
                  </w14:solidFill>
                </w14:textFill>
              </w:rPr>
              <w:t>3</w:t>
            </w: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，剩余储存能力为2931.644m</w:t>
            </w:r>
            <w:r>
              <w:rPr>
                <w:rFonts w:ascii="Times New Roman" w:hAnsi="Times New Roman" w:cs="Times New Roman" w:eastAsiaTheme="minorEastAsia"/>
                <w:bCs/>
                <w:color w:val="000000" w:themeColor="text1"/>
                <w:w w:val="99"/>
                <w:sz w:val="21"/>
                <w:szCs w:val="21"/>
                <w:vertAlign w:val="superscript"/>
                <w:lang w:val="en-US" w:bidi="ar-SA"/>
                <w14:textFill>
                  <w14:solidFill>
                    <w14:schemeClr w14:val="tx1"/>
                  </w14:solidFill>
                </w14:textFill>
              </w:rPr>
              <w:t>3</w:t>
            </w: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，截止目前本年度处理污泥量为297t，本项目清淤油泥产生量为4.5t，该站剩余储存能力能够满足本项目含油污泥</w:t>
            </w:r>
            <w:r>
              <w:rPr>
                <w:rFonts w:hint="eastAsia" w:ascii="Times New Roman" w:hAnsi="Times New Roman" w:cs="Times New Roman" w:eastAsiaTheme="minorEastAsia"/>
                <w:bCs/>
                <w:color w:val="000000" w:themeColor="text1"/>
                <w:w w:val="99"/>
                <w:sz w:val="21"/>
                <w:szCs w:val="21"/>
                <w:lang w:val="en-US" w:bidi="ar-SA"/>
                <w14:textFill>
                  <w14:solidFill>
                    <w14:schemeClr w14:val="tx1"/>
                  </w14:solidFill>
                </w14:textFill>
              </w:rPr>
              <w:t>暂存</w:t>
            </w: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需求。</w:t>
            </w:r>
          </w:p>
        </w:tc>
        <w:tc>
          <w:tcPr>
            <w:tcW w:w="388" w:type="pct"/>
            <w:tcBorders>
              <w:tl2br w:val="nil"/>
              <w:tr2bl w:val="nil"/>
            </w:tcBorders>
            <w:vAlign w:val="center"/>
          </w:tcPr>
          <w:p w14:paraId="43DD0A26">
            <w:pPr>
              <w:adjustRightInd w:val="0"/>
              <w:snapToGrid w:val="0"/>
              <w:spacing w:line="320" w:lineRule="exact"/>
              <w:jc w:val="center"/>
              <w:rPr>
                <w:rFonts w:ascii="Times New Roman" w:hAnsi="Times New Roman" w:cs="Times New Roman" w:eastAsiaTheme="minorEastAsia"/>
                <w:color w:val="000000" w:themeColor="text1"/>
                <w:w w:val="99"/>
                <w:sz w:val="21"/>
                <w:szCs w:val="21"/>
                <w:lang w:bidi="ar"/>
                <w14:textFill>
                  <w14:solidFill>
                    <w14:schemeClr w14:val="tx1"/>
                  </w14:solidFill>
                </w14:textFill>
              </w:rPr>
            </w:pPr>
          </w:p>
        </w:tc>
      </w:tr>
      <w:tr w14:paraId="13F57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tcBorders>
              <w:tl2br w:val="nil"/>
              <w:tr2bl w:val="nil"/>
            </w:tcBorders>
            <w:vAlign w:val="center"/>
          </w:tcPr>
          <w:p w14:paraId="1E259F21">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bidi="ar"/>
                <w14:textFill>
                  <w14:solidFill>
                    <w14:schemeClr w14:val="tx1"/>
                  </w14:solidFill>
                </w14:textFill>
              </w:rPr>
            </w:pPr>
            <w:r>
              <w:rPr>
                <w:rFonts w:ascii="Times New Roman" w:hAnsi="Times New Roman" w:cs="Times New Roman" w:eastAsiaTheme="minorEastAsia"/>
                <w:color w:val="000000" w:themeColor="text1"/>
                <w:w w:val="99"/>
                <w:sz w:val="21"/>
                <w:szCs w:val="21"/>
                <w:lang w:bidi="ar"/>
                <w14:textFill>
                  <w14:solidFill>
                    <w14:schemeClr w14:val="tx1"/>
                  </w14:solidFill>
                </w14:textFill>
              </w:rPr>
              <w:t>临时工程</w:t>
            </w:r>
          </w:p>
        </w:tc>
        <w:tc>
          <w:tcPr>
            <w:tcW w:w="4023" w:type="pct"/>
            <w:gridSpan w:val="2"/>
            <w:tcBorders>
              <w:tl2br w:val="nil"/>
              <w:tr2bl w:val="nil"/>
            </w:tcBorders>
            <w:vAlign w:val="center"/>
          </w:tcPr>
          <w:p w14:paraId="245668D7">
            <w:pPr>
              <w:widowControl/>
              <w:adjustRightInd w:val="0"/>
              <w:snapToGrid w:val="0"/>
              <w:spacing w:line="320" w:lineRule="exact"/>
              <w:jc w:val="both"/>
              <w:rPr>
                <w:rFonts w:ascii="Times New Roman" w:hAnsi="Times New Roman" w:cs="Times New Roman" w:eastAsiaTheme="minorEastAsia"/>
                <w:color w:val="000000" w:themeColor="text1"/>
                <w:w w:val="99"/>
                <w:sz w:val="21"/>
                <w:szCs w:val="21"/>
                <w:lang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拟建管线施工带一侧设置表土剥离临时存放区，用于暂存临时占地剥离的表土层，表土堆放设置挡板、上覆遮盖材料，施工结束后，全部回填用于植被恢复。</w:t>
            </w:r>
          </w:p>
        </w:tc>
        <w:tc>
          <w:tcPr>
            <w:tcW w:w="388" w:type="pct"/>
            <w:tcBorders>
              <w:tl2br w:val="nil"/>
              <w:tr2bl w:val="nil"/>
            </w:tcBorders>
            <w:vAlign w:val="center"/>
          </w:tcPr>
          <w:p w14:paraId="2200CE42">
            <w:pPr>
              <w:adjustRightInd w:val="0"/>
              <w:snapToGrid w:val="0"/>
              <w:spacing w:line="320" w:lineRule="exact"/>
              <w:jc w:val="center"/>
              <w:rPr>
                <w:rFonts w:ascii="Times New Roman" w:hAnsi="Times New Roman" w:cs="Times New Roman" w:eastAsiaTheme="minorEastAsia"/>
                <w:color w:val="000000" w:themeColor="text1"/>
                <w:w w:val="99"/>
                <w:sz w:val="21"/>
                <w:szCs w:val="21"/>
                <w:lang w:bidi="ar"/>
                <w14:textFill>
                  <w14:solidFill>
                    <w14:schemeClr w14:val="tx1"/>
                  </w14:solidFill>
                </w14:textFill>
              </w:rPr>
            </w:pPr>
            <w:r>
              <w:rPr>
                <w:rFonts w:ascii="Times New Roman" w:hAnsi="Times New Roman" w:cs="Times New Roman" w:eastAsiaTheme="minorEastAsia"/>
                <w:color w:val="000000" w:themeColor="text1"/>
                <w:w w:val="99"/>
                <w:sz w:val="21"/>
                <w:szCs w:val="21"/>
                <w:lang w:bidi="ar"/>
                <w14:textFill>
                  <w14:solidFill>
                    <w14:schemeClr w14:val="tx1"/>
                  </w14:solidFill>
                </w14:textFill>
              </w:rPr>
              <w:t>临时</w:t>
            </w:r>
          </w:p>
        </w:tc>
      </w:tr>
    </w:tbl>
    <w:p w14:paraId="4C0CCEF0">
      <w:pPr>
        <w:pStyle w:val="5"/>
        <w:keepNext/>
        <w:keepLines/>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86" w:name="_Toc117794548"/>
      <w:r>
        <w:rPr>
          <w:rFonts w:ascii="Times New Roman" w:hAnsi="Times New Roman" w:cs="Times New Roman" w:eastAsiaTheme="minorEastAsia"/>
          <w:color w:val="000000" w:themeColor="text1"/>
          <w:w w:val="99"/>
          <w:kern w:val="2"/>
          <w:lang w:val="en-US" w:bidi="ar-SA"/>
          <w14:textFill>
            <w14:solidFill>
              <w14:schemeClr w14:val="tx1"/>
            </w14:solidFill>
          </w14:textFill>
        </w:rPr>
        <w:t>3.1.3工程方案</w:t>
      </w:r>
      <w:bookmarkEnd w:id="86"/>
      <w:bookmarkStart w:id="87" w:name="_Toc67860125"/>
      <w:bookmarkStart w:id="88" w:name="_Toc70050172"/>
    </w:p>
    <w:bookmarkEnd w:id="87"/>
    <w:bookmarkEnd w:id="88"/>
    <w:p w14:paraId="226BADB3">
      <w:pPr>
        <w:snapToGrid w:val="0"/>
        <w:spacing w:line="440" w:lineRule="exact"/>
        <w:ind w:firstLine="474" w:firstLineChars="200"/>
        <w:jc w:val="both"/>
        <w:rPr>
          <w:rFonts w:ascii="Times New Roman" w:hAnsi="Times New Roman" w:cs="Times New Roman" w:eastAsiaTheme="minorEastAsia"/>
          <w:bCs/>
          <w:color w:val="000000" w:themeColor="text1"/>
          <w:w w:val="99"/>
          <w:sz w:val="24"/>
          <w:lang w:val="en-US"/>
          <w14:textFill>
            <w14:solidFill>
              <w14:schemeClr w14:val="tx1"/>
            </w14:solidFill>
          </w14:textFill>
        </w:rPr>
      </w:pPr>
      <w:r>
        <w:rPr>
          <w:rFonts w:ascii="Times New Roman" w:hAnsi="Times New Roman" w:cs="Times New Roman" w:eastAsiaTheme="minorEastAsia"/>
          <w:bCs/>
          <w:color w:val="000000" w:themeColor="text1"/>
          <w:w w:val="99"/>
          <w:sz w:val="24"/>
          <w:lang w:val="en-US"/>
          <w14:textFill>
            <w14:solidFill>
              <w14:schemeClr w14:val="tx1"/>
            </w14:solidFill>
          </w14:textFill>
        </w:rPr>
        <w:t>本项目拆除11座拉油点内九合一装置30座，并采取树状电加热流程将原拉油点产液集中输送至新建混输阀组间，再增压混输至龙一联合站内，新建混输泵2台，新建集油管道23.37km，管道电伴热30套，井口电加热器11台；新建柱上变9座，低压电力电缆0.85km，高压电力电缆0.3km，6kV架空线路14km。具体具体改造内容见下表3.1-2，拟建集油管道走向见表3.1-3，拟建管线走向图见附图7，</w:t>
      </w:r>
      <w:r>
        <w:rPr>
          <w:rFonts w:hint="eastAsia" w:ascii="Times New Roman" w:hAnsi="Times New Roman" w:cs="Times New Roman" w:eastAsiaTheme="minorEastAsia"/>
          <w:bCs/>
          <w:color w:val="000000" w:themeColor="text1"/>
          <w:w w:val="99"/>
          <w:sz w:val="24"/>
          <w:lang w:val="en-US"/>
          <w14:textFill>
            <w14:solidFill>
              <w14:schemeClr w14:val="tx1"/>
            </w14:solidFill>
          </w14:textFill>
        </w:rPr>
        <w:t>拟拆除拉油点位置及管线穿越位置</w:t>
      </w:r>
      <w:r>
        <w:rPr>
          <w:rFonts w:ascii="Times New Roman" w:hAnsi="Times New Roman" w:cs="Times New Roman" w:eastAsiaTheme="minorEastAsia"/>
          <w:bCs/>
          <w:color w:val="000000" w:themeColor="text1"/>
          <w:w w:val="99"/>
          <w:sz w:val="24"/>
          <w:lang w:val="en-US"/>
          <w14:textFill>
            <w14:solidFill>
              <w14:schemeClr w14:val="tx1"/>
            </w14:solidFill>
          </w14:textFill>
        </w:rPr>
        <w:t>图见附图</w:t>
      </w:r>
      <w:r>
        <w:rPr>
          <w:rFonts w:hint="eastAsia" w:ascii="Times New Roman" w:hAnsi="Times New Roman" w:cs="Times New Roman" w:eastAsiaTheme="minorEastAsia"/>
          <w:bCs/>
          <w:color w:val="000000" w:themeColor="text1"/>
          <w:w w:val="99"/>
          <w:sz w:val="24"/>
          <w:lang w:val="en-US"/>
          <w14:textFill>
            <w14:solidFill>
              <w14:schemeClr w14:val="tx1"/>
            </w14:solidFill>
          </w14:textFill>
        </w:rPr>
        <w:t>8</w:t>
      </w:r>
      <w:r>
        <w:rPr>
          <w:rFonts w:ascii="Times New Roman" w:hAnsi="Times New Roman" w:cs="Times New Roman" w:eastAsiaTheme="minorEastAsia"/>
          <w:bCs/>
          <w:color w:val="000000" w:themeColor="text1"/>
          <w:w w:val="99"/>
          <w:sz w:val="24"/>
          <w:lang w:val="en-US"/>
          <w14:textFill>
            <w14:solidFill>
              <w14:schemeClr w14:val="tx1"/>
            </w14:solidFill>
          </w14:textFill>
        </w:rPr>
        <w:t>。</w:t>
      </w:r>
    </w:p>
    <w:p w14:paraId="17F35DB5">
      <w:pPr>
        <w:snapToGrid w:val="0"/>
        <w:spacing w:line="440" w:lineRule="exact"/>
        <w:ind w:firstLine="476" w:firstLineChars="200"/>
        <w:jc w:val="both"/>
        <w:rPr>
          <w:rFonts w:ascii="Times New Roman" w:hAnsi="Times New Roman" w:cs="Times New Roman" w:eastAsiaTheme="minorEastAsia"/>
          <w:b/>
          <w:color w:val="000000" w:themeColor="text1"/>
          <w:w w:val="99"/>
          <w:sz w:val="24"/>
          <w:lang w:val="en-US"/>
          <w14:textFill>
            <w14:solidFill>
              <w14:schemeClr w14:val="tx1"/>
            </w14:solidFill>
          </w14:textFill>
        </w:rPr>
      </w:pPr>
      <w:r>
        <w:rPr>
          <w:rFonts w:ascii="Times New Roman" w:hAnsi="Times New Roman" w:cs="Times New Roman" w:eastAsiaTheme="minorEastAsia"/>
          <w:b/>
          <w:color w:val="000000" w:themeColor="text1"/>
          <w:w w:val="99"/>
          <w:sz w:val="24"/>
          <w:lang w:val="en-US"/>
          <w14:textFill>
            <w14:solidFill>
              <w14:schemeClr w14:val="tx1"/>
            </w14:solidFill>
          </w14:textFill>
        </w:rPr>
        <w:t xml:space="preserve">表3.1-2     </w:t>
      </w:r>
      <w:r>
        <w:rPr>
          <w:rFonts w:hint="eastAsia" w:ascii="Times New Roman" w:hAnsi="Times New Roman" w:cs="Times New Roman" w:eastAsiaTheme="minorEastAsia"/>
          <w:b/>
          <w:color w:val="000000" w:themeColor="text1"/>
          <w:w w:val="99"/>
          <w:sz w:val="24"/>
          <w:lang w:val="en-US"/>
          <w14:textFill>
            <w14:solidFill>
              <w14:schemeClr w14:val="tx1"/>
            </w14:solidFill>
          </w14:textFill>
        </w:rPr>
        <w:t>本项目</w:t>
      </w:r>
      <w:r>
        <w:rPr>
          <w:rFonts w:ascii="Times New Roman" w:hAnsi="Times New Roman" w:cs="Times New Roman" w:eastAsiaTheme="minorEastAsia"/>
          <w:b/>
          <w:color w:val="000000" w:themeColor="text1"/>
          <w:w w:val="99"/>
          <w:sz w:val="24"/>
          <w:lang w:val="en-US"/>
          <w14:textFill>
            <w14:solidFill>
              <w14:schemeClr w14:val="tx1"/>
            </w14:solidFill>
          </w14:textFill>
        </w:rPr>
        <w:t>改造内容统计表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
        <w:gridCol w:w="4286"/>
        <w:gridCol w:w="2005"/>
        <w:gridCol w:w="2087"/>
      </w:tblGrid>
      <w:tr w14:paraId="132C3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1" w:type="pct"/>
            <w:vAlign w:val="center"/>
          </w:tcPr>
          <w:p w14:paraId="6E5EACA3">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序号</w:t>
            </w:r>
          </w:p>
        </w:tc>
        <w:tc>
          <w:tcPr>
            <w:tcW w:w="2307" w:type="pct"/>
            <w:vAlign w:val="center"/>
          </w:tcPr>
          <w:p w14:paraId="4111D8C9">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名称</w:t>
            </w:r>
          </w:p>
        </w:tc>
        <w:tc>
          <w:tcPr>
            <w:tcW w:w="1079" w:type="pct"/>
            <w:vAlign w:val="center"/>
          </w:tcPr>
          <w:p w14:paraId="64B65C54">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单位</w:t>
            </w:r>
          </w:p>
        </w:tc>
        <w:tc>
          <w:tcPr>
            <w:tcW w:w="1123" w:type="pct"/>
            <w:vAlign w:val="center"/>
          </w:tcPr>
          <w:p w14:paraId="4300DD07">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数量</w:t>
            </w:r>
          </w:p>
        </w:tc>
      </w:tr>
      <w:tr w14:paraId="3CF43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1" w:type="pct"/>
            <w:vAlign w:val="center"/>
          </w:tcPr>
          <w:p w14:paraId="238F7857">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一</w:t>
            </w:r>
          </w:p>
        </w:tc>
        <w:tc>
          <w:tcPr>
            <w:tcW w:w="2307" w:type="pct"/>
            <w:vAlign w:val="center"/>
          </w:tcPr>
          <w:p w14:paraId="52087334">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集油部分</w:t>
            </w:r>
          </w:p>
        </w:tc>
        <w:tc>
          <w:tcPr>
            <w:tcW w:w="1079" w:type="pct"/>
            <w:vAlign w:val="center"/>
          </w:tcPr>
          <w:p w14:paraId="29386450">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p>
        </w:tc>
        <w:tc>
          <w:tcPr>
            <w:tcW w:w="1123" w:type="pct"/>
            <w:vAlign w:val="center"/>
          </w:tcPr>
          <w:p w14:paraId="736D2368">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p>
        </w:tc>
      </w:tr>
      <w:tr w14:paraId="7D395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1" w:type="pct"/>
            <w:vAlign w:val="center"/>
          </w:tcPr>
          <w:p w14:paraId="010F6A55">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w:t>
            </w:r>
          </w:p>
        </w:tc>
        <w:tc>
          <w:tcPr>
            <w:tcW w:w="2307" w:type="pct"/>
            <w:vAlign w:val="center"/>
          </w:tcPr>
          <w:p w14:paraId="476EF594">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集油管道DN89</w:t>
            </w:r>
          </w:p>
        </w:tc>
        <w:tc>
          <w:tcPr>
            <w:tcW w:w="1079" w:type="pct"/>
            <w:vAlign w:val="center"/>
          </w:tcPr>
          <w:p w14:paraId="06CFF92D">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km</w:t>
            </w:r>
          </w:p>
        </w:tc>
        <w:tc>
          <w:tcPr>
            <w:tcW w:w="1123" w:type="pct"/>
            <w:vAlign w:val="center"/>
          </w:tcPr>
          <w:p w14:paraId="7396DA15">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7.11</w:t>
            </w:r>
          </w:p>
        </w:tc>
      </w:tr>
      <w:tr w14:paraId="68447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1" w:type="pct"/>
            <w:vAlign w:val="center"/>
          </w:tcPr>
          <w:p w14:paraId="1B643E22">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2</w:t>
            </w:r>
          </w:p>
        </w:tc>
        <w:tc>
          <w:tcPr>
            <w:tcW w:w="2307" w:type="pct"/>
            <w:vAlign w:val="center"/>
          </w:tcPr>
          <w:p w14:paraId="6FB05353">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集油管道DN60</w:t>
            </w:r>
          </w:p>
        </w:tc>
        <w:tc>
          <w:tcPr>
            <w:tcW w:w="1079" w:type="pct"/>
            <w:vAlign w:val="center"/>
          </w:tcPr>
          <w:p w14:paraId="5A79811A">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km</w:t>
            </w:r>
          </w:p>
        </w:tc>
        <w:tc>
          <w:tcPr>
            <w:tcW w:w="1123" w:type="pct"/>
            <w:vAlign w:val="center"/>
          </w:tcPr>
          <w:p w14:paraId="025A964B">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5.91</w:t>
            </w:r>
          </w:p>
        </w:tc>
      </w:tr>
      <w:tr w14:paraId="619C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1" w:type="pct"/>
            <w:vAlign w:val="center"/>
          </w:tcPr>
          <w:p w14:paraId="25D10FF1">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3</w:t>
            </w:r>
          </w:p>
        </w:tc>
        <w:tc>
          <w:tcPr>
            <w:tcW w:w="2307" w:type="pct"/>
            <w:vAlign w:val="center"/>
          </w:tcPr>
          <w:p w14:paraId="605D57CE">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集油管道DN76</w:t>
            </w:r>
          </w:p>
        </w:tc>
        <w:tc>
          <w:tcPr>
            <w:tcW w:w="1079" w:type="pct"/>
            <w:vAlign w:val="center"/>
          </w:tcPr>
          <w:p w14:paraId="77FE7012">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km</w:t>
            </w:r>
          </w:p>
        </w:tc>
        <w:tc>
          <w:tcPr>
            <w:tcW w:w="1123" w:type="pct"/>
            <w:vAlign w:val="center"/>
          </w:tcPr>
          <w:p w14:paraId="771E5481">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3</w:t>
            </w:r>
          </w:p>
        </w:tc>
      </w:tr>
      <w:tr w14:paraId="285B8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1" w:type="pct"/>
            <w:vAlign w:val="center"/>
          </w:tcPr>
          <w:p w14:paraId="5518A2C6">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4</w:t>
            </w:r>
          </w:p>
        </w:tc>
        <w:tc>
          <w:tcPr>
            <w:tcW w:w="2307" w:type="pct"/>
            <w:vAlign w:val="center"/>
          </w:tcPr>
          <w:p w14:paraId="2D295C8C">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集油管道DN168</w:t>
            </w:r>
          </w:p>
        </w:tc>
        <w:tc>
          <w:tcPr>
            <w:tcW w:w="1079" w:type="pct"/>
            <w:vAlign w:val="center"/>
          </w:tcPr>
          <w:p w14:paraId="26D03FCD">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km</w:t>
            </w:r>
          </w:p>
        </w:tc>
        <w:tc>
          <w:tcPr>
            <w:tcW w:w="1123" w:type="pct"/>
            <w:vAlign w:val="center"/>
          </w:tcPr>
          <w:p w14:paraId="1E2C6641">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7.35</w:t>
            </w:r>
          </w:p>
        </w:tc>
      </w:tr>
      <w:tr w14:paraId="4CC0B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1" w:type="pct"/>
            <w:vAlign w:val="center"/>
          </w:tcPr>
          <w:p w14:paraId="5ABF94A9">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5</w:t>
            </w:r>
          </w:p>
        </w:tc>
        <w:tc>
          <w:tcPr>
            <w:tcW w:w="2307" w:type="pct"/>
            <w:vAlign w:val="center"/>
          </w:tcPr>
          <w:p w14:paraId="02B70D69">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管道电伴热（集肤效应）380V  9kW</w:t>
            </w:r>
          </w:p>
        </w:tc>
        <w:tc>
          <w:tcPr>
            <w:tcW w:w="1079" w:type="pct"/>
            <w:vAlign w:val="center"/>
          </w:tcPr>
          <w:p w14:paraId="438A2BD8">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套</w:t>
            </w:r>
          </w:p>
        </w:tc>
        <w:tc>
          <w:tcPr>
            <w:tcW w:w="1123" w:type="pct"/>
            <w:vAlign w:val="center"/>
          </w:tcPr>
          <w:p w14:paraId="26C0C7E0">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2</w:t>
            </w:r>
          </w:p>
        </w:tc>
      </w:tr>
      <w:tr w14:paraId="3B92E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1" w:type="pct"/>
            <w:vAlign w:val="center"/>
          </w:tcPr>
          <w:p w14:paraId="17ED2FB9">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6</w:t>
            </w:r>
          </w:p>
        </w:tc>
        <w:tc>
          <w:tcPr>
            <w:tcW w:w="2307" w:type="pct"/>
            <w:vAlign w:val="center"/>
          </w:tcPr>
          <w:p w14:paraId="014C9AD0">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管道电伴热（集肤效应）  380V  15kW</w:t>
            </w:r>
          </w:p>
        </w:tc>
        <w:tc>
          <w:tcPr>
            <w:tcW w:w="1079" w:type="pct"/>
            <w:vAlign w:val="center"/>
          </w:tcPr>
          <w:p w14:paraId="72DBBF6D">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套</w:t>
            </w:r>
          </w:p>
        </w:tc>
        <w:tc>
          <w:tcPr>
            <w:tcW w:w="1123" w:type="pct"/>
            <w:vAlign w:val="center"/>
          </w:tcPr>
          <w:p w14:paraId="734BBCB2">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4</w:t>
            </w:r>
          </w:p>
        </w:tc>
      </w:tr>
      <w:tr w14:paraId="2FA20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1" w:type="pct"/>
            <w:vAlign w:val="center"/>
          </w:tcPr>
          <w:p w14:paraId="0DB60D2E">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7</w:t>
            </w:r>
          </w:p>
        </w:tc>
        <w:tc>
          <w:tcPr>
            <w:tcW w:w="2307" w:type="pct"/>
            <w:vAlign w:val="center"/>
          </w:tcPr>
          <w:p w14:paraId="1C244713">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管道电伴热（集肤效应）  380V  18kW</w:t>
            </w:r>
          </w:p>
        </w:tc>
        <w:tc>
          <w:tcPr>
            <w:tcW w:w="1079" w:type="pct"/>
            <w:vAlign w:val="center"/>
          </w:tcPr>
          <w:p w14:paraId="36C76192">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套</w:t>
            </w:r>
          </w:p>
        </w:tc>
        <w:tc>
          <w:tcPr>
            <w:tcW w:w="1123" w:type="pct"/>
            <w:vAlign w:val="center"/>
          </w:tcPr>
          <w:p w14:paraId="19F6E453">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w:t>
            </w:r>
          </w:p>
        </w:tc>
      </w:tr>
      <w:tr w14:paraId="645B8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1" w:type="pct"/>
            <w:vAlign w:val="center"/>
          </w:tcPr>
          <w:p w14:paraId="75D35411">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8</w:t>
            </w:r>
          </w:p>
        </w:tc>
        <w:tc>
          <w:tcPr>
            <w:tcW w:w="2307" w:type="pct"/>
            <w:vAlign w:val="center"/>
          </w:tcPr>
          <w:p w14:paraId="474D1613">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管道电伴热（集肤效应）  380V  22.5kW</w:t>
            </w:r>
          </w:p>
        </w:tc>
        <w:tc>
          <w:tcPr>
            <w:tcW w:w="1079" w:type="pct"/>
            <w:vAlign w:val="center"/>
          </w:tcPr>
          <w:p w14:paraId="7354A127">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套</w:t>
            </w:r>
          </w:p>
        </w:tc>
        <w:tc>
          <w:tcPr>
            <w:tcW w:w="1123" w:type="pct"/>
            <w:vAlign w:val="center"/>
          </w:tcPr>
          <w:p w14:paraId="10B75599">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2</w:t>
            </w:r>
          </w:p>
        </w:tc>
      </w:tr>
      <w:tr w14:paraId="537D5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1" w:type="pct"/>
            <w:vAlign w:val="center"/>
          </w:tcPr>
          <w:p w14:paraId="2787B4E1">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9</w:t>
            </w:r>
          </w:p>
        </w:tc>
        <w:tc>
          <w:tcPr>
            <w:tcW w:w="2307" w:type="pct"/>
            <w:vAlign w:val="center"/>
          </w:tcPr>
          <w:p w14:paraId="1C32E2D9">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管道电伴热（集肤效应）  380V  27kW</w:t>
            </w:r>
          </w:p>
        </w:tc>
        <w:tc>
          <w:tcPr>
            <w:tcW w:w="1079" w:type="pct"/>
            <w:vAlign w:val="center"/>
          </w:tcPr>
          <w:p w14:paraId="673560C4">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套</w:t>
            </w:r>
          </w:p>
        </w:tc>
        <w:tc>
          <w:tcPr>
            <w:tcW w:w="1123" w:type="pct"/>
            <w:vAlign w:val="center"/>
          </w:tcPr>
          <w:p w14:paraId="05CE396A">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3</w:t>
            </w:r>
          </w:p>
        </w:tc>
      </w:tr>
      <w:tr w14:paraId="2B07A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1" w:type="pct"/>
            <w:vAlign w:val="center"/>
          </w:tcPr>
          <w:p w14:paraId="0A2B0648">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10</w:t>
            </w:r>
          </w:p>
        </w:tc>
        <w:tc>
          <w:tcPr>
            <w:tcW w:w="2307" w:type="pct"/>
            <w:vAlign w:val="center"/>
          </w:tcPr>
          <w:p w14:paraId="2F9CA869">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管道电伴热（集肤效应）  380V  30kW</w:t>
            </w:r>
          </w:p>
        </w:tc>
        <w:tc>
          <w:tcPr>
            <w:tcW w:w="1079" w:type="pct"/>
            <w:vAlign w:val="center"/>
          </w:tcPr>
          <w:p w14:paraId="27F59D16">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套</w:t>
            </w:r>
          </w:p>
        </w:tc>
        <w:tc>
          <w:tcPr>
            <w:tcW w:w="1123" w:type="pct"/>
            <w:vAlign w:val="center"/>
          </w:tcPr>
          <w:p w14:paraId="14981FC6">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18</w:t>
            </w:r>
          </w:p>
        </w:tc>
      </w:tr>
      <w:tr w14:paraId="421AC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1" w:type="pct"/>
            <w:vAlign w:val="center"/>
          </w:tcPr>
          <w:p w14:paraId="60866F16">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11</w:t>
            </w:r>
          </w:p>
        </w:tc>
        <w:tc>
          <w:tcPr>
            <w:tcW w:w="2307" w:type="pct"/>
            <w:vAlign w:val="center"/>
          </w:tcPr>
          <w:p w14:paraId="20609502">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防爆井口电加热器  380V   P=5kW</w:t>
            </w:r>
          </w:p>
        </w:tc>
        <w:tc>
          <w:tcPr>
            <w:tcW w:w="1079" w:type="pct"/>
            <w:vAlign w:val="center"/>
          </w:tcPr>
          <w:p w14:paraId="3441246D">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台</w:t>
            </w:r>
          </w:p>
        </w:tc>
        <w:tc>
          <w:tcPr>
            <w:tcW w:w="1123" w:type="pct"/>
            <w:vAlign w:val="center"/>
          </w:tcPr>
          <w:p w14:paraId="421F3400">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w:t>
            </w:r>
          </w:p>
        </w:tc>
      </w:tr>
      <w:tr w14:paraId="4628F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1" w:type="pct"/>
            <w:vAlign w:val="center"/>
          </w:tcPr>
          <w:p w14:paraId="1910FA56">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12</w:t>
            </w:r>
          </w:p>
        </w:tc>
        <w:tc>
          <w:tcPr>
            <w:tcW w:w="2307" w:type="pct"/>
            <w:vAlign w:val="center"/>
          </w:tcPr>
          <w:p w14:paraId="3B608305">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5环式混输阀组间</w:t>
            </w:r>
          </w:p>
        </w:tc>
        <w:tc>
          <w:tcPr>
            <w:tcW w:w="1079" w:type="pct"/>
            <w:vAlign w:val="center"/>
          </w:tcPr>
          <w:p w14:paraId="008F1F20">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座</w:t>
            </w:r>
          </w:p>
        </w:tc>
        <w:tc>
          <w:tcPr>
            <w:tcW w:w="1123" w:type="pct"/>
            <w:vAlign w:val="center"/>
          </w:tcPr>
          <w:p w14:paraId="0DA9CCF8">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w:t>
            </w:r>
          </w:p>
        </w:tc>
      </w:tr>
      <w:tr w14:paraId="6D29E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1" w:type="pct"/>
            <w:vAlign w:val="center"/>
          </w:tcPr>
          <w:p w14:paraId="2DB32AF0">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13</w:t>
            </w:r>
          </w:p>
        </w:tc>
        <w:tc>
          <w:tcPr>
            <w:tcW w:w="2307" w:type="pct"/>
            <w:vAlign w:val="center"/>
          </w:tcPr>
          <w:p w14:paraId="4D82FF9F">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混输泵Q=80m</w:t>
            </w:r>
            <w:r>
              <w:rPr>
                <w:rFonts w:ascii="Times New Roman" w:hAnsi="Times New Roman" w:cs="Times New Roman" w:eastAsiaTheme="minorEastAsia"/>
                <w:bCs/>
                <w:color w:val="000000" w:themeColor="text1"/>
                <w:w w:val="99"/>
                <w:sz w:val="21"/>
                <w:szCs w:val="21"/>
                <w:vertAlign w:val="superscript"/>
                <w:lang w:val="en-US" w:bidi="ar-SA"/>
                <w14:textFill>
                  <w14:solidFill>
                    <w14:schemeClr w14:val="tx1"/>
                  </w14:solidFill>
                </w14:textFill>
              </w:rPr>
              <w:t>3</w:t>
            </w: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 xml:space="preserve">/h </w:t>
            </w:r>
            <w:r>
              <w:rPr>
                <w:rFonts w:hint="eastAsia"/>
                <w:bCs/>
                <w:color w:val="000000" w:themeColor="text1"/>
                <w:w w:val="99"/>
                <w:sz w:val="21"/>
                <w:szCs w:val="21"/>
                <w:lang w:val="en-US" w:bidi="ar-SA"/>
                <w14:textFill>
                  <w14:solidFill>
                    <w14:schemeClr w14:val="tx1"/>
                  </w14:solidFill>
                </w14:textFill>
              </w:rPr>
              <w:t>△</w:t>
            </w: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P=0.8MPa</w:t>
            </w:r>
          </w:p>
        </w:tc>
        <w:tc>
          <w:tcPr>
            <w:tcW w:w="1079" w:type="pct"/>
            <w:vAlign w:val="center"/>
          </w:tcPr>
          <w:p w14:paraId="359546B6">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台</w:t>
            </w:r>
          </w:p>
        </w:tc>
        <w:tc>
          <w:tcPr>
            <w:tcW w:w="1123" w:type="pct"/>
            <w:vAlign w:val="center"/>
          </w:tcPr>
          <w:p w14:paraId="3AC686B0">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2</w:t>
            </w:r>
          </w:p>
        </w:tc>
      </w:tr>
      <w:tr w14:paraId="04409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1" w:type="pct"/>
            <w:vAlign w:val="center"/>
          </w:tcPr>
          <w:p w14:paraId="7CA4C3D7">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14</w:t>
            </w:r>
          </w:p>
        </w:tc>
        <w:tc>
          <w:tcPr>
            <w:tcW w:w="2307" w:type="pct"/>
            <w:vAlign w:val="center"/>
          </w:tcPr>
          <w:p w14:paraId="57FA05B7">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公路穿越，钢顶</w:t>
            </w:r>
            <w:r>
              <w:rPr>
                <w:rFonts w:hint="eastAsia"/>
                <w:bCs/>
                <w:color w:val="000000" w:themeColor="text1"/>
                <w:w w:val="99"/>
                <w:sz w:val="21"/>
                <w:szCs w:val="21"/>
                <w:lang w:val="en-US" w:bidi="ar-SA"/>
                <w14:textFill>
                  <w14:solidFill>
                    <w14:schemeClr w14:val="tx1"/>
                  </w14:solidFill>
                </w14:textFill>
              </w:rPr>
              <w:t>∮</w:t>
            </w: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273×7 处/10m</w:t>
            </w:r>
          </w:p>
        </w:tc>
        <w:tc>
          <w:tcPr>
            <w:tcW w:w="1079" w:type="pct"/>
            <w:vAlign w:val="center"/>
          </w:tcPr>
          <w:p w14:paraId="2DBA2C00">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处</w:t>
            </w:r>
          </w:p>
        </w:tc>
        <w:tc>
          <w:tcPr>
            <w:tcW w:w="1123" w:type="pct"/>
            <w:vAlign w:val="center"/>
          </w:tcPr>
          <w:p w14:paraId="5A36D2C4">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17</w:t>
            </w:r>
          </w:p>
        </w:tc>
      </w:tr>
      <w:tr w14:paraId="3F4CD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1" w:type="pct"/>
            <w:vAlign w:val="center"/>
          </w:tcPr>
          <w:p w14:paraId="3BE4382A">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15</w:t>
            </w:r>
          </w:p>
        </w:tc>
        <w:tc>
          <w:tcPr>
            <w:tcW w:w="2307" w:type="pct"/>
            <w:vAlign w:val="center"/>
          </w:tcPr>
          <w:p w14:paraId="3D4B887D">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拆除油井密闭储油装置（九合一装置）</w:t>
            </w:r>
          </w:p>
        </w:tc>
        <w:tc>
          <w:tcPr>
            <w:tcW w:w="1079" w:type="pct"/>
            <w:vAlign w:val="center"/>
          </w:tcPr>
          <w:p w14:paraId="15BFE619">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座</w:t>
            </w:r>
          </w:p>
        </w:tc>
        <w:tc>
          <w:tcPr>
            <w:tcW w:w="1123" w:type="pct"/>
            <w:vAlign w:val="center"/>
          </w:tcPr>
          <w:p w14:paraId="7DEB19E1">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30</w:t>
            </w:r>
          </w:p>
        </w:tc>
      </w:tr>
      <w:tr w14:paraId="29A2C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1" w:type="pct"/>
            <w:vAlign w:val="center"/>
          </w:tcPr>
          <w:p w14:paraId="016A5F33">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二</w:t>
            </w:r>
          </w:p>
        </w:tc>
        <w:tc>
          <w:tcPr>
            <w:tcW w:w="2307" w:type="pct"/>
            <w:vAlign w:val="center"/>
          </w:tcPr>
          <w:p w14:paraId="68D2DAED">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电力部分</w:t>
            </w:r>
          </w:p>
        </w:tc>
        <w:tc>
          <w:tcPr>
            <w:tcW w:w="1079" w:type="pct"/>
            <w:vAlign w:val="center"/>
          </w:tcPr>
          <w:p w14:paraId="7C25A72A">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p>
        </w:tc>
        <w:tc>
          <w:tcPr>
            <w:tcW w:w="1123" w:type="pct"/>
            <w:vAlign w:val="center"/>
          </w:tcPr>
          <w:p w14:paraId="4B8ADF3B">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p>
        </w:tc>
      </w:tr>
      <w:tr w14:paraId="453E4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1" w:type="pct"/>
            <w:vAlign w:val="center"/>
          </w:tcPr>
          <w:p w14:paraId="64ADD349">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w:t>
            </w:r>
          </w:p>
        </w:tc>
        <w:tc>
          <w:tcPr>
            <w:tcW w:w="2307" w:type="pct"/>
            <w:vAlign w:val="center"/>
          </w:tcPr>
          <w:p w14:paraId="7B8F86EF">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30kVA柱上变</w:t>
            </w:r>
          </w:p>
        </w:tc>
        <w:tc>
          <w:tcPr>
            <w:tcW w:w="1079" w:type="pct"/>
            <w:vAlign w:val="center"/>
          </w:tcPr>
          <w:p w14:paraId="4C3882D9">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座</w:t>
            </w:r>
          </w:p>
        </w:tc>
        <w:tc>
          <w:tcPr>
            <w:tcW w:w="1123" w:type="pct"/>
            <w:vAlign w:val="center"/>
          </w:tcPr>
          <w:p w14:paraId="2F009AC5">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3</w:t>
            </w:r>
          </w:p>
        </w:tc>
      </w:tr>
      <w:tr w14:paraId="1A012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1" w:type="pct"/>
            <w:vAlign w:val="center"/>
          </w:tcPr>
          <w:p w14:paraId="020AFCDD">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2</w:t>
            </w:r>
          </w:p>
        </w:tc>
        <w:tc>
          <w:tcPr>
            <w:tcW w:w="2307" w:type="pct"/>
            <w:vAlign w:val="center"/>
          </w:tcPr>
          <w:p w14:paraId="7A935CA2">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50kVA柱上变</w:t>
            </w:r>
          </w:p>
        </w:tc>
        <w:tc>
          <w:tcPr>
            <w:tcW w:w="1079" w:type="pct"/>
            <w:vAlign w:val="center"/>
          </w:tcPr>
          <w:p w14:paraId="0255B575">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座</w:t>
            </w:r>
          </w:p>
        </w:tc>
        <w:tc>
          <w:tcPr>
            <w:tcW w:w="1123" w:type="pct"/>
            <w:vAlign w:val="center"/>
          </w:tcPr>
          <w:p w14:paraId="2D1F04A0">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6</w:t>
            </w:r>
          </w:p>
        </w:tc>
      </w:tr>
      <w:tr w14:paraId="30F38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1" w:type="pct"/>
            <w:vAlign w:val="center"/>
          </w:tcPr>
          <w:p w14:paraId="3A41C4CD">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3</w:t>
            </w:r>
          </w:p>
        </w:tc>
        <w:tc>
          <w:tcPr>
            <w:tcW w:w="2307" w:type="pct"/>
            <w:vAlign w:val="center"/>
          </w:tcPr>
          <w:p w14:paraId="0827B17C">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柱上变配电箱</w:t>
            </w:r>
          </w:p>
        </w:tc>
        <w:tc>
          <w:tcPr>
            <w:tcW w:w="1079" w:type="pct"/>
            <w:vAlign w:val="center"/>
          </w:tcPr>
          <w:p w14:paraId="75D0A0AF">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面</w:t>
            </w:r>
          </w:p>
        </w:tc>
        <w:tc>
          <w:tcPr>
            <w:tcW w:w="1123" w:type="pct"/>
            <w:vAlign w:val="center"/>
          </w:tcPr>
          <w:p w14:paraId="5FB15415">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9</w:t>
            </w:r>
          </w:p>
        </w:tc>
      </w:tr>
      <w:tr w14:paraId="13B6B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1" w:type="pct"/>
            <w:vAlign w:val="center"/>
          </w:tcPr>
          <w:p w14:paraId="08F0654E">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4</w:t>
            </w:r>
          </w:p>
        </w:tc>
        <w:tc>
          <w:tcPr>
            <w:tcW w:w="2307" w:type="pct"/>
            <w:vAlign w:val="center"/>
          </w:tcPr>
          <w:p w14:paraId="096B0EF9">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低压电力电缆</w:t>
            </w:r>
          </w:p>
        </w:tc>
        <w:tc>
          <w:tcPr>
            <w:tcW w:w="1079" w:type="pct"/>
            <w:vAlign w:val="center"/>
          </w:tcPr>
          <w:p w14:paraId="6B2A0B52">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m</w:t>
            </w:r>
          </w:p>
        </w:tc>
        <w:tc>
          <w:tcPr>
            <w:tcW w:w="1123" w:type="pct"/>
            <w:vAlign w:val="center"/>
          </w:tcPr>
          <w:p w14:paraId="470130B7">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850</w:t>
            </w:r>
          </w:p>
        </w:tc>
      </w:tr>
      <w:tr w14:paraId="7C5A9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1" w:type="pct"/>
            <w:vAlign w:val="center"/>
          </w:tcPr>
          <w:p w14:paraId="63213D99">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5</w:t>
            </w:r>
          </w:p>
        </w:tc>
        <w:tc>
          <w:tcPr>
            <w:tcW w:w="2307" w:type="pct"/>
            <w:vAlign w:val="center"/>
          </w:tcPr>
          <w:p w14:paraId="0D4500C2">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高压电力电缆</w:t>
            </w:r>
          </w:p>
        </w:tc>
        <w:tc>
          <w:tcPr>
            <w:tcW w:w="1079" w:type="pct"/>
            <w:vAlign w:val="center"/>
          </w:tcPr>
          <w:p w14:paraId="2B3AD4B7">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m</w:t>
            </w:r>
          </w:p>
        </w:tc>
        <w:tc>
          <w:tcPr>
            <w:tcW w:w="1123" w:type="pct"/>
            <w:vAlign w:val="center"/>
          </w:tcPr>
          <w:p w14:paraId="0AFF39D7">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300</w:t>
            </w:r>
          </w:p>
        </w:tc>
      </w:tr>
      <w:tr w14:paraId="5D351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1" w:type="pct"/>
            <w:vAlign w:val="center"/>
          </w:tcPr>
          <w:p w14:paraId="3ACF7150">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6</w:t>
            </w:r>
          </w:p>
        </w:tc>
        <w:tc>
          <w:tcPr>
            <w:tcW w:w="2307" w:type="pct"/>
            <w:vAlign w:val="center"/>
          </w:tcPr>
          <w:p w14:paraId="433AD2AB">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6kV架空线路</w:t>
            </w:r>
          </w:p>
        </w:tc>
        <w:tc>
          <w:tcPr>
            <w:tcW w:w="1079" w:type="pct"/>
            <w:vAlign w:val="center"/>
          </w:tcPr>
          <w:p w14:paraId="42B0C456">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km</w:t>
            </w:r>
          </w:p>
        </w:tc>
        <w:tc>
          <w:tcPr>
            <w:tcW w:w="1123" w:type="pct"/>
            <w:vAlign w:val="center"/>
          </w:tcPr>
          <w:p w14:paraId="1268E565">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14</w:t>
            </w:r>
          </w:p>
        </w:tc>
      </w:tr>
      <w:tr w14:paraId="37378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1" w:type="pct"/>
            <w:vAlign w:val="center"/>
          </w:tcPr>
          <w:p w14:paraId="58F8D06B">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7</w:t>
            </w:r>
          </w:p>
        </w:tc>
        <w:tc>
          <w:tcPr>
            <w:tcW w:w="2307" w:type="pct"/>
            <w:vAlign w:val="center"/>
          </w:tcPr>
          <w:p w14:paraId="5C607961">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6kV高压开关柜</w:t>
            </w:r>
          </w:p>
        </w:tc>
        <w:tc>
          <w:tcPr>
            <w:tcW w:w="1079" w:type="pct"/>
            <w:vAlign w:val="center"/>
          </w:tcPr>
          <w:p w14:paraId="7C1D5647">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面</w:t>
            </w:r>
          </w:p>
        </w:tc>
        <w:tc>
          <w:tcPr>
            <w:tcW w:w="1123" w:type="pct"/>
            <w:vAlign w:val="center"/>
          </w:tcPr>
          <w:p w14:paraId="0C83CC0B">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w:t>
            </w:r>
          </w:p>
        </w:tc>
      </w:tr>
      <w:tr w14:paraId="5BDAE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1" w:type="pct"/>
            <w:vAlign w:val="center"/>
          </w:tcPr>
          <w:p w14:paraId="68E9CEDD">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8</w:t>
            </w:r>
          </w:p>
        </w:tc>
        <w:tc>
          <w:tcPr>
            <w:tcW w:w="2307" w:type="pct"/>
            <w:vAlign w:val="center"/>
          </w:tcPr>
          <w:p w14:paraId="6CB1E5F3">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接地装置R≤10</w:t>
            </w:r>
          </w:p>
        </w:tc>
        <w:tc>
          <w:tcPr>
            <w:tcW w:w="1079" w:type="pct"/>
            <w:vAlign w:val="center"/>
          </w:tcPr>
          <w:p w14:paraId="7FCF8A2B">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套</w:t>
            </w:r>
          </w:p>
        </w:tc>
        <w:tc>
          <w:tcPr>
            <w:tcW w:w="1123" w:type="pct"/>
            <w:vAlign w:val="center"/>
          </w:tcPr>
          <w:p w14:paraId="57F48D3B">
            <w:pPr>
              <w:widowControl/>
              <w:adjustRightInd w:val="0"/>
              <w:snapToGrid w:val="0"/>
              <w:spacing w:line="36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9</w:t>
            </w:r>
          </w:p>
        </w:tc>
      </w:tr>
    </w:tbl>
    <w:p w14:paraId="773ADE08">
      <w:pPr>
        <w:pStyle w:val="101"/>
        <w:spacing w:beforeLines="0" w:afterLines="0" w:line="440" w:lineRule="exact"/>
        <w:ind w:firstLine="476" w:firstLineChars="200"/>
        <w:jc w:val="left"/>
        <w:rPr>
          <w:rFonts w:ascii="Times New Roman" w:cs="Times New Roman" w:eastAsiaTheme="minorEastAsia"/>
          <w:color w:val="000000" w:themeColor="text1"/>
          <w:w w:val="99"/>
          <w:sz w:val="24"/>
          <w:szCs w:val="24"/>
          <w14:textFill>
            <w14:solidFill>
              <w14:schemeClr w14:val="tx1"/>
            </w14:solidFill>
          </w14:textFill>
        </w:rPr>
      </w:pPr>
      <w:r>
        <w:rPr>
          <w:rFonts w:ascii="Times New Roman" w:cs="Times New Roman" w:eastAsiaTheme="minorEastAsia"/>
          <w:color w:val="000000" w:themeColor="text1"/>
          <w:w w:val="99"/>
          <w:sz w:val="24"/>
          <w:szCs w:val="24"/>
          <w14:textFill>
            <w14:solidFill>
              <w14:schemeClr w14:val="tx1"/>
            </w14:solidFill>
          </w14:textFill>
        </w:rPr>
        <w:t xml:space="preserve">表3.1-3     </w:t>
      </w:r>
      <w:r>
        <w:rPr>
          <w:rFonts w:ascii="Times New Roman" w:cs="Times New Roman" w:eastAsiaTheme="minorEastAsia"/>
          <w:bCs/>
          <w:color w:val="000000" w:themeColor="text1"/>
          <w:w w:val="99"/>
          <w:sz w:val="24"/>
          <w:szCs w:val="24"/>
          <w:lang w:bidi="zh-CN"/>
          <w14:textFill>
            <w14:solidFill>
              <w14:schemeClr w14:val="tx1"/>
            </w14:solidFill>
          </w14:textFill>
        </w:rPr>
        <w:t>拟建集油管道走向一览表</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59"/>
        <w:gridCol w:w="1133"/>
        <w:gridCol w:w="1278"/>
        <w:gridCol w:w="1276"/>
        <w:gridCol w:w="992"/>
        <w:gridCol w:w="849"/>
        <w:gridCol w:w="710"/>
        <w:gridCol w:w="851"/>
        <w:gridCol w:w="816"/>
      </w:tblGrid>
      <w:tr w14:paraId="701C0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9" w:type="pct"/>
            <w:vAlign w:val="center"/>
          </w:tcPr>
          <w:p w14:paraId="2864CEC5">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序号</w:t>
            </w:r>
          </w:p>
        </w:tc>
        <w:tc>
          <w:tcPr>
            <w:tcW w:w="516" w:type="pct"/>
            <w:vAlign w:val="center"/>
          </w:tcPr>
          <w:p w14:paraId="3E5D2AC4">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管线起点</w:t>
            </w:r>
          </w:p>
        </w:tc>
        <w:tc>
          <w:tcPr>
            <w:tcW w:w="610" w:type="pct"/>
            <w:vAlign w:val="center"/>
          </w:tcPr>
          <w:p w14:paraId="3E32D1C8">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管线终点</w:t>
            </w:r>
          </w:p>
        </w:tc>
        <w:tc>
          <w:tcPr>
            <w:tcW w:w="688" w:type="pct"/>
            <w:vAlign w:val="center"/>
          </w:tcPr>
          <w:p w14:paraId="305F4A00">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sz w:val="21"/>
                <w:szCs w:val="21"/>
                <w:lang w:val="en-US" w:bidi="ar-SA"/>
                <w14:textFill>
                  <w14:solidFill>
                    <w14:schemeClr w14:val="tx1"/>
                  </w14:solidFill>
                </w14:textFill>
              </w:rPr>
              <w:t>起点坐标</w:t>
            </w:r>
          </w:p>
        </w:tc>
        <w:tc>
          <w:tcPr>
            <w:tcW w:w="687" w:type="pct"/>
            <w:vAlign w:val="center"/>
          </w:tcPr>
          <w:p w14:paraId="0D4A9963">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sz w:val="21"/>
                <w:szCs w:val="21"/>
                <w:lang w:val="en-US" w:bidi="ar-SA"/>
                <w14:textFill>
                  <w14:solidFill>
                    <w14:schemeClr w14:val="tx1"/>
                  </w14:solidFill>
                </w14:textFill>
              </w:rPr>
              <w:t>终点坐标</w:t>
            </w:r>
          </w:p>
        </w:tc>
        <w:tc>
          <w:tcPr>
            <w:tcW w:w="534" w:type="pct"/>
            <w:vAlign w:val="center"/>
          </w:tcPr>
          <w:p w14:paraId="173E7AD2">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sz w:val="21"/>
                <w:szCs w:val="21"/>
                <w:lang w:val="en-US" w:bidi="ar-SA"/>
                <w14:textFill>
                  <w14:solidFill>
                    <w14:schemeClr w14:val="tx1"/>
                  </w14:solidFill>
                </w14:textFill>
              </w:rPr>
              <w:t>管径</w:t>
            </w:r>
          </w:p>
        </w:tc>
        <w:tc>
          <w:tcPr>
            <w:tcW w:w="457" w:type="pct"/>
            <w:vAlign w:val="center"/>
          </w:tcPr>
          <w:p w14:paraId="52FA870E">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长度</w:t>
            </w:r>
          </w:p>
        </w:tc>
        <w:tc>
          <w:tcPr>
            <w:tcW w:w="382" w:type="pct"/>
            <w:vAlign w:val="center"/>
          </w:tcPr>
          <w:p w14:paraId="2D4CECF8">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输油量</w:t>
            </w:r>
            <w:r>
              <w:rPr>
                <w:rFonts w:hint="eastAsia" w:ascii="Times New Roman" w:hAnsi="Times New Roman" w:cs="Times New Roman" w:eastAsiaTheme="minorEastAsia"/>
                <w:bCs/>
                <w:color w:val="000000" w:themeColor="text1"/>
                <w:w w:val="99"/>
                <w:sz w:val="21"/>
                <w:szCs w:val="21"/>
                <w:lang w:val="en-US" w:bidi="ar-SA"/>
                <w14:textFill>
                  <w14:solidFill>
                    <w14:schemeClr w14:val="tx1"/>
                  </w14:solidFill>
                </w14:textFill>
              </w:rPr>
              <w:t>/</w:t>
            </w: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t/d</w:t>
            </w:r>
          </w:p>
        </w:tc>
        <w:tc>
          <w:tcPr>
            <w:tcW w:w="458" w:type="pct"/>
            <w:vAlign w:val="center"/>
          </w:tcPr>
          <w:p w14:paraId="7B2BBCDC">
            <w:pPr>
              <w:widowControl/>
              <w:adjustRightInd w:val="0"/>
              <w:snapToGrid w:val="0"/>
              <w:spacing w:line="32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输气量</w:t>
            </w:r>
            <w:r>
              <w:rPr>
                <w:rFonts w:hint="eastAsia" w:ascii="Times New Roman" w:hAnsi="Times New Roman" w:cs="Times New Roman" w:eastAsiaTheme="minorEastAsia"/>
                <w:bCs/>
                <w:color w:val="000000" w:themeColor="text1"/>
                <w:w w:val="99"/>
                <w:sz w:val="21"/>
                <w:szCs w:val="21"/>
                <w:lang w:val="en-US" w:bidi="ar-SA"/>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m</w:t>
            </w:r>
            <w:r>
              <w:rPr>
                <w:rFonts w:ascii="Times New Roman" w:hAnsi="Times New Roman" w:cs="Times New Roman"/>
                <w:color w:val="000000" w:themeColor="text1"/>
                <w:sz w:val="21"/>
                <w:szCs w:val="21"/>
                <w:vertAlign w:val="superscript"/>
                <w14:textFill>
                  <w14:solidFill>
                    <w14:schemeClr w14:val="tx1"/>
                  </w14:solidFill>
                </w14:textFill>
              </w:rPr>
              <w:t>3</w:t>
            </w:r>
            <w:r>
              <w:rPr>
                <w:rFonts w:ascii="Times New Roman" w:hAnsi="Times New Roman" w:cs="Times New Roman"/>
                <w:color w:val="000000" w:themeColor="text1"/>
                <w:sz w:val="21"/>
                <w:szCs w:val="21"/>
                <w14:textFill>
                  <w14:solidFill>
                    <w14:schemeClr w14:val="tx1"/>
                  </w14:solidFill>
                </w14:textFill>
              </w:rPr>
              <w:t>/d</w:t>
            </w:r>
          </w:p>
        </w:tc>
        <w:tc>
          <w:tcPr>
            <w:tcW w:w="439" w:type="pct"/>
            <w:vAlign w:val="center"/>
          </w:tcPr>
          <w:p w14:paraId="02D09D2A">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穿越位置</w:t>
            </w:r>
          </w:p>
        </w:tc>
      </w:tr>
      <w:tr w14:paraId="62EC5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9" w:type="pct"/>
            <w:vAlign w:val="center"/>
          </w:tcPr>
          <w:p w14:paraId="7EB24A34">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w:t>
            </w:r>
          </w:p>
        </w:tc>
        <w:tc>
          <w:tcPr>
            <w:tcW w:w="516" w:type="pct"/>
            <w:vAlign w:val="center"/>
          </w:tcPr>
          <w:p w14:paraId="18D5A9A6">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11号平台</w:t>
            </w:r>
          </w:p>
        </w:tc>
        <w:tc>
          <w:tcPr>
            <w:tcW w:w="610" w:type="pct"/>
            <w:vAlign w:val="center"/>
          </w:tcPr>
          <w:p w14:paraId="1F800C21">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龙一联合站</w:t>
            </w:r>
          </w:p>
        </w:tc>
        <w:tc>
          <w:tcPr>
            <w:tcW w:w="688" w:type="pct"/>
            <w:vAlign w:val="center"/>
          </w:tcPr>
          <w:p w14:paraId="5EA3F9C1">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124.40156，46.34903</w:t>
            </w:r>
          </w:p>
        </w:tc>
        <w:tc>
          <w:tcPr>
            <w:tcW w:w="687" w:type="pct"/>
            <w:vAlign w:val="center"/>
          </w:tcPr>
          <w:p w14:paraId="3321308D">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124.43336，46.36303</w:t>
            </w:r>
          </w:p>
        </w:tc>
        <w:tc>
          <w:tcPr>
            <w:tcW w:w="534" w:type="pct"/>
            <w:vAlign w:val="center"/>
          </w:tcPr>
          <w:p w14:paraId="57DA096A">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φ89×4.5</w:t>
            </w:r>
          </w:p>
        </w:tc>
        <w:tc>
          <w:tcPr>
            <w:tcW w:w="457" w:type="pct"/>
            <w:vAlign w:val="center"/>
          </w:tcPr>
          <w:p w14:paraId="62A8059E">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3.15km</w:t>
            </w:r>
          </w:p>
        </w:tc>
        <w:tc>
          <w:tcPr>
            <w:tcW w:w="382" w:type="pct"/>
            <w:vAlign w:val="center"/>
          </w:tcPr>
          <w:p w14:paraId="0CEBBD16">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20.03</w:t>
            </w:r>
          </w:p>
        </w:tc>
        <w:tc>
          <w:tcPr>
            <w:tcW w:w="458" w:type="pct"/>
            <w:vAlign w:val="center"/>
          </w:tcPr>
          <w:p w14:paraId="4AC1BAD3">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929</w:t>
            </w:r>
          </w:p>
        </w:tc>
        <w:tc>
          <w:tcPr>
            <w:tcW w:w="439" w:type="pct"/>
            <w:vAlign w:val="center"/>
          </w:tcPr>
          <w:p w14:paraId="1F97278D">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sz w:val="21"/>
                <w:szCs w:val="21"/>
                <w:lang w:val="en-US" w:bidi="ar-SA"/>
                <w14:textFill>
                  <w14:solidFill>
                    <w14:schemeClr w14:val="tx1"/>
                  </w14:solidFill>
                </w14:textFill>
              </w:rPr>
              <w:t>1处3</w:t>
            </w: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11省道，</w:t>
            </w:r>
            <w:r>
              <w:rPr>
                <w:rFonts w:hint="eastAsia" w:ascii="Times New Roman" w:hAnsi="Times New Roman" w:cs="Times New Roman" w:eastAsiaTheme="minorEastAsia"/>
                <w:bCs/>
                <w:color w:val="000000" w:themeColor="text1"/>
                <w:w w:val="99"/>
                <w:sz w:val="21"/>
                <w:szCs w:val="21"/>
                <w:lang w:val="en-US" w:bidi="ar-SA"/>
                <w14:textFill>
                  <w14:solidFill>
                    <w14:schemeClr w14:val="tx1"/>
                  </w14:solidFill>
                </w14:textFill>
              </w:rPr>
              <w:t>2处井排路</w:t>
            </w:r>
          </w:p>
        </w:tc>
      </w:tr>
      <w:tr w14:paraId="562F4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9" w:type="pct"/>
            <w:vAlign w:val="center"/>
          </w:tcPr>
          <w:p w14:paraId="20D0E486">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2</w:t>
            </w:r>
          </w:p>
        </w:tc>
        <w:tc>
          <w:tcPr>
            <w:tcW w:w="516" w:type="pct"/>
            <w:vAlign w:val="center"/>
          </w:tcPr>
          <w:p w14:paraId="08DBA5E6">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龙27-1号拉油点1号平台</w:t>
            </w:r>
          </w:p>
        </w:tc>
        <w:tc>
          <w:tcPr>
            <w:tcW w:w="610" w:type="pct"/>
            <w:vAlign w:val="center"/>
          </w:tcPr>
          <w:p w14:paraId="482B9B3D">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龙27-斜6拉油点</w:t>
            </w:r>
          </w:p>
        </w:tc>
        <w:tc>
          <w:tcPr>
            <w:tcW w:w="688" w:type="pct"/>
            <w:vAlign w:val="center"/>
          </w:tcPr>
          <w:p w14:paraId="535FFB18">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124.44745，46.32840</w:t>
            </w:r>
          </w:p>
        </w:tc>
        <w:tc>
          <w:tcPr>
            <w:tcW w:w="687" w:type="pct"/>
            <w:vAlign w:val="center"/>
          </w:tcPr>
          <w:p w14:paraId="78086366">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124.44149，46.32167</w:t>
            </w:r>
          </w:p>
        </w:tc>
        <w:tc>
          <w:tcPr>
            <w:tcW w:w="534" w:type="pct"/>
            <w:vAlign w:val="center"/>
          </w:tcPr>
          <w:p w14:paraId="6D782B63">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Φ60×3.5</w:t>
            </w:r>
          </w:p>
        </w:tc>
        <w:tc>
          <w:tcPr>
            <w:tcW w:w="457" w:type="pct"/>
            <w:vAlign w:val="center"/>
          </w:tcPr>
          <w:p w14:paraId="36257611">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0.8km</w:t>
            </w:r>
          </w:p>
        </w:tc>
        <w:tc>
          <w:tcPr>
            <w:tcW w:w="382" w:type="pct"/>
            <w:vAlign w:val="center"/>
          </w:tcPr>
          <w:p w14:paraId="142DC24F">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3.9</w:t>
            </w:r>
          </w:p>
        </w:tc>
        <w:tc>
          <w:tcPr>
            <w:tcW w:w="458" w:type="pct"/>
            <w:vAlign w:val="center"/>
          </w:tcPr>
          <w:p w14:paraId="3A84079F">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244</w:t>
            </w:r>
          </w:p>
        </w:tc>
        <w:tc>
          <w:tcPr>
            <w:tcW w:w="439" w:type="pct"/>
            <w:vAlign w:val="center"/>
          </w:tcPr>
          <w:p w14:paraId="7CB82CCC">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sz w:val="21"/>
                <w:szCs w:val="21"/>
                <w:lang w:val="en-US" w:bidi="ar-SA"/>
                <w14:textFill>
                  <w14:solidFill>
                    <w14:schemeClr w14:val="tx1"/>
                  </w14:solidFill>
                </w14:textFill>
              </w:rPr>
              <w:t>/</w:t>
            </w:r>
          </w:p>
        </w:tc>
      </w:tr>
      <w:tr w14:paraId="03AB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9" w:type="pct"/>
            <w:vAlign w:val="center"/>
          </w:tcPr>
          <w:p w14:paraId="6E232131">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3</w:t>
            </w:r>
          </w:p>
        </w:tc>
        <w:tc>
          <w:tcPr>
            <w:tcW w:w="516" w:type="pct"/>
            <w:vAlign w:val="center"/>
          </w:tcPr>
          <w:p w14:paraId="54BD49C3">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龙27-5拉油点</w:t>
            </w:r>
          </w:p>
        </w:tc>
        <w:tc>
          <w:tcPr>
            <w:tcW w:w="610" w:type="pct"/>
            <w:vAlign w:val="center"/>
          </w:tcPr>
          <w:p w14:paraId="35363883">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龙27-斜6拉油点</w:t>
            </w:r>
          </w:p>
        </w:tc>
        <w:tc>
          <w:tcPr>
            <w:tcW w:w="688" w:type="pct"/>
            <w:vAlign w:val="center"/>
          </w:tcPr>
          <w:p w14:paraId="78EF19E7">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124.44735，46.32126</w:t>
            </w:r>
          </w:p>
        </w:tc>
        <w:tc>
          <w:tcPr>
            <w:tcW w:w="687" w:type="pct"/>
            <w:vAlign w:val="center"/>
          </w:tcPr>
          <w:p w14:paraId="70453F4F">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124.44149，46.32167</w:t>
            </w:r>
          </w:p>
        </w:tc>
        <w:tc>
          <w:tcPr>
            <w:tcW w:w="534" w:type="pct"/>
            <w:vAlign w:val="center"/>
          </w:tcPr>
          <w:p w14:paraId="7CC3AC81">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Φ60×3.5</w:t>
            </w:r>
          </w:p>
        </w:tc>
        <w:tc>
          <w:tcPr>
            <w:tcW w:w="457" w:type="pct"/>
            <w:vAlign w:val="center"/>
          </w:tcPr>
          <w:p w14:paraId="79BDDBED">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0.42km</w:t>
            </w:r>
          </w:p>
        </w:tc>
        <w:tc>
          <w:tcPr>
            <w:tcW w:w="382" w:type="pct"/>
            <w:vAlign w:val="center"/>
          </w:tcPr>
          <w:p w14:paraId="0DCB142E">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1.31</w:t>
            </w:r>
          </w:p>
        </w:tc>
        <w:tc>
          <w:tcPr>
            <w:tcW w:w="458" w:type="pct"/>
            <w:vAlign w:val="center"/>
          </w:tcPr>
          <w:p w14:paraId="42D1E1E2">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82</w:t>
            </w:r>
          </w:p>
        </w:tc>
        <w:tc>
          <w:tcPr>
            <w:tcW w:w="439" w:type="pct"/>
            <w:vAlign w:val="center"/>
          </w:tcPr>
          <w:p w14:paraId="28A43C59">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sz w:val="21"/>
                <w:szCs w:val="21"/>
                <w:lang w:val="en-US" w:bidi="ar-SA"/>
                <w14:textFill>
                  <w14:solidFill>
                    <w14:schemeClr w14:val="tx1"/>
                  </w14:solidFill>
                </w14:textFill>
              </w:rPr>
              <w:t>/</w:t>
            </w:r>
          </w:p>
        </w:tc>
      </w:tr>
      <w:tr w14:paraId="3073D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9" w:type="pct"/>
            <w:vAlign w:val="center"/>
          </w:tcPr>
          <w:p w14:paraId="55C83A71">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4</w:t>
            </w:r>
          </w:p>
        </w:tc>
        <w:tc>
          <w:tcPr>
            <w:tcW w:w="516" w:type="pct"/>
            <w:vAlign w:val="center"/>
          </w:tcPr>
          <w:p w14:paraId="7D76E633">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5号拉油点</w:t>
            </w:r>
          </w:p>
        </w:tc>
        <w:tc>
          <w:tcPr>
            <w:tcW w:w="610" w:type="pct"/>
            <w:vAlign w:val="center"/>
          </w:tcPr>
          <w:p w14:paraId="5C1C36E7">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汇合点1</w:t>
            </w:r>
          </w:p>
        </w:tc>
        <w:tc>
          <w:tcPr>
            <w:tcW w:w="688" w:type="pct"/>
            <w:vAlign w:val="center"/>
          </w:tcPr>
          <w:p w14:paraId="2B77AFCD">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124.40012，46.30974</w:t>
            </w:r>
          </w:p>
        </w:tc>
        <w:tc>
          <w:tcPr>
            <w:tcW w:w="687" w:type="pct"/>
            <w:vAlign w:val="center"/>
          </w:tcPr>
          <w:p w14:paraId="68E92F87">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124.40809，46.31041</w:t>
            </w:r>
          </w:p>
        </w:tc>
        <w:tc>
          <w:tcPr>
            <w:tcW w:w="534" w:type="pct"/>
            <w:vAlign w:val="center"/>
          </w:tcPr>
          <w:p w14:paraId="556A3AF9">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Φ60×3.5</w:t>
            </w:r>
          </w:p>
        </w:tc>
        <w:tc>
          <w:tcPr>
            <w:tcW w:w="457" w:type="pct"/>
            <w:vAlign w:val="center"/>
          </w:tcPr>
          <w:p w14:paraId="67653374">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0.65km</w:t>
            </w:r>
          </w:p>
        </w:tc>
        <w:tc>
          <w:tcPr>
            <w:tcW w:w="382" w:type="pct"/>
            <w:vAlign w:val="center"/>
          </w:tcPr>
          <w:p w14:paraId="30E14E41">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5.6</w:t>
            </w:r>
          </w:p>
        </w:tc>
        <w:tc>
          <w:tcPr>
            <w:tcW w:w="458" w:type="pct"/>
            <w:vAlign w:val="center"/>
          </w:tcPr>
          <w:p w14:paraId="4E83D7F3">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380</w:t>
            </w:r>
          </w:p>
        </w:tc>
        <w:tc>
          <w:tcPr>
            <w:tcW w:w="439" w:type="pct"/>
            <w:vAlign w:val="center"/>
          </w:tcPr>
          <w:p w14:paraId="425AE826">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sz w:val="21"/>
                <w:szCs w:val="21"/>
                <w:lang w:val="en-US" w:bidi="ar-SA"/>
                <w14:textFill>
                  <w14:solidFill>
                    <w14:schemeClr w14:val="tx1"/>
                  </w14:solidFill>
                </w14:textFill>
              </w:rPr>
              <w:t>/</w:t>
            </w:r>
          </w:p>
        </w:tc>
      </w:tr>
      <w:tr w14:paraId="2D9F1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9" w:type="pct"/>
            <w:vAlign w:val="center"/>
          </w:tcPr>
          <w:p w14:paraId="66143172">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5</w:t>
            </w:r>
          </w:p>
        </w:tc>
        <w:tc>
          <w:tcPr>
            <w:tcW w:w="516" w:type="pct"/>
            <w:vAlign w:val="center"/>
          </w:tcPr>
          <w:p w14:paraId="2FB9D129">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龙242-斜3拉油点</w:t>
            </w:r>
          </w:p>
        </w:tc>
        <w:tc>
          <w:tcPr>
            <w:tcW w:w="610" w:type="pct"/>
            <w:vAlign w:val="center"/>
          </w:tcPr>
          <w:p w14:paraId="79B726E2">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汇合点2</w:t>
            </w:r>
          </w:p>
        </w:tc>
        <w:tc>
          <w:tcPr>
            <w:tcW w:w="688" w:type="pct"/>
            <w:vAlign w:val="center"/>
          </w:tcPr>
          <w:p w14:paraId="0028DB36">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124.41468，46.30608</w:t>
            </w:r>
          </w:p>
        </w:tc>
        <w:tc>
          <w:tcPr>
            <w:tcW w:w="687" w:type="pct"/>
            <w:vAlign w:val="center"/>
          </w:tcPr>
          <w:p w14:paraId="78106DF8">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124.40879，46.30602</w:t>
            </w:r>
          </w:p>
        </w:tc>
        <w:tc>
          <w:tcPr>
            <w:tcW w:w="534" w:type="pct"/>
            <w:vAlign w:val="center"/>
          </w:tcPr>
          <w:p w14:paraId="0699D735">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Φ60×3.5</w:t>
            </w:r>
          </w:p>
        </w:tc>
        <w:tc>
          <w:tcPr>
            <w:tcW w:w="457" w:type="pct"/>
            <w:vAlign w:val="center"/>
          </w:tcPr>
          <w:p w14:paraId="56E1C067">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0.48km</w:t>
            </w:r>
          </w:p>
        </w:tc>
        <w:tc>
          <w:tcPr>
            <w:tcW w:w="382" w:type="pct"/>
            <w:vAlign w:val="center"/>
          </w:tcPr>
          <w:p w14:paraId="2E53EA55">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3.4</w:t>
            </w:r>
          </w:p>
        </w:tc>
        <w:tc>
          <w:tcPr>
            <w:tcW w:w="458" w:type="pct"/>
            <w:vAlign w:val="center"/>
          </w:tcPr>
          <w:p w14:paraId="645194AB">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247</w:t>
            </w:r>
          </w:p>
        </w:tc>
        <w:tc>
          <w:tcPr>
            <w:tcW w:w="439" w:type="pct"/>
            <w:vAlign w:val="center"/>
          </w:tcPr>
          <w:p w14:paraId="022EBB78">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2</w:t>
            </w:r>
            <w:r>
              <w:rPr>
                <w:rFonts w:hint="eastAsia" w:ascii="Times New Roman" w:hAnsi="Times New Roman" w:cs="Times New Roman" w:eastAsiaTheme="minorEastAsia"/>
                <w:bCs/>
                <w:color w:val="000000" w:themeColor="text1"/>
                <w:w w:val="99"/>
                <w:sz w:val="21"/>
                <w:szCs w:val="21"/>
                <w:lang w:val="en-US" w:bidi="ar-SA"/>
                <w14:textFill>
                  <w14:solidFill>
                    <w14:schemeClr w14:val="tx1"/>
                  </w14:solidFill>
                </w14:textFill>
              </w:rPr>
              <w:t>处井排路</w:t>
            </w:r>
          </w:p>
        </w:tc>
      </w:tr>
      <w:tr w14:paraId="07887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9" w:type="pct"/>
            <w:vAlign w:val="center"/>
          </w:tcPr>
          <w:p w14:paraId="4B9FDEB7">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6</w:t>
            </w:r>
          </w:p>
        </w:tc>
        <w:tc>
          <w:tcPr>
            <w:tcW w:w="516" w:type="pct"/>
            <w:vAlign w:val="center"/>
          </w:tcPr>
          <w:p w14:paraId="4F2FE414">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龙26-平54拉油点</w:t>
            </w:r>
          </w:p>
        </w:tc>
        <w:tc>
          <w:tcPr>
            <w:tcW w:w="610" w:type="pct"/>
            <w:vAlign w:val="center"/>
          </w:tcPr>
          <w:p w14:paraId="111387EA">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龙27-斜6拉油点4号平台</w:t>
            </w:r>
          </w:p>
        </w:tc>
        <w:tc>
          <w:tcPr>
            <w:tcW w:w="688" w:type="pct"/>
            <w:vAlign w:val="center"/>
          </w:tcPr>
          <w:p w14:paraId="37D36D43">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124.44692，46.30717</w:t>
            </w:r>
          </w:p>
        </w:tc>
        <w:tc>
          <w:tcPr>
            <w:tcW w:w="687" w:type="pct"/>
            <w:vAlign w:val="center"/>
          </w:tcPr>
          <w:p w14:paraId="23349717">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124.44296，46.31806</w:t>
            </w:r>
          </w:p>
        </w:tc>
        <w:tc>
          <w:tcPr>
            <w:tcW w:w="534" w:type="pct"/>
            <w:vAlign w:val="center"/>
          </w:tcPr>
          <w:p w14:paraId="7B4DA5AF">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Φ60×3.5</w:t>
            </w:r>
          </w:p>
        </w:tc>
        <w:tc>
          <w:tcPr>
            <w:tcW w:w="457" w:type="pct"/>
            <w:vAlign w:val="center"/>
          </w:tcPr>
          <w:p w14:paraId="6CDA2348">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0.88km</w:t>
            </w:r>
          </w:p>
        </w:tc>
        <w:tc>
          <w:tcPr>
            <w:tcW w:w="382" w:type="pct"/>
            <w:vAlign w:val="center"/>
          </w:tcPr>
          <w:p w14:paraId="1E12F740">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2.27</w:t>
            </w:r>
          </w:p>
        </w:tc>
        <w:tc>
          <w:tcPr>
            <w:tcW w:w="458" w:type="pct"/>
            <w:vAlign w:val="center"/>
          </w:tcPr>
          <w:p w14:paraId="58A40C3E">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176</w:t>
            </w:r>
          </w:p>
        </w:tc>
        <w:tc>
          <w:tcPr>
            <w:tcW w:w="439" w:type="pct"/>
            <w:vAlign w:val="center"/>
          </w:tcPr>
          <w:p w14:paraId="3D8D5A1F">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sz w:val="21"/>
                <w:szCs w:val="21"/>
                <w:lang w:val="en-US" w:bidi="ar-SA"/>
                <w14:textFill>
                  <w14:solidFill>
                    <w14:schemeClr w14:val="tx1"/>
                  </w14:solidFill>
                </w14:textFill>
              </w:rPr>
              <w:t>/</w:t>
            </w:r>
          </w:p>
        </w:tc>
      </w:tr>
      <w:tr w14:paraId="1831F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9" w:type="pct"/>
            <w:vAlign w:val="center"/>
          </w:tcPr>
          <w:p w14:paraId="18AF9100">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7</w:t>
            </w:r>
          </w:p>
        </w:tc>
        <w:tc>
          <w:tcPr>
            <w:tcW w:w="516" w:type="pct"/>
            <w:vAlign w:val="center"/>
          </w:tcPr>
          <w:p w14:paraId="225A7EF9">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龙27-斜6拉油点</w:t>
            </w:r>
          </w:p>
        </w:tc>
        <w:tc>
          <w:tcPr>
            <w:tcW w:w="610" w:type="pct"/>
            <w:vAlign w:val="center"/>
          </w:tcPr>
          <w:p w14:paraId="207D3A9C">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新建混输阀组间</w:t>
            </w:r>
          </w:p>
        </w:tc>
        <w:tc>
          <w:tcPr>
            <w:tcW w:w="688" w:type="pct"/>
            <w:vAlign w:val="center"/>
          </w:tcPr>
          <w:p w14:paraId="16884CF7">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124.44149，46.32167</w:t>
            </w:r>
          </w:p>
        </w:tc>
        <w:tc>
          <w:tcPr>
            <w:tcW w:w="687" w:type="pct"/>
            <w:vAlign w:val="center"/>
          </w:tcPr>
          <w:p w14:paraId="796FB8F7">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124.40464，46.31704</w:t>
            </w:r>
          </w:p>
        </w:tc>
        <w:tc>
          <w:tcPr>
            <w:tcW w:w="534" w:type="pct"/>
            <w:vAlign w:val="center"/>
          </w:tcPr>
          <w:p w14:paraId="04C5E55C">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Φ76×4.5</w:t>
            </w:r>
          </w:p>
        </w:tc>
        <w:tc>
          <w:tcPr>
            <w:tcW w:w="457" w:type="pct"/>
            <w:vAlign w:val="center"/>
          </w:tcPr>
          <w:p w14:paraId="36FCB82A">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3km</w:t>
            </w:r>
          </w:p>
        </w:tc>
        <w:tc>
          <w:tcPr>
            <w:tcW w:w="382" w:type="pct"/>
            <w:vAlign w:val="center"/>
          </w:tcPr>
          <w:p w14:paraId="688B5A66">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10.88</w:t>
            </w:r>
          </w:p>
        </w:tc>
        <w:tc>
          <w:tcPr>
            <w:tcW w:w="458" w:type="pct"/>
            <w:vAlign w:val="center"/>
          </w:tcPr>
          <w:p w14:paraId="4517E9E0">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843</w:t>
            </w:r>
          </w:p>
        </w:tc>
        <w:tc>
          <w:tcPr>
            <w:tcW w:w="439" w:type="pct"/>
            <w:vAlign w:val="center"/>
          </w:tcPr>
          <w:p w14:paraId="5D8E514F">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w:t>
            </w:r>
            <w:r>
              <w:rPr>
                <w:rFonts w:hint="eastAsia" w:ascii="Times New Roman" w:hAnsi="Times New Roman" w:cs="Times New Roman" w:eastAsiaTheme="minorEastAsia"/>
                <w:bCs/>
                <w:color w:val="000000" w:themeColor="text1"/>
                <w:w w:val="99"/>
                <w:sz w:val="21"/>
                <w:szCs w:val="21"/>
                <w:lang w:val="en-US" w:bidi="ar-SA"/>
                <w14:textFill>
                  <w14:solidFill>
                    <w14:schemeClr w14:val="tx1"/>
                  </w14:solidFill>
                </w14:textFill>
              </w:rPr>
              <w:t>处井排路</w:t>
            </w:r>
          </w:p>
        </w:tc>
      </w:tr>
      <w:tr w14:paraId="5663B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9" w:type="pct"/>
            <w:vAlign w:val="center"/>
          </w:tcPr>
          <w:p w14:paraId="4EE48F7B">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8</w:t>
            </w:r>
          </w:p>
        </w:tc>
        <w:tc>
          <w:tcPr>
            <w:tcW w:w="516" w:type="pct"/>
            <w:vAlign w:val="center"/>
          </w:tcPr>
          <w:p w14:paraId="31613CDF">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新建混输阀组间</w:t>
            </w:r>
          </w:p>
        </w:tc>
        <w:tc>
          <w:tcPr>
            <w:tcW w:w="610" w:type="pct"/>
            <w:vAlign w:val="center"/>
          </w:tcPr>
          <w:p w14:paraId="107DB822">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龙一联合站</w:t>
            </w:r>
          </w:p>
        </w:tc>
        <w:tc>
          <w:tcPr>
            <w:tcW w:w="688" w:type="pct"/>
            <w:vAlign w:val="center"/>
          </w:tcPr>
          <w:p w14:paraId="63F7B835">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124.40464，46.31704</w:t>
            </w:r>
          </w:p>
        </w:tc>
        <w:tc>
          <w:tcPr>
            <w:tcW w:w="687" w:type="pct"/>
            <w:vAlign w:val="center"/>
          </w:tcPr>
          <w:p w14:paraId="04771056">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124.43336，46.36303</w:t>
            </w:r>
          </w:p>
        </w:tc>
        <w:tc>
          <w:tcPr>
            <w:tcW w:w="534" w:type="pct"/>
            <w:vAlign w:val="center"/>
          </w:tcPr>
          <w:p w14:paraId="7A691305">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Φ168×5</w:t>
            </w:r>
          </w:p>
        </w:tc>
        <w:tc>
          <w:tcPr>
            <w:tcW w:w="457" w:type="pct"/>
            <w:vAlign w:val="center"/>
          </w:tcPr>
          <w:p w14:paraId="2C0BA91E">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7.35km</w:t>
            </w:r>
          </w:p>
        </w:tc>
        <w:tc>
          <w:tcPr>
            <w:tcW w:w="382" w:type="pct"/>
            <w:vAlign w:val="center"/>
          </w:tcPr>
          <w:p w14:paraId="1A969710">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sz w:val="21"/>
                <w:szCs w:val="21"/>
                <w:lang w:val="en-US" w:bidi="ar-SA"/>
                <w14:textFill>
                  <w14:solidFill>
                    <w14:schemeClr w14:val="tx1"/>
                  </w14:solidFill>
                </w14:textFill>
              </w:rPr>
              <w:t>6</w:t>
            </w: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9.2</w:t>
            </w:r>
          </w:p>
        </w:tc>
        <w:tc>
          <w:tcPr>
            <w:tcW w:w="458" w:type="pct"/>
            <w:vAlign w:val="center"/>
          </w:tcPr>
          <w:p w14:paraId="1E2E04DA">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sz w:val="21"/>
                <w:szCs w:val="21"/>
                <w:lang w:val="en-US" w:bidi="ar-SA"/>
                <w14:textFill>
                  <w14:solidFill>
                    <w14:schemeClr w14:val="tx1"/>
                  </w14:solidFill>
                </w14:textFill>
              </w:rPr>
              <w:t>3</w:t>
            </w: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935</w:t>
            </w:r>
          </w:p>
        </w:tc>
        <w:tc>
          <w:tcPr>
            <w:tcW w:w="439" w:type="pct"/>
            <w:vAlign w:val="center"/>
          </w:tcPr>
          <w:p w14:paraId="12738C6E">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sz w:val="21"/>
                <w:szCs w:val="21"/>
                <w:lang w:val="en-US" w:bidi="ar-SA"/>
                <w14:textFill>
                  <w14:solidFill>
                    <w14:schemeClr w14:val="tx1"/>
                  </w14:solidFill>
                </w14:textFill>
              </w:rPr>
              <w:t>1处3</w:t>
            </w: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11省道，9</w:t>
            </w:r>
            <w:r>
              <w:rPr>
                <w:rFonts w:hint="eastAsia" w:ascii="Times New Roman" w:hAnsi="Times New Roman" w:cs="Times New Roman" w:eastAsiaTheme="minorEastAsia"/>
                <w:bCs/>
                <w:color w:val="000000" w:themeColor="text1"/>
                <w:w w:val="99"/>
                <w:sz w:val="21"/>
                <w:szCs w:val="21"/>
                <w:lang w:val="en-US" w:bidi="ar-SA"/>
                <w14:textFill>
                  <w14:solidFill>
                    <w14:schemeClr w14:val="tx1"/>
                  </w14:solidFill>
                </w14:textFill>
              </w:rPr>
              <w:t>处井排路</w:t>
            </w:r>
          </w:p>
        </w:tc>
      </w:tr>
      <w:tr w14:paraId="70EEA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9" w:type="pct"/>
            <w:vAlign w:val="center"/>
          </w:tcPr>
          <w:p w14:paraId="4ABAD59C">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9</w:t>
            </w:r>
          </w:p>
        </w:tc>
        <w:tc>
          <w:tcPr>
            <w:tcW w:w="516" w:type="pct"/>
            <w:vAlign w:val="center"/>
          </w:tcPr>
          <w:p w14:paraId="7CA19643">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龙242-1拉油点</w:t>
            </w:r>
          </w:p>
        </w:tc>
        <w:tc>
          <w:tcPr>
            <w:tcW w:w="610" w:type="pct"/>
            <w:vAlign w:val="center"/>
          </w:tcPr>
          <w:p w14:paraId="1FF6D1D4">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汇合点3</w:t>
            </w:r>
          </w:p>
        </w:tc>
        <w:tc>
          <w:tcPr>
            <w:tcW w:w="688" w:type="pct"/>
            <w:vAlign w:val="center"/>
          </w:tcPr>
          <w:p w14:paraId="31A72F6A">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124.39744，46.30006</w:t>
            </w:r>
          </w:p>
        </w:tc>
        <w:tc>
          <w:tcPr>
            <w:tcW w:w="687" w:type="pct"/>
            <w:vAlign w:val="center"/>
          </w:tcPr>
          <w:p w14:paraId="18231119">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124.40910，46.30019</w:t>
            </w:r>
          </w:p>
        </w:tc>
        <w:tc>
          <w:tcPr>
            <w:tcW w:w="534" w:type="pct"/>
            <w:vAlign w:val="center"/>
          </w:tcPr>
          <w:p w14:paraId="5E0E8B50">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Φ60×3.5</w:t>
            </w:r>
          </w:p>
        </w:tc>
        <w:tc>
          <w:tcPr>
            <w:tcW w:w="457" w:type="pct"/>
            <w:vAlign w:val="center"/>
          </w:tcPr>
          <w:p w14:paraId="6F036961">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0.96km</w:t>
            </w:r>
          </w:p>
        </w:tc>
        <w:tc>
          <w:tcPr>
            <w:tcW w:w="382" w:type="pct"/>
            <w:vAlign w:val="center"/>
          </w:tcPr>
          <w:p w14:paraId="5D4366CF">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4.06</w:t>
            </w:r>
          </w:p>
        </w:tc>
        <w:tc>
          <w:tcPr>
            <w:tcW w:w="458" w:type="pct"/>
            <w:vAlign w:val="center"/>
          </w:tcPr>
          <w:p w14:paraId="7DCC0DDA">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295</w:t>
            </w:r>
          </w:p>
        </w:tc>
        <w:tc>
          <w:tcPr>
            <w:tcW w:w="439" w:type="pct"/>
            <w:vAlign w:val="center"/>
          </w:tcPr>
          <w:p w14:paraId="08C0D99F">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sz w:val="21"/>
                <w:szCs w:val="21"/>
                <w:lang w:val="en-US" w:bidi="ar-SA"/>
                <w14:textFill>
                  <w14:solidFill>
                    <w14:schemeClr w14:val="tx1"/>
                  </w14:solidFill>
                </w14:textFill>
              </w:rPr>
              <w:t>/</w:t>
            </w:r>
          </w:p>
        </w:tc>
      </w:tr>
      <w:tr w14:paraId="7F964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9" w:type="pct"/>
            <w:vAlign w:val="center"/>
          </w:tcPr>
          <w:p w14:paraId="0FBB15F8">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10</w:t>
            </w:r>
          </w:p>
        </w:tc>
        <w:tc>
          <w:tcPr>
            <w:tcW w:w="516" w:type="pct"/>
            <w:vAlign w:val="center"/>
          </w:tcPr>
          <w:p w14:paraId="174695A6">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8号拉油点</w:t>
            </w:r>
          </w:p>
        </w:tc>
        <w:tc>
          <w:tcPr>
            <w:tcW w:w="610" w:type="pct"/>
            <w:vAlign w:val="center"/>
          </w:tcPr>
          <w:p w14:paraId="56A10840">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汇合点4</w:t>
            </w:r>
          </w:p>
        </w:tc>
        <w:tc>
          <w:tcPr>
            <w:tcW w:w="688" w:type="pct"/>
            <w:vAlign w:val="center"/>
          </w:tcPr>
          <w:p w14:paraId="33BCB741">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124.39910，46.28915</w:t>
            </w:r>
          </w:p>
        </w:tc>
        <w:tc>
          <w:tcPr>
            <w:tcW w:w="687" w:type="pct"/>
            <w:vAlign w:val="center"/>
          </w:tcPr>
          <w:p w14:paraId="66006F6C">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124.40604，46.28765</w:t>
            </w:r>
          </w:p>
        </w:tc>
        <w:tc>
          <w:tcPr>
            <w:tcW w:w="534" w:type="pct"/>
            <w:vAlign w:val="center"/>
          </w:tcPr>
          <w:p w14:paraId="09E7D0E2">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Φ60×3.5</w:t>
            </w:r>
          </w:p>
        </w:tc>
        <w:tc>
          <w:tcPr>
            <w:tcW w:w="457" w:type="pct"/>
            <w:vAlign w:val="center"/>
          </w:tcPr>
          <w:p w14:paraId="1D451DD5">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0.55km</w:t>
            </w:r>
          </w:p>
        </w:tc>
        <w:tc>
          <w:tcPr>
            <w:tcW w:w="382" w:type="pct"/>
            <w:vAlign w:val="center"/>
          </w:tcPr>
          <w:p w14:paraId="61E137D6">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22.94</w:t>
            </w:r>
          </w:p>
        </w:tc>
        <w:tc>
          <w:tcPr>
            <w:tcW w:w="458" w:type="pct"/>
            <w:vAlign w:val="center"/>
          </w:tcPr>
          <w:p w14:paraId="1827E59C">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885</w:t>
            </w:r>
          </w:p>
        </w:tc>
        <w:tc>
          <w:tcPr>
            <w:tcW w:w="439" w:type="pct"/>
            <w:vAlign w:val="center"/>
          </w:tcPr>
          <w:p w14:paraId="0B2F5463">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sz w:val="21"/>
                <w:szCs w:val="21"/>
                <w:lang w:val="en-US" w:bidi="ar-SA"/>
                <w14:textFill>
                  <w14:solidFill>
                    <w14:schemeClr w14:val="tx1"/>
                  </w14:solidFill>
                </w14:textFill>
              </w:rPr>
              <w:t>/</w:t>
            </w:r>
          </w:p>
        </w:tc>
      </w:tr>
      <w:tr w14:paraId="0DFE5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9" w:type="pct"/>
            <w:vAlign w:val="center"/>
          </w:tcPr>
          <w:p w14:paraId="42917F8B">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11</w:t>
            </w:r>
          </w:p>
        </w:tc>
        <w:tc>
          <w:tcPr>
            <w:tcW w:w="516" w:type="pct"/>
            <w:vAlign w:val="center"/>
          </w:tcPr>
          <w:p w14:paraId="62D6D96D">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9号拉油点</w:t>
            </w:r>
          </w:p>
        </w:tc>
        <w:tc>
          <w:tcPr>
            <w:tcW w:w="610" w:type="pct"/>
            <w:vAlign w:val="center"/>
          </w:tcPr>
          <w:p w14:paraId="299BF344">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汇合点5</w:t>
            </w:r>
          </w:p>
        </w:tc>
        <w:tc>
          <w:tcPr>
            <w:tcW w:w="688" w:type="pct"/>
            <w:vAlign w:val="center"/>
          </w:tcPr>
          <w:p w14:paraId="474BC617">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124.41992，46.28454</w:t>
            </w:r>
          </w:p>
        </w:tc>
        <w:tc>
          <w:tcPr>
            <w:tcW w:w="687" w:type="pct"/>
            <w:vAlign w:val="center"/>
          </w:tcPr>
          <w:p w14:paraId="00D10D53">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124.40601，46.28751</w:t>
            </w:r>
          </w:p>
        </w:tc>
        <w:tc>
          <w:tcPr>
            <w:tcW w:w="534" w:type="pct"/>
            <w:vAlign w:val="center"/>
          </w:tcPr>
          <w:p w14:paraId="676013F2">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Φ60×3.5</w:t>
            </w:r>
          </w:p>
        </w:tc>
        <w:tc>
          <w:tcPr>
            <w:tcW w:w="457" w:type="pct"/>
            <w:vAlign w:val="center"/>
          </w:tcPr>
          <w:p w14:paraId="6BEA1396">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1.17km</w:t>
            </w:r>
          </w:p>
        </w:tc>
        <w:tc>
          <w:tcPr>
            <w:tcW w:w="382" w:type="pct"/>
            <w:vAlign w:val="center"/>
          </w:tcPr>
          <w:p w14:paraId="1AFC3849">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2.28</w:t>
            </w:r>
          </w:p>
        </w:tc>
        <w:tc>
          <w:tcPr>
            <w:tcW w:w="458" w:type="pct"/>
            <w:vAlign w:val="center"/>
          </w:tcPr>
          <w:p w14:paraId="590811E0">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155</w:t>
            </w:r>
          </w:p>
        </w:tc>
        <w:tc>
          <w:tcPr>
            <w:tcW w:w="439" w:type="pct"/>
            <w:vAlign w:val="center"/>
          </w:tcPr>
          <w:p w14:paraId="6E9345E0">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w:t>
            </w:r>
            <w:r>
              <w:rPr>
                <w:rFonts w:hint="eastAsia" w:ascii="Times New Roman" w:hAnsi="Times New Roman" w:cs="Times New Roman" w:eastAsiaTheme="minorEastAsia"/>
                <w:bCs/>
                <w:color w:val="000000" w:themeColor="text1"/>
                <w:w w:val="99"/>
                <w:sz w:val="21"/>
                <w:szCs w:val="21"/>
                <w:lang w:val="en-US" w:bidi="ar-SA"/>
                <w14:textFill>
                  <w14:solidFill>
                    <w14:schemeClr w14:val="tx1"/>
                  </w14:solidFill>
                </w14:textFill>
              </w:rPr>
              <w:t>处井排路</w:t>
            </w:r>
          </w:p>
        </w:tc>
      </w:tr>
      <w:tr w14:paraId="2C68C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9" w:type="pct"/>
            <w:vAlign w:val="center"/>
          </w:tcPr>
          <w:p w14:paraId="7189ABC2">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12</w:t>
            </w:r>
          </w:p>
        </w:tc>
        <w:tc>
          <w:tcPr>
            <w:tcW w:w="516" w:type="pct"/>
            <w:vAlign w:val="center"/>
          </w:tcPr>
          <w:p w14:paraId="498F2384">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 xml:space="preserve">汇合点5 </w:t>
            </w:r>
          </w:p>
        </w:tc>
        <w:tc>
          <w:tcPr>
            <w:tcW w:w="610" w:type="pct"/>
            <w:vAlign w:val="center"/>
          </w:tcPr>
          <w:p w14:paraId="76AD2BFF">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新建混输阀组间</w:t>
            </w:r>
          </w:p>
        </w:tc>
        <w:tc>
          <w:tcPr>
            <w:tcW w:w="688" w:type="pct"/>
            <w:vAlign w:val="center"/>
          </w:tcPr>
          <w:p w14:paraId="002B2AE5">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124.40601，46.28751</w:t>
            </w:r>
          </w:p>
        </w:tc>
        <w:tc>
          <w:tcPr>
            <w:tcW w:w="687" w:type="pct"/>
            <w:vAlign w:val="center"/>
          </w:tcPr>
          <w:p w14:paraId="5A99D0A7">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124.40464，46.31704</w:t>
            </w:r>
          </w:p>
        </w:tc>
        <w:tc>
          <w:tcPr>
            <w:tcW w:w="534" w:type="pct"/>
            <w:vAlign w:val="center"/>
          </w:tcPr>
          <w:p w14:paraId="13526A7A">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Φ89×4.5</w:t>
            </w:r>
          </w:p>
        </w:tc>
        <w:tc>
          <w:tcPr>
            <w:tcW w:w="457" w:type="pct"/>
            <w:vAlign w:val="center"/>
          </w:tcPr>
          <w:p w14:paraId="5BCB96E5">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3.96km</w:t>
            </w:r>
          </w:p>
        </w:tc>
        <w:tc>
          <w:tcPr>
            <w:tcW w:w="382" w:type="pct"/>
            <w:vAlign w:val="center"/>
          </w:tcPr>
          <w:p w14:paraId="68B67329">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sz w:val="21"/>
                <w:szCs w:val="21"/>
                <w:lang w:val="en-US" w:bidi="ar-SA"/>
                <w14:textFill>
                  <w14:solidFill>
                    <w14:schemeClr w14:val="tx1"/>
                  </w14:solidFill>
                </w14:textFill>
              </w:rPr>
              <w:t>3</w:t>
            </w: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8.28</w:t>
            </w:r>
          </w:p>
        </w:tc>
        <w:tc>
          <w:tcPr>
            <w:tcW w:w="458" w:type="pct"/>
            <w:vAlign w:val="center"/>
          </w:tcPr>
          <w:p w14:paraId="3A6CDACA">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sz w:val="21"/>
                <w:szCs w:val="21"/>
                <w:lang w:val="en-US" w:bidi="ar-SA"/>
                <w14:textFill>
                  <w14:solidFill>
                    <w14:schemeClr w14:val="tx1"/>
                  </w14:solidFill>
                </w14:textFill>
              </w:rPr>
              <w:t>19</w:t>
            </w: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62</w:t>
            </w:r>
          </w:p>
        </w:tc>
        <w:tc>
          <w:tcPr>
            <w:tcW w:w="439" w:type="pct"/>
            <w:vAlign w:val="center"/>
          </w:tcPr>
          <w:p w14:paraId="6BA453D2">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sz w:val="21"/>
                <w:szCs w:val="21"/>
                <w:lang w:val="en-US" w:bidi="ar-SA"/>
                <w14:textFill>
                  <w14:solidFill>
                    <w14:schemeClr w14:val="tx1"/>
                  </w14:solidFill>
                </w14:textFill>
              </w:rPr>
              <w:t>/</w:t>
            </w:r>
          </w:p>
        </w:tc>
      </w:tr>
    </w:tbl>
    <w:p w14:paraId="49D27F6B">
      <w:pPr>
        <w:spacing w:line="440" w:lineRule="exact"/>
        <w:outlineLvl w:val="3"/>
        <w:rPr>
          <w:rFonts w:ascii="Times New Roman" w:hAnsi="Times New Roman" w:cs="Times New Roman" w:eastAsiaTheme="minorEastAsia"/>
          <w:b/>
          <w:color w:val="000000" w:themeColor="text1"/>
          <w:w w:val="99"/>
          <w:sz w:val="24"/>
          <w:szCs w:val="24"/>
          <w:lang w:val="en-US"/>
          <w14:textFill>
            <w14:solidFill>
              <w14:schemeClr w14:val="tx1"/>
            </w14:solidFill>
          </w14:textFill>
        </w:rPr>
      </w:pPr>
      <w:r>
        <w:rPr>
          <w:rFonts w:ascii="Times New Roman" w:hAnsi="Times New Roman" w:cs="Times New Roman" w:eastAsiaTheme="minorEastAsia"/>
          <w:b/>
          <w:color w:val="000000" w:themeColor="text1"/>
          <w:w w:val="99"/>
          <w:sz w:val="24"/>
          <w:szCs w:val="24"/>
          <w:lang w:val="en-US"/>
          <w14:textFill>
            <w14:solidFill>
              <w14:schemeClr w14:val="tx1"/>
            </w14:solidFill>
          </w14:textFill>
        </w:rPr>
        <w:t>3.1.3.1临时工程</w:t>
      </w:r>
    </w:p>
    <w:p w14:paraId="2B6F0483">
      <w:pPr>
        <w:snapToGrid w:val="0"/>
        <w:spacing w:line="440" w:lineRule="exact"/>
        <w:ind w:firstLine="474" w:firstLineChars="200"/>
        <w:jc w:val="both"/>
        <w:rPr>
          <w:rFonts w:ascii="Times New Roman" w:hAnsi="Times New Roman" w:cs="Times New Roman" w:eastAsiaTheme="minorEastAsia"/>
          <w:bCs/>
          <w:color w:val="000000" w:themeColor="text1"/>
          <w:w w:val="99"/>
          <w:sz w:val="24"/>
          <w:lang w:val="en-US"/>
          <w14:textFill>
            <w14:solidFill>
              <w14:schemeClr w14:val="tx1"/>
            </w14:solidFill>
          </w14:textFill>
        </w:rPr>
      </w:pPr>
      <w:r>
        <w:rPr>
          <w:rFonts w:ascii="Times New Roman" w:hAnsi="Times New Roman" w:cs="Times New Roman" w:eastAsiaTheme="minorEastAsia"/>
          <w:bCs/>
          <w:color w:val="000000" w:themeColor="text1"/>
          <w:w w:val="99"/>
          <w:sz w:val="24"/>
          <w:lang w:val="en-US"/>
          <w14:textFill>
            <w14:solidFill>
              <w14:schemeClr w14:val="tx1"/>
            </w14:solidFill>
          </w14:textFill>
        </w:rPr>
        <w:t>拟建管线施工带一侧设置表土剥离临时存放区，用于暂存临时占地剥离的表土层，表土堆放设置挡板、上覆遮盖材料，施工结束后，全部回填用于植被恢复。</w:t>
      </w:r>
    </w:p>
    <w:p w14:paraId="5D0CEADB">
      <w:pPr>
        <w:spacing w:line="440" w:lineRule="exact"/>
        <w:outlineLvl w:val="3"/>
        <w:rPr>
          <w:rFonts w:ascii="Times New Roman" w:hAnsi="Times New Roman" w:cs="Times New Roman" w:eastAsiaTheme="minorEastAsia"/>
          <w:b/>
          <w:color w:val="000000" w:themeColor="text1"/>
          <w:w w:val="99"/>
          <w:sz w:val="24"/>
          <w:szCs w:val="24"/>
          <w:lang w:val="en-US"/>
          <w14:textFill>
            <w14:solidFill>
              <w14:schemeClr w14:val="tx1"/>
            </w14:solidFill>
          </w14:textFill>
        </w:rPr>
      </w:pPr>
      <w:r>
        <w:rPr>
          <w:rFonts w:ascii="Times New Roman" w:hAnsi="Times New Roman" w:cs="Times New Roman" w:eastAsiaTheme="minorEastAsia"/>
          <w:b/>
          <w:color w:val="000000" w:themeColor="text1"/>
          <w:w w:val="99"/>
          <w:sz w:val="24"/>
          <w:szCs w:val="24"/>
          <w:lang w:val="en-US"/>
          <w14:textFill>
            <w14:solidFill>
              <w14:schemeClr w14:val="tx1"/>
            </w14:solidFill>
          </w14:textFill>
        </w:rPr>
        <w:t>3.1.3.2工程占地及土石方情况</w:t>
      </w:r>
    </w:p>
    <w:p w14:paraId="539AC885">
      <w:pPr>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（1）工程占地</w:t>
      </w:r>
    </w:p>
    <w:p w14:paraId="740B84E8">
      <w:pPr>
        <w:spacing w:line="440" w:lineRule="exact"/>
        <w:ind w:firstLine="474" w:firstLineChars="200"/>
        <w:jc w:val="both"/>
        <w:rPr>
          <w:rFonts w:ascii="Times New Roman" w:hAnsi="Times New Roman" w:cs="Times New Roman" w:eastAsiaTheme="minorEastAsia"/>
          <w:color w:val="000000" w:themeColor="text1"/>
          <w:w w:val="99"/>
          <w:lang w:val="en-US"/>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本次工程占地情况主为管线施工临时占地，混输阀组间在17号拉油点永久占地内建设，柱上变电站在各拉油点永久占地内建设，电力线杆依托现有，均不新增永久占地。根据《黑龙江省湿地名录》（2022年），本项目不占用湿地，根据《大庆市土地利用总体规划》（2006-2020年），本工程临时占地类型为耕地（非基本农田）及草地（非基本草原），管线临时占地宽度为10m</w:t>
      </w:r>
      <w:r>
        <w:rPr>
          <w:rFonts w:hint="eastAsia" w:ascii="Times New Roman" w:hAnsi="Times New Roman" w:cs="Times New Roman" w:eastAsiaTheme="minorEastAsia"/>
          <w:color w:val="000000" w:themeColor="text1"/>
          <w:w w:val="99"/>
          <w:kern w:val="2"/>
          <w:sz w:val="24"/>
          <w:szCs w:val="24"/>
          <w:lang w:val="en-US" w:bidi="ar-SA"/>
          <w14:textFill>
            <w14:solidFill>
              <w14:schemeClr w14:val="tx1"/>
            </w14:solidFill>
          </w14:textFill>
        </w:rPr>
        <w:t>（含施工便道）</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。具体占地情况见表3.1-4。</w:t>
      </w:r>
    </w:p>
    <w:p w14:paraId="78F6BC60">
      <w:pPr>
        <w:spacing w:line="440" w:lineRule="exact"/>
        <w:ind w:firstLine="476" w:firstLineChars="200"/>
        <w:rPr>
          <w:rFonts w:ascii="Times New Roman" w:hAnsi="Times New Roman" w:cs="Times New Roman" w:eastAsiaTheme="minorEastAsia"/>
          <w:b/>
          <w:bCs/>
          <w:color w:val="000000" w:themeColor="text1"/>
          <w:w w:val="99"/>
          <w:sz w:val="24"/>
          <w:vertAlign w:val="superscript"/>
          <w14:textFill>
            <w14:solidFill>
              <w14:schemeClr w14:val="tx1"/>
            </w14:solidFill>
          </w14:textFill>
        </w:rPr>
      </w:pPr>
      <w:r>
        <w:rPr>
          <w:rFonts w:ascii="Times New Roman" w:hAnsi="Times New Roman" w:cs="Times New Roman" w:eastAsiaTheme="minorEastAsia"/>
          <w:b/>
          <w:bCs/>
          <w:color w:val="000000" w:themeColor="text1"/>
          <w:w w:val="99"/>
          <w:sz w:val="24"/>
          <w14:textFill>
            <w14:solidFill>
              <w14:schemeClr w14:val="tx1"/>
            </w14:solidFill>
          </w14:textFill>
        </w:rPr>
        <w:t>表3.</w:t>
      </w:r>
      <w:r>
        <w:rPr>
          <w:rFonts w:ascii="Times New Roman" w:hAnsi="Times New Roman" w:cs="Times New Roman" w:eastAsiaTheme="minorEastAsia"/>
          <w:b/>
          <w:bCs/>
          <w:color w:val="000000" w:themeColor="text1"/>
          <w:w w:val="99"/>
          <w:sz w:val="24"/>
          <w:lang w:val="en-US"/>
          <w14:textFill>
            <w14:solidFill>
              <w14:schemeClr w14:val="tx1"/>
            </w14:solidFill>
          </w14:textFill>
        </w:rPr>
        <w:t>1</w:t>
      </w:r>
      <w:r>
        <w:rPr>
          <w:rFonts w:ascii="Times New Roman" w:hAnsi="Times New Roman" w:cs="Times New Roman" w:eastAsiaTheme="minorEastAsia"/>
          <w:b/>
          <w:bCs/>
          <w:color w:val="000000" w:themeColor="text1"/>
          <w:w w:val="99"/>
          <w:sz w:val="24"/>
          <w14:textFill>
            <w14:solidFill>
              <w14:schemeClr w14:val="tx1"/>
            </w14:solidFill>
          </w14:textFill>
        </w:rPr>
        <w:t>-</w:t>
      </w:r>
      <w:r>
        <w:rPr>
          <w:rFonts w:ascii="Times New Roman" w:hAnsi="Times New Roman" w:cs="Times New Roman" w:eastAsiaTheme="minorEastAsia"/>
          <w:b/>
          <w:bCs/>
          <w:color w:val="000000" w:themeColor="text1"/>
          <w:w w:val="99"/>
          <w:sz w:val="24"/>
          <w:lang w:val="en-US"/>
          <w14:textFill>
            <w14:solidFill>
              <w14:schemeClr w14:val="tx1"/>
            </w14:solidFill>
          </w14:textFill>
        </w:rPr>
        <w:t xml:space="preserve">4   </w:t>
      </w:r>
      <w:r>
        <w:rPr>
          <w:rFonts w:ascii="Times New Roman" w:hAnsi="Times New Roman" w:cs="Times New Roman" w:eastAsiaTheme="minorEastAsia"/>
          <w:b/>
          <w:bCs/>
          <w:color w:val="000000" w:themeColor="text1"/>
          <w:w w:val="99"/>
          <w:sz w:val="24"/>
          <w14:textFill>
            <w14:solidFill>
              <w14:schemeClr w14:val="tx1"/>
            </w14:solidFill>
          </w14:textFill>
        </w:rPr>
        <w:t xml:space="preserve">    建设项目新增占地类型及面积表 </w:t>
      </w:r>
      <w:r>
        <w:rPr>
          <w:rFonts w:ascii="Times New Roman" w:hAnsi="Times New Roman" w:cs="Times New Roman" w:eastAsiaTheme="minorEastAsia"/>
          <w:b/>
          <w:bCs/>
          <w:color w:val="000000" w:themeColor="text1"/>
          <w:w w:val="99"/>
          <w:sz w:val="24"/>
          <w:lang w:val="en-US"/>
          <w14:textFill>
            <w14:solidFill>
              <w14:schemeClr w14:val="tx1"/>
            </w14:solidFill>
          </w14:textFill>
        </w:rPr>
        <w:t xml:space="preserve">    </w:t>
      </w:r>
      <w:r>
        <w:rPr>
          <w:rFonts w:ascii="Times New Roman" w:hAnsi="Times New Roman" w:cs="Times New Roman" w:eastAsiaTheme="minorEastAsia"/>
          <w:b/>
          <w:bCs/>
          <w:color w:val="000000" w:themeColor="text1"/>
          <w:w w:val="99"/>
          <w:sz w:val="24"/>
          <w14:textFill>
            <w14:solidFill>
              <w14:schemeClr w14:val="tx1"/>
            </w14:solidFill>
          </w14:textFill>
        </w:rPr>
        <w:t xml:space="preserve">    单位：hm</w:t>
      </w:r>
      <w:r>
        <w:rPr>
          <w:rFonts w:ascii="Times New Roman" w:hAnsi="Times New Roman" w:cs="Times New Roman" w:eastAsiaTheme="minorEastAsia"/>
          <w:b/>
          <w:bCs/>
          <w:color w:val="000000" w:themeColor="text1"/>
          <w:w w:val="99"/>
          <w:sz w:val="24"/>
          <w:vertAlign w:val="superscript"/>
          <w14:textFill>
            <w14:solidFill>
              <w14:schemeClr w14:val="tx1"/>
            </w14:solidFill>
          </w14:textFill>
        </w:rPr>
        <w:t>2</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16"/>
        <w:gridCol w:w="2735"/>
        <w:gridCol w:w="2739"/>
      </w:tblGrid>
      <w:tr w14:paraId="5DB9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1" w:hRule="atLeast"/>
          <w:tblHeader/>
          <w:jc w:val="center"/>
        </w:trPr>
        <w:tc>
          <w:tcPr>
            <w:tcW w:w="2054" w:type="pct"/>
            <w:vMerge w:val="restart"/>
            <w:tcBorders>
              <w:tl2br w:val="nil"/>
              <w:tr2bl w:val="nil"/>
            </w:tcBorders>
            <w:vAlign w:val="center"/>
          </w:tcPr>
          <w:p w14:paraId="2CA5B812">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建设内容</w:t>
            </w:r>
          </w:p>
        </w:tc>
        <w:tc>
          <w:tcPr>
            <w:tcW w:w="2946" w:type="pct"/>
            <w:gridSpan w:val="2"/>
            <w:tcBorders>
              <w:tl2br w:val="nil"/>
              <w:tr2bl w:val="nil"/>
            </w:tcBorders>
            <w:vAlign w:val="center"/>
          </w:tcPr>
          <w:p w14:paraId="6C93547E">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临时占地</w:t>
            </w:r>
          </w:p>
        </w:tc>
      </w:tr>
      <w:tr w14:paraId="6DA48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blHeader/>
          <w:jc w:val="center"/>
        </w:trPr>
        <w:tc>
          <w:tcPr>
            <w:tcW w:w="2054" w:type="pct"/>
            <w:vMerge w:val="continue"/>
            <w:tcBorders>
              <w:tl2br w:val="nil"/>
              <w:tr2bl w:val="nil"/>
            </w:tcBorders>
            <w:vAlign w:val="center"/>
          </w:tcPr>
          <w:p w14:paraId="28404E54">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p>
        </w:tc>
        <w:tc>
          <w:tcPr>
            <w:tcW w:w="1472" w:type="pct"/>
            <w:tcBorders>
              <w:tl2br w:val="nil"/>
              <w:tr2bl w:val="nil"/>
            </w:tcBorders>
            <w:vAlign w:val="center"/>
          </w:tcPr>
          <w:p w14:paraId="4609A250">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草地</w:t>
            </w:r>
          </w:p>
          <w:p w14:paraId="7AA4C0EF">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（非基本草原）</w:t>
            </w:r>
          </w:p>
        </w:tc>
        <w:tc>
          <w:tcPr>
            <w:tcW w:w="1474" w:type="pct"/>
            <w:tcBorders>
              <w:tl2br w:val="nil"/>
              <w:tr2bl w:val="nil"/>
            </w:tcBorders>
            <w:vAlign w:val="center"/>
          </w:tcPr>
          <w:p w14:paraId="1D8A83EB">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耕地</w:t>
            </w:r>
          </w:p>
          <w:p w14:paraId="65F381D8">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（非基本农田）</w:t>
            </w:r>
          </w:p>
        </w:tc>
      </w:tr>
      <w:tr w14:paraId="22B0D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2054" w:type="pct"/>
            <w:tcBorders>
              <w:tl2br w:val="nil"/>
              <w:tr2bl w:val="nil"/>
            </w:tcBorders>
            <w:vAlign w:val="center"/>
          </w:tcPr>
          <w:p w14:paraId="411306D8">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11号平台至龙一联合站</w:t>
            </w:r>
          </w:p>
        </w:tc>
        <w:tc>
          <w:tcPr>
            <w:tcW w:w="1472" w:type="pct"/>
            <w:tcBorders>
              <w:tl2br w:val="nil"/>
              <w:tr2bl w:val="nil"/>
            </w:tcBorders>
            <w:vAlign w:val="center"/>
          </w:tcPr>
          <w:p w14:paraId="11FA5886">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1</w:t>
            </w: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.81</w:t>
            </w:r>
          </w:p>
        </w:tc>
        <w:tc>
          <w:tcPr>
            <w:tcW w:w="1474" w:type="pct"/>
            <w:tcBorders>
              <w:tl2br w:val="nil"/>
              <w:tr2bl w:val="nil"/>
            </w:tcBorders>
            <w:vAlign w:val="center"/>
          </w:tcPr>
          <w:p w14:paraId="4C22CE2B">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1.34</w:t>
            </w:r>
          </w:p>
        </w:tc>
      </w:tr>
      <w:tr w14:paraId="149F1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2054" w:type="pct"/>
            <w:tcBorders>
              <w:tl2br w:val="nil"/>
              <w:tr2bl w:val="nil"/>
            </w:tcBorders>
            <w:vAlign w:val="center"/>
          </w:tcPr>
          <w:p w14:paraId="4573286C">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14:textFill>
                  <w14:solidFill>
                    <w14:schemeClr w14:val="tx1"/>
                  </w14:solidFill>
                </w14:textFill>
              </w:rPr>
              <w:t>龙27-1号拉油点1号平台至龙27-斜6拉油点</w:t>
            </w:r>
          </w:p>
        </w:tc>
        <w:tc>
          <w:tcPr>
            <w:tcW w:w="1472" w:type="pct"/>
            <w:tcBorders>
              <w:tl2br w:val="nil"/>
              <w:tr2bl w:val="nil"/>
            </w:tcBorders>
            <w:vAlign w:val="center"/>
          </w:tcPr>
          <w:p w14:paraId="6DE28648">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0</w:t>
            </w:r>
          </w:p>
        </w:tc>
        <w:tc>
          <w:tcPr>
            <w:tcW w:w="1474" w:type="pct"/>
            <w:tcBorders>
              <w:tl2br w:val="nil"/>
              <w:tr2bl w:val="nil"/>
            </w:tcBorders>
            <w:vAlign w:val="center"/>
          </w:tcPr>
          <w:p w14:paraId="26466A33">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0</w:t>
            </w: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.8</w:t>
            </w:r>
          </w:p>
        </w:tc>
      </w:tr>
      <w:tr w14:paraId="508F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2054" w:type="pct"/>
            <w:tcBorders>
              <w:tl2br w:val="nil"/>
              <w:tr2bl w:val="nil"/>
            </w:tcBorders>
            <w:vAlign w:val="center"/>
          </w:tcPr>
          <w:p w14:paraId="35A8F537">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14:textFill>
                  <w14:solidFill>
                    <w14:schemeClr w14:val="tx1"/>
                  </w14:solidFill>
                </w14:textFill>
              </w:rPr>
              <w:t>龙27-5拉油点至龙27-斜6拉油点</w:t>
            </w:r>
          </w:p>
        </w:tc>
        <w:tc>
          <w:tcPr>
            <w:tcW w:w="1472" w:type="pct"/>
            <w:tcBorders>
              <w:tl2br w:val="nil"/>
              <w:tr2bl w:val="nil"/>
            </w:tcBorders>
            <w:vAlign w:val="center"/>
          </w:tcPr>
          <w:p w14:paraId="2DD40F61">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0</w:t>
            </w:r>
          </w:p>
        </w:tc>
        <w:tc>
          <w:tcPr>
            <w:tcW w:w="1474" w:type="pct"/>
            <w:tcBorders>
              <w:tl2br w:val="nil"/>
              <w:tr2bl w:val="nil"/>
            </w:tcBorders>
            <w:vAlign w:val="center"/>
          </w:tcPr>
          <w:p w14:paraId="3B5ED242">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0</w:t>
            </w: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.42</w:t>
            </w:r>
          </w:p>
        </w:tc>
      </w:tr>
      <w:tr w14:paraId="2EEA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2054" w:type="pct"/>
            <w:tcBorders>
              <w:tl2br w:val="nil"/>
              <w:tr2bl w:val="nil"/>
            </w:tcBorders>
            <w:vAlign w:val="center"/>
          </w:tcPr>
          <w:p w14:paraId="0B9B0033">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14:textFill>
                  <w14:solidFill>
                    <w14:schemeClr w14:val="tx1"/>
                  </w14:solidFill>
                </w14:textFill>
              </w:rPr>
              <w:t>5号拉油点至汇合点1</w:t>
            </w:r>
          </w:p>
        </w:tc>
        <w:tc>
          <w:tcPr>
            <w:tcW w:w="1472" w:type="pct"/>
            <w:tcBorders>
              <w:tl2br w:val="nil"/>
              <w:tr2bl w:val="nil"/>
            </w:tcBorders>
            <w:vAlign w:val="center"/>
          </w:tcPr>
          <w:p w14:paraId="546359BA">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0</w:t>
            </w:r>
          </w:p>
        </w:tc>
        <w:tc>
          <w:tcPr>
            <w:tcW w:w="1474" w:type="pct"/>
            <w:tcBorders>
              <w:tl2br w:val="nil"/>
              <w:tr2bl w:val="nil"/>
            </w:tcBorders>
            <w:vAlign w:val="center"/>
          </w:tcPr>
          <w:p w14:paraId="02760D11">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0</w:t>
            </w: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.65</w:t>
            </w:r>
          </w:p>
        </w:tc>
      </w:tr>
      <w:tr w14:paraId="5AE01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2054" w:type="pct"/>
            <w:tcBorders>
              <w:tl2br w:val="nil"/>
              <w:tr2bl w:val="nil"/>
            </w:tcBorders>
            <w:vAlign w:val="center"/>
          </w:tcPr>
          <w:p w14:paraId="08454924">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14:textFill>
                  <w14:solidFill>
                    <w14:schemeClr w14:val="tx1"/>
                  </w14:solidFill>
                </w14:textFill>
              </w:rPr>
              <w:t>龙242-斜3拉油点至汇合点2</w:t>
            </w:r>
          </w:p>
        </w:tc>
        <w:tc>
          <w:tcPr>
            <w:tcW w:w="1472" w:type="pct"/>
            <w:tcBorders>
              <w:tl2br w:val="nil"/>
              <w:tr2bl w:val="nil"/>
            </w:tcBorders>
            <w:vAlign w:val="center"/>
          </w:tcPr>
          <w:p w14:paraId="6513AF03">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0</w:t>
            </w:r>
          </w:p>
        </w:tc>
        <w:tc>
          <w:tcPr>
            <w:tcW w:w="1474" w:type="pct"/>
            <w:tcBorders>
              <w:tl2br w:val="nil"/>
              <w:tr2bl w:val="nil"/>
            </w:tcBorders>
            <w:vAlign w:val="center"/>
          </w:tcPr>
          <w:p w14:paraId="3F2DE420">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0</w:t>
            </w: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.48</w:t>
            </w:r>
          </w:p>
        </w:tc>
      </w:tr>
      <w:tr w14:paraId="2C48B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2054" w:type="pct"/>
            <w:tcBorders>
              <w:tl2br w:val="nil"/>
              <w:tr2bl w:val="nil"/>
            </w:tcBorders>
            <w:vAlign w:val="center"/>
          </w:tcPr>
          <w:p w14:paraId="61CFFEAA">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14:textFill>
                  <w14:solidFill>
                    <w14:schemeClr w14:val="tx1"/>
                  </w14:solidFill>
                </w14:textFill>
              </w:rPr>
              <w:t>龙26-平54拉油点至龙27-斜6拉油点4号平台</w:t>
            </w:r>
          </w:p>
        </w:tc>
        <w:tc>
          <w:tcPr>
            <w:tcW w:w="1472" w:type="pct"/>
            <w:tcBorders>
              <w:tl2br w:val="nil"/>
              <w:tr2bl w:val="nil"/>
            </w:tcBorders>
            <w:vAlign w:val="center"/>
          </w:tcPr>
          <w:p w14:paraId="0369AF1B">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0</w:t>
            </w: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.78</w:t>
            </w:r>
          </w:p>
        </w:tc>
        <w:tc>
          <w:tcPr>
            <w:tcW w:w="1474" w:type="pct"/>
            <w:tcBorders>
              <w:tl2br w:val="nil"/>
              <w:tr2bl w:val="nil"/>
            </w:tcBorders>
            <w:vAlign w:val="center"/>
          </w:tcPr>
          <w:p w14:paraId="086F4F24">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0</w:t>
            </w: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.1</w:t>
            </w:r>
          </w:p>
        </w:tc>
      </w:tr>
      <w:tr w14:paraId="079AC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2054" w:type="pct"/>
            <w:tcBorders>
              <w:tl2br w:val="nil"/>
              <w:tr2bl w:val="nil"/>
            </w:tcBorders>
            <w:vAlign w:val="center"/>
          </w:tcPr>
          <w:p w14:paraId="7C8E85CB">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14:textFill>
                  <w14:solidFill>
                    <w14:schemeClr w14:val="tx1"/>
                  </w14:solidFill>
                </w14:textFill>
              </w:rPr>
              <w:t>龙27-斜6拉油点至混输阀组间</w:t>
            </w:r>
          </w:p>
        </w:tc>
        <w:tc>
          <w:tcPr>
            <w:tcW w:w="1472" w:type="pct"/>
            <w:tcBorders>
              <w:tl2br w:val="nil"/>
              <w:tr2bl w:val="nil"/>
            </w:tcBorders>
            <w:vAlign w:val="center"/>
          </w:tcPr>
          <w:p w14:paraId="02AFC485">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0</w:t>
            </w: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.89</w:t>
            </w:r>
          </w:p>
        </w:tc>
        <w:tc>
          <w:tcPr>
            <w:tcW w:w="1474" w:type="pct"/>
            <w:tcBorders>
              <w:tl2br w:val="nil"/>
              <w:tr2bl w:val="nil"/>
            </w:tcBorders>
            <w:vAlign w:val="center"/>
          </w:tcPr>
          <w:p w14:paraId="2C12DAE4">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2</w:t>
            </w: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.11</w:t>
            </w:r>
          </w:p>
        </w:tc>
      </w:tr>
      <w:tr w14:paraId="2BDBA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2054" w:type="pct"/>
            <w:tcBorders>
              <w:tl2br w:val="nil"/>
              <w:tr2bl w:val="nil"/>
            </w:tcBorders>
            <w:vAlign w:val="center"/>
          </w:tcPr>
          <w:p w14:paraId="2768F0AB">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14:textFill>
                  <w14:solidFill>
                    <w14:schemeClr w14:val="tx1"/>
                  </w14:solidFill>
                </w14:textFill>
              </w:rPr>
              <w:t>混输阀组间至龙一联合站</w:t>
            </w:r>
          </w:p>
        </w:tc>
        <w:tc>
          <w:tcPr>
            <w:tcW w:w="1472" w:type="pct"/>
            <w:tcBorders>
              <w:tl2br w:val="nil"/>
              <w:tr2bl w:val="nil"/>
            </w:tcBorders>
            <w:vAlign w:val="center"/>
          </w:tcPr>
          <w:p w14:paraId="7FE5A430">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3</w:t>
            </w: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.49</w:t>
            </w:r>
          </w:p>
        </w:tc>
        <w:tc>
          <w:tcPr>
            <w:tcW w:w="1474" w:type="pct"/>
            <w:tcBorders>
              <w:tl2br w:val="nil"/>
              <w:tr2bl w:val="nil"/>
            </w:tcBorders>
            <w:vAlign w:val="center"/>
          </w:tcPr>
          <w:p w14:paraId="27D8BE00">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3.86</w:t>
            </w:r>
          </w:p>
        </w:tc>
      </w:tr>
      <w:tr w14:paraId="6425A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2054" w:type="pct"/>
            <w:tcBorders>
              <w:tl2br w:val="nil"/>
              <w:tr2bl w:val="nil"/>
            </w:tcBorders>
            <w:vAlign w:val="center"/>
          </w:tcPr>
          <w:p w14:paraId="25892628">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14:textFill>
                  <w14:solidFill>
                    <w14:schemeClr w14:val="tx1"/>
                  </w14:solidFill>
                </w14:textFill>
              </w:rPr>
              <w:t>龙242-1拉油点至汇合点3</w:t>
            </w:r>
          </w:p>
        </w:tc>
        <w:tc>
          <w:tcPr>
            <w:tcW w:w="1472" w:type="pct"/>
            <w:tcBorders>
              <w:tl2br w:val="nil"/>
              <w:tr2bl w:val="nil"/>
            </w:tcBorders>
            <w:vAlign w:val="center"/>
          </w:tcPr>
          <w:p w14:paraId="19898CBF">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0</w:t>
            </w:r>
          </w:p>
        </w:tc>
        <w:tc>
          <w:tcPr>
            <w:tcW w:w="1474" w:type="pct"/>
            <w:tcBorders>
              <w:tl2br w:val="nil"/>
              <w:tr2bl w:val="nil"/>
            </w:tcBorders>
            <w:vAlign w:val="center"/>
          </w:tcPr>
          <w:p w14:paraId="4CE9486A">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0</w:t>
            </w: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.96</w:t>
            </w:r>
          </w:p>
        </w:tc>
      </w:tr>
      <w:tr w14:paraId="51D3C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2054" w:type="pct"/>
            <w:tcBorders>
              <w:tl2br w:val="nil"/>
              <w:tr2bl w:val="nil"/>
            </w:tcBorders>
            <w:vAlign w:val="center"/>
          </w:tcPr>
          <w:p w14:paraId="12ED5CF4">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14:textFill>
                  <w14:solidFill>
                    <w14:schemeClr w14:val="tx1"/>
                  </w14:solidFill>
                </w14:textFill>
              </w:rPr>
              <w:t>8号拉油点至汇合点4</w:t>
            </w:r>
          </w:p>
        </w:tc>
        <w:tc>
          <w:tcPr>
            <w:tcW w:w="1472" w:type="pct"/>
            <w:tcBorders>
              <w:tl2br w:val="nil"/>
              <w:tr2bl w:val="nil"/>
            </w:tcBorders>
            <w:vAlign w:val="center"/>
          </w:tcPr>
          <w:p w14:paraId="3713C2B3">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0</w:t>
            </w: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.55</w:t>
            </w:r>
          </w:p>
        </w:tc>
        <w:tc>
          <w:tcPr>
            <w:tcW w:w="1474" w:type="pct"/>
            <w:tcBorders>
              <w:tl2br w:val="nil"/>
              <w:tr2bl w:val="nil"/>
            </w:tcBorders>
            <w:vAlign w:val="center"/>
          </w:tcPr>
          <w:p w14:paraId="0C212080">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0</w:t>
            </w:r>
          </w:p>
        </w:tc>
      </w:tr>
      <w:tr w14:paraId="21713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2054" w:type="pct"/>
            <w:tcBorders>
              <w:tl2br w:val="nil"/>
              <w:tr2bl w:val="nil"/>
            </w:tcBorders>
            <w:vAlign w:val="center"/>
          </w:tcPr>
          <w:p w14:paraId="4560D993">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14:textFill>
                  <w14:solidFill>
                    <w14:schemeClr w14:val="tx1"/>
                  </w14:solidFill>
                </w14:textFill>
              </w:rPr>
              <w:t>9号拉油点至汇合点5</w:t>
            </w:r>
          </w:p>
        </w:tc>
        <w:tc>
          <w:tcPr>
            <w:tcW w:w="1472" w:type="pct"/>
            <w:tcBorders>
              <w:tl2br w:val="nil"/>
              <w:tr2bl w:val="nil"/>
            </w:tcBorders>
            <w:vAlign w:val="center"/>
          </w:tcPr>
          <w:p w14:paraId="2F87C17B">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1.17</w:t>
            </w:r>
          </w:p>
        </w:tc>
        <w:tc>
          <w:tcPr>
            <w:tcW w:w="1474" w:type="pct"/>
            <w:tcBorders>
              <w:tl2br w:val="nil"/>
              <w:tr2bl w:val="nil"/>
            </w:tcBorders>
            <w:vAlign w:val="center"/>
          </w:tcPr>
          <w:p w14:paraId="061666CD">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0</w:t>
            </w:r>
          </w:p>
        </w:tc>
      </w:tr>
      <w:tr w14:paraId="2C300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2054" w:type="pct"/>
            <w:tcBorders>
              <w:tl2br w:val="nil"/>
              <w:tr2bl w:val="nil"/>
            </w:tcBorders>
            <w:vAlign w:val="center"/>
          </w:tcPr>
          <w:p w14:paraId="0FE4685F">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14:textFill>
                  <w14:solidFill>
                    <w14:schemeClr w14:val="tx1"/>
                  </w14:solidFill>
                </w14:textFill>
              </w:rPr>
              <w:t>汇合点5至新建混输阀组间</w:t>
            </w:r>
          </w:p>
        </w:tc>
        <w:tc>
          <w:tcPr>
            <w:tcW w:w="1472" w:type="pct"/>
            <w:tcBorders>
              <w:tl2br w:val="nil"/>
              <w:tr2bl w:val="nil"/>
            </w:tcBorders>
            <w:vAlign w:val="center"/>
          </w:tcPr>
          <w:p w14:paraId="4884CB78">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0.67</w:t>
            </w:r>
          </w:p>
        </w:tc>
        <w:tc>
          <w:tcPr>
            <w:tcW w:w="1474" w:type="pct"/>
            <w:tcBorders>
              <w:tl2br w:val="nil"/>
              <w:tr2bl w:val="nil"/>
            </w:tcBorders>
            <w:vAlign w:val="center"/>
          </w:tcPr>
          <w:p w14:paraId="297E94F5">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3.29</w:t>
            </w:r>
          </w:p>
        </w:tc>
      </w:tr>
      <w:tr w14:paraId="3F249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2054" w:type="pct"/>
            <w:tcBorders>
              <w:tl2br w:val="nil"/>
              <w:tr2bl w:val="nil"/>
            </w:tcBorders>
            <w:vAlign w:val="center"/>
          </w:tcPr>
          <w:p w14:paraId="0C9A85E5">
            <w:pPr>
              <w:spacing w:line="360" w:lineRule="exact"/>
              <w:jc w:val="center"/>
              <w:rPr>
                <w:rFonts w:ascii="Times New Roman" w:hAnsi="Times New Roman" w:cs="Times New Roman" w:eastAsiaTheme="minorEastAsia"/>
                <w:snapToGrid w:val="0"/>
                <w:color w:val="000000" w:themeColor="text1"/>
                <w:w w:val="99"/>
                <w:sz w:val="21"/>
                <w:szCs w:val="21"/>
                <w:lang w:val="en-US"/>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14:textFill>
                  <w14:solidFill>
                    <w14:schemeClr w14:val="tx1"/>
                  </w14:solidFill>
                </w14:textFill>
              </w:rPr>
              <w:t>小计</w:t>
            </w:r>
          </w:p>
        </w:tc>
        <w:tc>
          <w:tcPr>
            <w:tcW w:w="1472" w:type="pct"/>
            <w:tcBorders>
              <w:tl2br w:val="nil"/>
              <w:tr2bl w:val="nil"/>
            </w:tcBorders>
            <w:vAlign w:val="center"/>
          </w:tcPr>
          <w:p w14:paraId="1F0F4C87">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9.36</w:t>
            </w:r>
          </w:p>
        </w:tc>
        <w:tc>
          <w:tcPr>
            <w:tcW w:w="1474" w:type="pct"/>
            <w:tcBorders>
              <w:tl2br w:val="nil"/>
              <w:tr2bl w:val="nil"/>
            </w:tcBorders>
            <w:vAlign w:val="center"/>
          </w:tcPr>
          <w:p w14:paraId="28F7A293">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14.01</w:t>
            </w:r>
          </w:p>
        </w:tc>
      </w:tr>
      <w:tr w14:paraId="49D5B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2054" w:type="pct"/>
            <w:tcBorders>
              <w:tl2br w:val="nil"/>
              <w:tr2bl w:val="nil"/>
            </w:tcBorders>
            <w:vAlign w:val="center"/>
          </w:tcPr>
          <w:p w14:paraId="44916A61">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总计</w:t>
            </w:r>
          </w:p>
        </w:tc>
        <w:tc>
          <w:tcPr>
            <w:tcW w:w="2946" w:type="pct"/>
            <w:gridSpan w:val="2"/>
            <w:tcBorders>
              <w:tl2br w:val="nil"/>
              <w:tr2bl w:val="nil"/>
            </w:tcBorders>
            <w:vAlign w:val="center"/>
          </w:tcPr>
          <w:p w14:paraId="19AAD5B8">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2</w:t>
            </w: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3.37</w:t>
            </w:r>
          </w:p>
        </w:tc>
      </w:tr>
    </w:tbl>
    <w:p w14:paraId="64BCC3CA">
      <w:pPr>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（2）土石方工程</w:t>
      </w:r>
    </w:p>
    <w:p w14:paraId="38AFFA58">
      <w:pPr>
        <w:spacing w:line="440" w:lineRule="exact"/>
        <w:ind w:firstLine="474" w:firstLineChars="200"/>
        <w:jc w:val="both"/>
        <w:rPr>
          <w:rFonts w:ascii="Times New Roman" w:hAnsi="Times New Roman" w:cs="Times New Roman" w:eastAsiaTheme="minorEastAsia"/>
          <w:bCs/>
          <w:color w:val="000000" w:themeColor="text1"/>
          <w:w w:val="99"/>
          <w:sz w:val="24"/>
          <w:szCs w:val="20"/>
          <w:lang w:val="en-US"/>
          <w14:textFill>
            <w14:solidFill>
              <w14:schemeClr w14:val="tx1"/>
            </w14:solidFill>
          </w14:textFill>
        </w:rPr>
      </w:pPr>
      <w:r>
        <w:rPr>
          <w:rFonts w:ascii="Times New Roman" w:hAnsi="Times New Roman" w:cs="Times New Roman" w:eastAsiaTheme="minorEastAsia"/>
          <w:bCs/>
          <w:color w:val="000000" w:themeColor="text1"/>
          <w:w w:val="99"/>
          <w:sz w:val="24"/>
          <w:szCs w:val="20"/>
          <w:lang w:val="en-US"/>
          <w14:textFill>
            <w14:solidFill>
              <w14:schemeClr w14:val="tx1"/>
            </w14:solidFill>
          </w14:textFill>
        </w:rPr>
        <w:t>本工程管线施工土方能够挖填方平衡，无取弃土。按照生态保护措施要求，对临时占地表土进行剥离，表土单独存放，剥离高度0.3m，</w:t>
      </w:r>
      <w:r>
        <w:rPr>
          <w:rFonts w:hint="eastAsia" w:ascii="Times New Roman" w:hAnsi="Times New Roman" w:cs="Times New Roman" w:eastAsiaTheme="minorEastAsia"/>
          <w:bCs/>
          <w:color w:val="000000" w:themeColor="text1"/>
          <w:w w:val="99"/>
          <w:sz w:val="24"/>
          <w:szCs w:val="20"/>
          <w:lang w:val="en-US"/>
          <w14:textFill>
            <w14:solidFill>
              <w14:schemeClr w14:val="tx1"/>
            </w14:solidFill>
          </w14:textFill>
        </w:rPr>
        <w:t>在管沟土方一侧沿沟集中堆存，</w:t>
      </w:r>
      <w:r>
        <w:rPr>
          <w:rFonts w:ascii="Times New Roman" w:hAnsi="Times New Roman" w:cs="Times New Roman" w:eastAsiaTheme="minorEastAsia"/>
          <w:bCs/>
          <w:color w:val="000000" w:themeColor="text1"/>
          <w:w w:val="99"/>
          <w:sz w:val="24"/>
          <w:szCs w:val="20"/>
          <w:lang w:val="en-US"/>
          <w14:textFill>
            <w14:solidFill>
              <w14:schemeClr w14:val="tx1"/>
            </w14:solidFill>
          </w14:textFill>
        </w:rPr>
        <w:t>对管沟分层开挖，反序回填，并覆盖遮挡，管线埋深2m，管线上部开挖宽度2.0m，底部0.8m，施工结束后及时恢复植被。建设项目土石方情况见表3.1-5。</w:t>
      </w:r>
    </w:p>
    <w:p w14:paraId="5223D344">
      <w:pPr>
        <w:keepNext/>
        <w:keepLines/>
        <w:spacing w:line="440" w:lineRule="exact"/>
        <w:ind w:firstLine="476" w:firstLineChars="200"/>
        <w:jc w:val="both"/>
        <w:rPr>
          <w:rFonts w:ascii="Times New Roman" w:hAnsi="Times New Roman" w:cs="Times New Roman" w:eastAsiaTheme="minorEastAsia"/>
          <w:b/>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
          <w:bCs/>
          <w:color w:val="000000" w:themeColor="text1"/>
          <w:w w:val="99"/>
          <w:sz w:val="24"/>
          <w:szCs w:val="24"/>
          <w:lang w:val="en-US" w:bidi="ar-SA"/>
          <w14:textFill>
            <w14:solidFill>
              <w14:schemeClr w14:val="tx1"/>
            </w14:solidFill>
          </w14:textFill>
        </w:rPr>
        <w:t>表3.1-5        建设项目土石方情况         单位：m</w:t>
      </w:r>
      <w:r>
        <w:rPr>
          <w:rFonts w:ascii="Times New Roman" w:hAnsi="Times New Roman" w:cs="Times New Roman" w:eastAsiaTheme="minorEastAsia"/>
          <w:b/>
          <w:bCs/>
          <w:color w:val="000000" w:themeColor="text1"/>
          <w:w w:val="99"/>
          <w:sz w:val="24"/>
          <w:szCs w:val="24"/>
          <w:vertAlign w:val="superscript"/>
          <w:lang w:val="en-US" w:bidi="ar-SA"/>
          <w14:textFill>
            <w14:solidFill>
              <w14:schemeClr w14:val="tx1"/>
            </w14:solidFill>
          </w14:textFill>
        </w:rPr>
        <w:t>3</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2"/>
        <w:gridCol w:w="1161"/>
        <w:gridCol w:w="1306"/>
        <w:gridCol w:w="1306"/>
        <w:gridCol w:w="1180"/>
        <w:gridCol w:w="2745"/>
      </w:tblGrid>
      <w:tr w14:paraId="493B1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857" w:type="pct"/>
            <w:tcBorders>
              <w:tl2br w:val="nil"/>
              <w:tr2bl w:val="nil"/>
            </w:tcBorders>
            <w:vAlign w:val="center"/>
          </w:tcPr>
          <w:p w14:paraId="436CB49D">
            <w:pPr>
              <w:autoSpaceDE/>
              <w:autoSpaceDN/>
              <w:spacing w:line="360" w:lineRule="exact"/>
              <w:jc w:val="cente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t>类别</w:t>
            </w:r>
          </w:p>
        </w:tc>
        <w:tc>
          <w:tcPr>
            <w:tcW w:w="625" w:type="pct"/>
            <w:tcBorders>
              <w:tl2br w:val="nil"/>
              <w:tr2bl w:val="nil"/>
            </w:tcBorders>
            <w:vAlign w:val="center"/>
          </w:tcPr>
          <w:p w14:paraId="3C59CDDE">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挖方量</w:t>
            </w:r>
          </w:p>
        </w:tc>
        <w:tc>
          <w:tcPr>
            <w:tcW w:w="703" w:type="pct"/>
            <w:tcBorders>
              <w:tl2br w:val="nil"/>
              <w:tr2bl w:val="nil"/>
            </w:tcBorders>
            <w:vAlign w:val="center"/>
          </w:tcPr>
          <w:p w14:paraId="5C3B8787">
            <w:pPr>
              <w:autoSpaceDE/>
              <w:autoSpaceDN/>
              <w:spacing w:line="360" w:lineRule="exact"/>
              <w:jc w:val="cente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t>填方量</w:t>
            </w:r>
          </w:p>
        </w:tc>
        <w:tc>
          <w:tcPr>
            <w:tcW w:w="703" w:type="pct"/>
            <w:tcBorders>
              <w:tl2br w:val="nil"/>
              <w:tr2bl w:val="nil"/>
            </w:tcBorders>
            <w:vAlign w:val="center"/>
          </w:tcPr>
          <w:p w14:paraId="72CB23A0">
            <w:pPr>
              <w:autoSpaceDE/>
              <w:autoSpaceDN/>
              <w:spacing w:line="360" w:lineRule="exact"/>
              <w:jc w:val="cente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t>取方量</w:t>
            </w:r>
          </w:p>
        </w:tc>
        <w:tc>
          <w:tcPr>
            <w:tcW w:w="635" w:type="pct"/>
            <w:tcBorders>
              <w:tl2br w:val="nil"/>
              <w:tr2bl w:val="nil"/>
            </w:tcBorders>
            <w:vAlign w:val="center"/>
          </w:tcPr>
          <w:p w14:paraId="7622AC4E">
            <w:pPr>
              <w:autoSpaceDE/>
              <w:autoSpaceDN/>
              <w:spacing w:line="360" w:lineRule="exact"/>
              <w:jc w:val="cente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t>弃方量</w:t>
            </w:r>
          </w:p>
        </w:tc>
        <w:tc>
          <w:tcPr>
            <w:tcW w:w="1477" w:type="pct"/>
            <w:tcBorders>
              <w:tl2br w:val="nil"/>
              <w:tr2bl w:val="nil"/>
            </w:tcBorders>
            <w:vAlign w:val="center"/>
          </w:tcPr>
          <w:p w14:paraId="2B391DDB">
            <w:pPr>
              <w:autoSpaceDE/>
              <w:autoSpaceDN/>
              <w:spacing w:line="360" w:lineRule="exact"/>
              <w:jc w:val="cente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t>备注</w:t>
            </w:r>
          </w:p>
        </w:tc>
      </w:tr>
      <w:tr w14:paraId="3A6B1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857" w:type="pct"/>
            <w:tcBorders>
              <w:tl2br w:val="nil"/>
              <w:tr2bl w:val="nil"/>
            </w:tcBorders>
            <w:vAlign w:val="center"/>
          </w:tcPr>
          <w:p w14:paraId="7AAA3486">
            <w:pPr>
              <w:autoSpaceDE/>
              <w:autoSpaceDN/>
              <w:spacing w:line="360" w:lineRule="exact"/>
              <w:jc w:val="cente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t>管道</w:t>
            </w:r>
          </w:p>
        </w:tc>
        <w:tc>
          <w:tcPr>
            <w:tcW w:w="625" w:type="pct"/>
            <w:tcBorders>
              <w:tl2br w:val="nil"/>
              <w:tr2bl w:val="nil"/>
            </w:tcBorders>
            <w:vAlign w:val="center"/>
          </w:tcPr>
          <w:p w14:paraId="6EADEC71">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65436</w:t>
            </w:r>
          </w:p>
        </w:tc>
        <w:tc>
          <w:tcPr>
            <w:tcW w:w="703" w:type="pct"/>
            <w:tcBorders>
              <w:tl2br w:val="nil"/>
              <w:tr2bl w:val="nil"/>
            </w:tcBorders>
            <w:vAlign w:val="center"/>
          </w:tcPr>
          <w:p w14:paraId="21549D52">
            <w:pPr>
              <w:autoSpaceDE/>
              <w:autoSpaceDN/>
              <w:spacing w:line="360" w:lineRule="exact"/>
              <w:jc w:val="cente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65436</w:t>
            </w:r>
          </w:p>
        </w:tc>
        <w:tc>
          <w:tcPr>
            <w:tcW w:w="703" w:type="pct"/>
            <w:tcBorders>
              <w:tl2br w:val="nil"/>
              <w:tr2bl w:val="nil"/>
            </w:tcBorders>
            <w:vAlign w:val="center"/>
          </w:tcPr>
          <w:p w14:paraId="4624066A">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0</w:t>
            </w:r>
          </w:p>
        </w:tc>
        <w:tc>
          <w:tcPr>
            <w:tcW w:w="635" w:type="pct"/>
            <w:tcBorders>
              <w:tl2br w:val="nil"/>
              <w:tr2bl w:val="nil"/>
            </w:tcBorders>
            <w:vAlign w:val="center"/>
          </w:tcPr>
          <w:p w14:paraId="6F16F01D">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0</w:t>
            </w:r>
          </w:p>
        </w:tc>
        <w:tc>
          <w:tcPr>
            <w:tcW w:w="1477" w:type="pct"/>
            <w:vMerge w:val="restart"/>
            <w:tcBorders>
              <w:tl2br w:val="nil"/>
              <w:tr2bl w:val="nil"/>
            </w:tcBorders>
            <w:vAlign w:val="center"/>
          </w:tcPr>
          <w:p w14:paraId="5E06800B">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该部分土壤在施工结束后回填至原处，挖填平衡</w:t>
            </w:r>
          </w:p>
        </w:tc>
      </w:tr>
      <w:tr w14:paraId="4132C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857" w:type="pct"/>
            <w:tcBorders>
              <w:tl2br w:val="nil"/>
              <w:tr2bl w:val="nil"/>
            </w:tcBorders>
            <w:vAlign w:val="center"/>
          </w:tcPr>
          <w:p w14:paraId="3A0756D3">
            <w:pPr>
              <w:autoSpaceDE/>
              <w:autoSpaceDN/>
              <w:spacing w:line="360" w:lineRule="exact"/>
              <w:jc w:val="cente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t>临时占地表土</w:t>
            </w:r>
          </w:p>
        </w:tc>
        <w:tc>
          <w:tcPr>
            <w:tcW w:w="625" w:type="pct"/>
            <w:tcBorders>
              <w:tl2br w:val="nil"/>
              <w:tr2bl w:val="nil"/>
            </w:tcBorders>
            <w:vAlign w:val="center"/>
          </w:tcPr>
          <w:p w14:paraId="469AA1A9">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70110</w:t>
            </w:r>
          </w:p>
        </w:tc>
        <w:tc>
          <w:tcPr>
            <w:tcW w:w="703" w:type="pct"/>
            <w:tcBorders>
              <w:tl2br w:val="nil"/>
              <w:tr2bl w:val="nil"/>
            </w:tcBorders>
            <w:vAlign w:val="center"/>
          </w:tcPr>
          <w:p w14:paraId="3538B566">
            <w:pPr>
              <w:autoSpaceDE/>
              <w:autoSpaceDN/>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70110</w:t>
            </w:r>
          </w:p>
        </w:tc>
        <w:tc>
          <w:tcPr>
            <w:tcW w:w="703" w:type="pct"/>
            <w:tcBorders>
              <w:tl2br w:val="nil"/>
              <w:tr2bl w:val="nil"/>
            </w:tcBorders>
            <w:vAlign w:val="center"/>
          </w:tcPr>
          <w:p w14:paraId="5B93DE33">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0</w:t>
            </w:r>
          </w:p>
        </w:tc>
        <w:tc>
          <w:tcPr>
            <w:tcW w:w="635" w:type="pct"/>
            <w:tcBorders>
              <w:tl2br w:val="nil"/>
              <w:tr2bl w:val="nil"/>
            </w:tcBorders>
            <w:vAlign w:val="center"/>
          </w:tcPr>
          <w:p w14:paraId="52C023B1">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0</w:t>
            </w:r>
          </w:p>
        </w:tc>
        <w:tc>
          <w:tcPr>
            <w:tcW w:w="1477" w:type="pct"/>
            <w:vMerge w:val="continue"/>
            <w:tcBorders>
              <w:tl2br w:val="nil"/>
              <w:tr2bl w:val="nil"/>
            </w:tcBorders>
            <w:vAlign w:val="center"/>
          </w:tcPr>
          <w:p w14:paraId="30261CFC">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p>
        </w:tc>
      </w:tr>
      <w:tr w14:paraId="2D57B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Header/>
          <w:jc w:val="center"/>
        </w:trPr>
        <w:tc>
          <w:tcPr>
            <w:tcW w:w="857" w:type="pct"/>
            <w:tcBorders>
              <w:tl2br w:val="nil"/>
              <w:tr2bl w:val="nil"/>
            </w:tcBorders>
            <w:vAlign w:val="center"/>
          </w:tcPr>
          <w:p w14:paraId="54228F9C">
            <w:pPr>
              <w:autoSpaceDE/>
              <w:autoSpaceDN/>
              <w:spacing w:line="360" w:lineRule="exact"/>
              <w:jc w:val="cente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t>合计</w:t>
            </w:r>
          </w:p>
        </w:tc>
        <w:tc>
          <w:tcPr>
            <w:tcW w:w="625" w:type="pct"/>
            <w:tcBorders>
              <w:tl2br w:val="nil"/>
              <w:tr2bl w:val="nil"/>
            </w:tcBorders>
            <w:vAlign w:val="center"/>
          </w:tcPr>
          <w:p w14:paraId="4CEC3F1E">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135546</w:t>
            </w:r>
          </w:p>
        </w:tc>
        <w:tc>
          <w:tcPr>
            <w:tcW w:w="703" w:type="pct"/>
            <w:tcBorders>
              <w:tl2br w:val="nil"/>
              <w:tr2bl w:val="nil"/>
            </w:tcBorders>
            <w:vAlign w:val="center"/>
          </w:tcPr>
          <w:p w14:paraId="1E3E4DDF">
            <w:pPr>
              <w:autoSpaceDE/>
              <w:autoSpaceDN/>
              <w:spacing w:line="360" w:lineRule="exact"/>
              <w:jc w:val="cente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135546</w:t>
            </w:r>
          </w:p>
        </w:tc>
        <w:tc>
          <w:tcPr>
            <w:tcW w:w="703" w:type="pct"/>
            <w:tcBorders>
              <w:tl2br w:val="nil"/>
              <w:tr2bl w:val="nil"/>
            </w:tcBorders>
            <w:vAlign w:val="center"/>
          </w:tcPr>
          <w:p w14:paraId="573E3409">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0</w:t>
            </w:r>
          </w:p>
        </w:tc>
        <w:tc>
          <w:tcPr>
            <w:tcW w:w="635" w:type="pct"/>
            <w:tcBorders>
              <w:tl2br w:val="nil"/>
              <w:tr2bl w:val="nil"/>
            </w:tcBorders>
            <w:vAlign w:val="center"/>
          </w:tcPr>
          <w:p w14:paraId="085F16D0">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0</w:t>
            </w:r>
          </w:p>
        </w:tc>
        <w:tc>
          <w:tcPr>
            <w:tcW w:w="1477" w:type="pct"/>
            <w:vMerge w:val="continue"/>
            <w:tcBorders>
              <w:tl2br w:val="nil"/>
              <w:tr2bl w:val="nil"/>
            </w:tcBorders>
            <w:vAlign w:val="center"/>
          </w:tcPr>
          <w:p w14:paraId="42FADF5C">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p>
        </w:tc>
      </w:tr>
    </w:tbl>
    <w:p w14:paraId="18F94E57">
      <w:pPr>
        <w:spacing w:line="440" w:lineRule="exact"/>
        <w:outlineLvl w:val="3"/>
        <w:rPr>
          <w:rFonts w:ascii="Times New Roman" w:hAnsi="Times New Roman" w:cs="Times New Roman" w:eastAsiaTheme="minorEastAsia"/>
          <w:b/>
          <w:color w:val="000000" w:themeColor="text1"/>
          <w:w w:val="99"/>
          <w:sz w:val="24"/>
          <w:szCs w:val="24"/>
          <w:lang w:val="en-US"/>
          <w14:textFill>
            <w14:solidFill>
              <w14:schemeClr w14:val="tx1"/>
            </w14:solidFill>
          </w14:textFill>
        </w:rPr>
      </w:pPr>
      <w:r>
        <w:rPr>
          <w:rFonts w:ascii="Times New Roman" w:hAnsi="Times New Roman" w:cs="Times New Roman" w:eastAsiaTheme="minorEastAsia"/>
          <w:b/>
          <w:color w:val="000000" w:themeColor="text1"/>
          <w:w w:val="99"/>
          <w:sz w:val="24"/>
          <w:szCs w:val="24"/>
          <w:lang w:val="en-US"/>
          <w14:textFill>
            <w14:solidFill>
              <w14:schemeClr w14:val="tx1"/>
            </w14:solidFill>
          </w14:textFill>
        </w:rPr>
        <w:t>3.1.3.3施工方式</w:t>
      </w:r>
    </w:p>
    <w:p w14:paraId="2F3F1315">
      <w:pPr>
        <w:spacing w:line="440" w:lineRule="exact"/>
        <w:ind w:firstLine="474" w:firstLineChars="200"/>
        <w:jc w:val="both"/>
        <w:rPr>
          <w:rFonts w:ascii="Times New Roman" w:hAnsi="Times New Roman" w:cs="Times New Roman" w:eastAsiaTheme="minorEastAsia"/>
          <w:bCs/>
          <w:color w:val="000000" w:themeColor="text1"/>
          <w:w w:val="99"/>
          <w:sz w:val="24"/>
          <w:szCs w:val="20"/>
          <w:lang w:val="en-US"/>
          <w14:textFill>
            <w14:solidFill>
              <w14:schemeClr w14:val="tx1"/>
            </w14:solidFill>
          </w14:textFill>
        </w:rPr>
      </w:pPr>
      <w:r>
        <w:rPr>
          <w:rFonts w:ascii="Times New Roman" w:hAnsi="Times New Roman" w:cs="Times New Roman" w:eastAsiaTheme="minorEastAsia"/>
          <w:bCs/>
          <w:color w:val="000000" w:themeColor="text1"/>
          <w:w w:val="99"/>
          <w:sz w:val="24"/>
          <w:szCs w:val="20"/>
          <w:lang w:val="en-US"/>
          <w14:textFill>
            <w14:solidFill>
              <w14:schemeClr w14:val="tx1"/>
            </w14:solidFill>
          </w14:textFill>
        </w:rPr>
        <w:t>（1）新建管道施工方案</w:t>
      </w:r>
    </w:p>
    <w:p w14:paraId="21CBDE4E">
      <w:pPr>
        <w:spacing w:line="440" w:lineRule="exact"/>
        <w:ind w:firstLine="474" w:firstLineChars="200"/>
        <w:jc w:val="both"/>
        <w:rPr>
          <w:rFonts w:ascii="Times New Roman" w:hAnsi="Times New Roman" w:cs="Times New Roman" w:eastAsiaTheme="minorEastAsia"/>
          <w:bCs/>
          <w:color w:val="000000" w:themeColor="text1"/>
          <w:w w:val="99"/>
          <w:sz w:val="24"/>
          <w:szCs w:val="20"/>
          <w:lang w:val="en-US"/>
          <w14:textFill>
            <w14:solidFill>
              <w14:schemeClr w14:val="tx1"/>
            </w14:solidFill>
          </w14:textFill>
        </w:rPr>
      </w:pPr>
      <w:r>
        <w:rPr>
          <w:rFonts w:hint="eastAsia"/>
          <w:bCs/>
          <w:color w:val="000000" w:themeColor="text1"/>
          <w:w w:val="99"/>
          <w:sz w:val="24"/>
          <w:szCs w:val="20"/>
          <w:lang w:val="en-US"/>
          <w14:textFill>
            <w14:solidFill>
              <w14:schemeClr w14:val="tx1"/>
            </w14:solidFill>
          </w14:textFill>
        </w:rPr>
        <w:t>①</w:t>
      </w:r>
      <w:r>
        <w:rPr>
          <w:rFonts w:ascii="Times New Roman" w:hAnsi="Times New Roman" w:cs="Times New Roman" w:eastAsiaTheme="minorEastAsia"/>
          <w:bCs/>
          <w:color w:val="000000" w:themeColor="text1"/>
          <w:w w:val="99"/>
          <w:sz w:val="24"/>
          <w:szCs w:val="20"/>
          <w:lang w:val="en-US"/>
          <w14:textFill>
            <w14:solidFill>
              <w14:schemeClr w14:val="tx1"/>
            </w14:solidFill>
          </w14:textFill>
        </w:rPr>
        <w:t>一般管道施工</w:t>
      </w:r>
    </w:p>
    <w:p w14:paraId="251C095D">
      <w:pPr>
        <w:spacing w:line="440" w:lineRule="exact"/>
        <w:ind w:firstLine="474" w:firstLineChars="200"/>
        <w:jc w:val="both"/>
        <w:rPr>
          <w:rFonts w:ascii="Times New Roman" w:hAnsi="Times New Roman" w:cs="Times New Roman" w:eastAsiaTheme="minorEastAsia"/>
          <w:bCs/>
          <w:color w:val="000000" w:themeColor="text1"/>
          <w:w w:val="99"/>
          <w:sz w:val="24"/>
          <w:szCs w:val="20"/>
          <w:lang w:val="en-US"/>
          <w14:textFill>
            <w14:solidFill>
              <w14:schemeClr w14:val="tx1"/>
            </w14:solidFill>
          </w14:textFill>
        </w:rPr>
      </w:pPr>
      <w:r>
        <w:rPr>
          <w:rFonts w:ascii="Times New Roman" w:hAnsi="Times New Roman" w:cs="Times New Roman" w:eastAsiaTheme="minorEastAsia"/>
          <w:bCs/>
          <w:color w:val="000000" w:themeColor="text1"/>
          <w:w w:val="99"/>
          <w:sz w:val="24"/>
          <w:szCs w:val="20"/>
          <w:lang w:val="en-US"/>
          <w14:textFill>
            <w14:solidFill>
              <w14:schemeClr w14:val="tx1"/>
            </w14:solidFill>
          </w14:textFill>
        </w:rPr>
        <w:t>管道施工过程为先清理作业线路场地，然后开挖管沟，再组焊管道、下沟管道，特殊地段根据实际情况合理穿插各工序。管沟开挖以机械开挖为主，施工作业面宽10m。施工完毕清理现场、恢复地貌。工程施工程序见图3.1-1。</w:t>
      </w:r>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0"/>
      </w:tblGrid>
      <w:tr w14:paraId="78A05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5" w:type="dxa"/>
            <w:tcBorders>
              <w:top w:val="nil"/>
              <w:left w:val="nil"/>
              <w:bottom w:val="nil"/>
              <w:right w:val="nil"/>
            </w:tcBorders>
          </w:tcPr>
          <w:p w14:paraId="3FA00303">
            <w:pPr>
              <w:pStyle w:val="66"/>
              <w:spacing w:before="0"/>
              <w:ind w:left="0" w:firstLine="0"/>
              <w:jc w:val="center"/>
              <w:rPr>
                <w:rFonts w:ascii="Times New Roman" w:hAnsi="Times New Roman" w:cs="Times New Roman" w:eastAsiaTheme="minorEastAsia"/>
                <w:color w:val="000000" w:themeColor="text1"/>
                <w:w w:val="99"/>
                <w:lang w:val="en-US"/>
                <w14:textFill>
                  <w14:solidFill>
                    <w14:schemeClr w14:val="tx1"/>
                  </w14:solidFill>
                </w14:textFill>
              </w:rPr>
            </w:pPr>
            <w:r>
              <w:rPr>
                <w:rFonts w:ascii="Times New Roman" w:hAnsi="Times New Roman" w:cs="Times New Roman" w:eastAsiaTheme="minorEastAsia"/>
                <w:color w:val="000000" w:themeColor="text1"/>
                <w:w w:val="99"/>
                <w:lang w:val="en-US"/>
                <w14:textFill>
                  <w14:solidFill>
                    <w14:schemeClr w14:val="tx1"/>
                  </w14:solidFill>
                </w14:textFill>
              </w:rPr>
              <w:t xml:space="preserve">           </w:t>
            </w:r>
            <w:r>
              <w:rPr>
                <w:rFonts w:ascii="Times New Roman" w:hAnsi="Times New Roman" w:cs="Times New Roman" w:eastAsiaTheme="minorEastAsia"/>
                <w:color w:val="000000" w:themeColor="text1"/>
                <w:w w:val="99"/>
                <w14:textFill>
                  <w14:solidFill>
                    <w14:schemeClr w14:val="tx1"/>
                  </w14:solidFill>
                </w14:textFill>
              </w:rPr>
              <w:object>
                <v:shape id="_x0000_i1025" o:spt="75" type="#_x0000_t75" style="height:144pt;width:194pt;" o:ole="t" filled="f" o:preferrelative="t" stroked="f" coordsize="21600,21600">
                  <v:path/>
                  <v:fill on="f" focussize="0,0"/>
                  <v:stroke on="f" joinstyle="miter"/>
                  <v:imagedata r:id="rId15" o:title=""/>
                  <o:lock v:ext="edit" aspectratio="t"/>
                  <w10:wrap type="none"/>
                  <w10:anchorlock/>
                </v:shape>
                <o:OLEObject Type="Embed" ProgID="PBrush" ShapeID="_x0000_i1025" DrawAspect="Content" ObjectID="_1468075725" r:id="rId14">
                  <o:LockedField>false</o:LockedField>
                </o:OLEObject>
              </w:object>
            </w:r>
          </w:p>
        </w:tc>
      </w:tr>
      <w:tr w14:paraId="2E65F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5" w:type="dxa"/>
            <w:tcBorders>
              <w:top w:val="nil"/>
              <w:left w:val="nil"/>
              <w:bottom w:val="nil"/>
              <w:right w:val="nil"/>
            </w:tcBorders>
          </w:tcPr>
          <w:p w14:paraId="3A0A0B72">
            <w:pPr>
              <w:pStyle w:val="66"/>
              <w:spacing w:before="0"/>
              <w:ind w:left="363" w:hanging="363"/>
              <w:jc w:val="center"/>
              <w:rPr>
                <w:rFonts w:ascii="Times New Roman" w:hAnsi="Times New Roman" w:cs="Times New Roman" w:eastAsiaTheme="minorEastAsia"/>
                <w:color w:val="000000" w:themeColor="text1"/>
                <w:w w:val="99"/>
                <w:lang w:val="en-US"/>
                <w14:textFill>
                  <w14:solidFill>
                    <w14:schemeClr w14:val="tx1"/>
                  </w14:solidFill>
                </w14:textFill>
              </w:rPr>
            </w:pPr>
            <w:r>
              <w:rPr>
                <w:rFonts w:ascii="Times New Roman" w:hAnsi="Times New Roman" w:cs="Times New Roman" w:eastAsiaTheme="minorEastAsia"/>
                <w:color w:val="000000" w:themeColor="text1"/>
                <w:w w:val="99"/>
                <w:lang w:val="en-US" w:bidi="ar-SA"/>
                <w14:textFill>
                  <w14:solidFill>
                    <w14:schemeClr w14:val="tx1"/>
                  </w14:solidFill>
                </w14:textFill>
              </w:rPr>
              <w:t>图3.1-1    管道施工建设工程</w:t>
            </w:r>
          </w:p>
        </w:tc>
      </w:tr>
    </w:tbl>
    <w:p w14:paraId="1885F8DF">
      <w:pPr>
        <w:spacing w:line="440" w:lineRule="exact"/>
        <w:ind w:firstLine="474" w:firstLineChars="200"/>
        <w:jc w:val="both"/>
        <w:rPr>
          <w:rFonts w:ascii="Times New Roman" w:hAnsi="Times New Roman" w:cs="Times New Roman" w:eastAsiaTheme="minorEastAsia"/>
          <w:bCs/>
          <w:color w:val="000000" w:themeColor="text1"/>
          <w:w w:val="99"/>
          <w:sz w:val="24"/>
          <w:szCs w:val="20"/>
          <w:lang w:val="en-US"/>
          <w14:textFill>
            <w14:solidFill>
              <w14:schemeClr w14:val="tx1"/>
            </w14:solidFill>
          </w14:textFill>
        </w:rPr>
      </w:pPr>
      <w:r>
        <w:rPr>
          <w:rFonts w:ascii="Times New Roman" w:hAnsi="Times New Roman" w:cs="Times New Roman" w:eastAsiaTheme="minorEastAsia"/>
          <w:bCs/>
          <w:color w:val="000000" w:themeColor="text1"/>
          <w:w w:val="99"/>
          <w:sz w:val="24"/>
          <w:szCs w:val="20"/>
          <w:lang w:val="en-US"/>
          <w14:textFill>
            <w14:solidFill>
              <w14:schemeClr w14:val="tx1"/>
            </w14:solidFill>
          </w14:textFill>
        </w:rPr>
        <w:t>一般地段作业带宽度为10m，其中管沟深度按2m计，边坡坡度按1:1计(暂按砂土考虑)。施工作业带清理采用挖沟机、推土机扫线，人工配合清理。防腐管由工厂预制，采用专用管拖车拉运现场连接。管沟开挖采用挖掘机等机械及人工辅助清理完成。回填完的管沟进行压实、整形。</w:t>
      </w:r>
    </w:p>
    <w:p w14:paraId="66A95069">
      <w:pPr>
        <w:spacing w:line="440" w:lineRule="exact"/>
        <w:ind w:firstLine="474" w:firstLineChars="200"/>
        <w:jc w:val="both"/>
        <w:rPr>
          <w:rFonts w:ascii="Times New Roman" w:hAnsi="Times New Roman" w:cs="Times New Roman" w:eastAsiaTheme="minorEastAsia"/>
          <w:bCs/>
          <w:color w:val="000000" w:themeColor="text1"/>
          <w:w w:val="99"/>
          <w:sz w:val="24"/>
          <w:szCs w:val="20"/>
          <w:lang w:val="en-US"/>
          <w14:textFill>
            <w14:solidFill>
              <w14:schemeClr w14:val="tx1"/>
            </w14:solidFill>
          </w14:textFill>
        </w:rPr>
      </w:pPr>
      <w:r>
        <w:rPr>
          <w:rFonts w:ascii="Times New Roman" w:hAnsi="Times New Roman" w:cs="Times New Roman" w:eastAsiaTheme="minorEastAsia"/>
          <w:bCs/>
          <w:color w:val="000000" w:themeColor="text1"/>
          <w:w w:val="99"/>
          <w:sz w:val="24"/>
          <w:szCs w:val="20"/>
          <w:lang w:val="en-US"/>
          <w14:textFill>
            <w14:solidFill>
              <w14:schemeClr w14:val="tx1"/>
            </w14:solidFill>
          </w14:textFill>
        </w:rPr>
        <w:t>管道安装完成后，经检验合格，应进行压力和严密性试验，本工程试压采用清水进行试压。清管主要目的是清除管道内的残留物，使管道内清洁。本工程采用清水进行吹排清管，清除管道内的残留物。</w:t>
      </w:r>
    </w:p>
    <w:p w14:paraId="087EBE57">
      <w:pPr>
        <w:spacing w:line="440" w:lineRule="exact"/>
        <w:ind w:firstLine="474" w:firstLineChars="200"/>
        <w:jc w:val="both"/>
        <w:rPr>
          <w:rFonts w:ascii="Times New Roman" w:hAnsi="Times New Roman" w:cs="Times New Roman" w:eastAsiaTheme="minorEastAsia"/>
          <w:bCs/>
          <w:color w:val="000000" w:themeColor="text1"/>
          <w:w w:val="99"/>
          <w:sz w:val="24"/>
          <w:szCs w:val="20"/>
          <w:lang w:val="en-US"/>
          <w14:textFill>
            <w14:solidFill>
              <w14:schemeClr w14:val="tx1"/>
            </w14:solidFill>
          </w14:textFill>
        </w:rPr>
      </w:pPr>
      <w:r>
        <w:rPr>
          <w:rFonts w:ascii="Times New Roman" w:hAnsi="Times New Roman" w:cs="Times New Roman" w:eastAsiaTheme="minorEastAsia"/>
          <w:bCs/>
          <w:color w:val="000000" w:themeColor="text1"/>
          <w:w w:val="99"/>
          <w:sz w:val="24"/>
          <w:szCs w:val="20"/>
          <w:lang w:val="en-US"/>
          <w14:textFill>
            <w14:solidFill>
              <w14:schemeClr w14:val="tx1"/>
            </w14:solidFill>
          </w14:textFill>
        </w:rPr>
        <w:t>工艺管线施工技术要求及验收均按国家标准《工业金属管道工程施工及验收标准》(GB50235-2010)、《现场设备、工业管道焊接工程施工及验收规范》(GB50236-98)、《油田集输管道施工及验收规范》(SY/T0422-2010)以及有关国家及行业标准执行。管道施工作业断面及平面布置图见图3.1-2~3.1-3。</w:t>
      </w:r>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0"/>
      </w:tblGrid>
      <w:tr w14:paraId="44385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5" w:type="dxa"/>
            <w:tcBorders>
              <w:top w:val="nil"/>
              <w:left w:val="nil"/>
              <w:bottom w:val="nil"/>
              <w:right w:val="nil"/>
            </w:tcBorders>
          </w:tcPr>
          <w:p w14:paraId="0158BC31">
            <w:pPr>
              <w:pStyle w:val="66"/>
              <w:ind w:left="0" w:firstLine="0"/>
              <w:jc w:val="center"/>
              <w:rPr>
                <w:rFonts w:ascii="Times New Roman" w:hAnsi="Times New Roman" w:cs="Times New Roman" w:eastAsiaTheme="minorEastAsia"/>
                <w:color w:val="000000" w:themeColor="text1"/>
                <w:w w:val="99"/>
                <w:lang w:val="en-US"/>
                <w14:textFill>
                  <w14:solidFill>
                    <w14:schemeClr w14:val="tx1"/>
                  </w14:solidFill>
                </w14:textFill>
              </w:rPr>
            </w:pPr>
            <w:r>
              <w:rPr>
                <w:rFonts w:ascii="Times New Roman" w:hAnsi="Times New Roman" w:cs="Times New Roman" w:eastAsiaTheme="minorEastAsia"/>
                <w:color w:val="000000" w:themeColor="text1"/>
                <w:w w:val="99"/>
                <w:lang w:val="en-US" w:bidi="ar-SA"/>
                <w14:textFill>
                  <w14:solidFill>
                    <w14:schemeClr w14:val="tx1"/>
                  </w14:solidFill>
                </w14:textFill>
              </w:rPr>
              <w:drawing>
                <wp:inline distT="0" distB="0" distL="114300" distR="114300">
                  <wp:extent cx="3952875" cy="1123315"/>
                  <wp:effectExtent l="19050" t="19050" r="9525" b="19685"/>
                  <wp:docPr id="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
                          <pic:cNvPicPr>
                            <a:picLocks noChangeAspect="1"/>
                          </pic:cNvPicPr>
                        </pic:nvPicPr>
                        <pic:blipFill>
                          <a:blip r:embed="rId16"/>
                          <a:stretch>
                            <a:fillRect/>
                          </a:stretch>
                        </pic:blipFill>
                        <pic:spPr>
                          <a:xfrm>
                            <a:off x="0" y="0"/>
                            <a:ext cx="3977156" cy="1130733"/>
                          </a:xfrm>
                          <a:prstGeom prst="rect">
                            <a:avLst/>
                          </a:prstGeom>
                          <a:noFill/>
                          <a:ln w="6350">
                            <a:solidFill>
                              <a:schemeClr val="tx1"/>
                            </a:solidFill>
                          </a:ln>
                        </pic:spPr>
                      </pic:pic>
                    </a:graphicData>
                  </a:graphic>
                </wp:inline>
              </w:drawing>
            </w:r>
          </w:p>
        </w:tc>
      </w:tr>
      <w:tr w14:paraId="4C33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5" w:type="dxa"/>
            <w:tcBorders>
              <w:top w:val="nil"/>
              <w:left w:val="nil"/>
              <w:bottom w:val="nil"/>
              <w:right w:val="nil"/>
            </w:tcBorders>
          </w:tcPr>
          <w:p w14:paraId="40E92B6C">
            <w:pPr>
              <w:pStyle w:val="66"/>
              <w:spacing w:before="0"/>
              <w:ind w:left="0" w:firstLine="0"/>
              <w:jc w:val="center"/>
              <w:rPr>
                <w:rFonts w:ascii="Times New Roman" w:hAnsi="Times New Roman" w:cs="Times New Roman" w:eastAsiaTheme="minorEastAsia"/>
                <w:color w:val="000000" w:themeColor="text1"/>
                <w:w w:val="99"/>
                <w:lang w:val="en-US"/>
                <w14:textFill>
                  <w14:solidFill>
                    <w14:schemeClr w14:val="tx1"/>
                  </w14:solidFill>
                </w14:textFill>
              </w:rPr>
            </w:pPr>
            <w:r>
              <w:rPr>
                <w:rFonts w:ascii="Times New Roman" w:hAnsi="Times New Roman" w:cs="Times New Roman" w:eastAsiaTheme="minorEastAsia"/>
                <w:color w:val="000000" w:themeColor="text1"/>
                <w:w w:val="99"/>
                <w:lang w:val="en-US" w:bidi="ar-SA"/>
                <w14:textFill>
                  <w14:solidFill>
                    <w14:schemeClr w14:val="tx1"/>
                  </w14:solidFill>
                </w14:textFill>
              </w:rPr>
              <w:t>图3.1-2    管道施工断面布置图</w:t>
            </w:r>
          </w:p>
        </w:tc>
      </w:tr>
      <w:tr w14:paraId="1C673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5" w:type="dxa"/>
            <w:tcBorders>
              <w:top w:val="nil"/>
              <w:left w:val="nil"/>
              <w:bottom w:val="nil"/>
              <w:right w:val="nil"/>
            </w:tcBorders>
          </w:tcPr>
          <w:p w14:paraId="75536C1B">
            <w:pPr>
              <w:pStyle w:val="66"/>
              <w:jc w:val="center"/>
              <w:rPr>
                <w:rFonts w:ascii="Times New Roman" w:hAnsi="Times New Roman" w:cs="Times New Roman" w:eastAsiaTheme="minorEastAsia"/>
                <w:color w:val="000000" w:themeColor="text1"/>
                <w:w w:val="99"/>
                <w:lang w:val="en-US" w:bidi="ar-SA"/>
                <w14:textFill>
                  <w14:solidFill>
                    <w14:schemeClr w14:val="tx1"/>
                  </w14:solidFill>
                </w14:textFill>
              </w:rPr>
            </w:pPr>
            <w:r>
              <w:rPr>
                <w:rFonts w:ascii="Times New Roman" w:hAnsi="Times New Roman" w:cs="Times New Roman" w:eastAsiaTheme="minorEastAsia"/>
                <w:color w:val="000000" w:themeColor="text1"/>
                <w:w w:val="99"/>
                <w:lang w:val="en-US" w:bidi="ar-SA"/>
                <w14:textFill>
                  <w14:solidFill>
                    <w14:schemeClr w14:val="tx1"/>
                  </w14:solidFill>
                </w14:textFill>
              </w:rPr>
              <w:drawing>
                <wp:inline distT="0" distB="0" distL="0" distR="0">
                  <wp:extent cx="3362325" cy="1324610"/>
                  <wp:effectExtent l="0" t="0" r="0" b="8890"/>
                  <wp:docPr id="840" name="图片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图片 840"/>
                          <pic:cNvPicPr>
                            <a:picLocks noChangeAspect="1"/>
                          </pic:cNvPicPr>
                        </pic:nvPicPr>
                        <pic:blipFill>
                          <a:blip r:embed="rId17"/>
                          <a:stretch>
                            <a:fillRect/>
                          </a:stretch>
                        </pic:blipFill>
                        <pic:spPr>
                          <a:xfrm>
                            <a:off x="0" y="0"/>
                            <a:ext cx="3397164" cy="1338344"/>
                          </a:xfrm>
                          <a:prstGeom prst="rect">
                            <a:avLst/>
                          </a:prstGeom>
                        </pic:spPr>
                      </pic:pic>
                    </a:graphicData>
                  </a:graphic>
                </wp:inline>
              </w:drawing>
            </w:r>
          </w:p>
        </w:tc>
      </w:tr>
      <w:tr w14:paraId="3E6D1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5" w:type="dxa"/>
            <w:tcBorders>
              <w:top w:val="nil"/>
              <w:left w:val="nil"/>
              <w:bottom w:val="nil"/>
              <w:right w:val="nil"/>
            </w:tcBorders>
          </w:tcPr>
          <w:p w14:paraId="3F0F062F">
            <w:pPr>
              <w:pStyle w:val="66"/>
              <w:spacing w:before="0"/>
              <w:ind w:left="0" w:firstLine="0"/>
              <w:jc w:val="center"/>
              <w:rPr>
                <w:rFonts w:ascii="Times New Roman" w:hAnsi="Times New Roman" w:cs="Times New Roman" w:eastAsiaTheme="minorEastAsia"/>
                <w:b w:val="0"/>
                <w:bCs w:val="0"/>
                <w:color w:val="000000" w:themeColor="text1"/>
                <w:w w:val="99"/>
                <w:lang w:val="en-US" w:bidi="ar-SA"/>
                <w14:textFill>
                  <w14:solidFill>
                    <w14:schemeClr w14:val="tx1"/>
                  </w14:solidFill>
                </w14:textFill>
              </w:rPr>
            </w:pPr>
            <w:r>
              <w:rPr>
                <w:rFonts w:ascii="Times New Roman" w:hAnsi="Times New Roman" w:cs="Times New Roman" w:eastAsiaTheme="minorEastAsia"/>
                <w:color w:val="000000" w:themeColor="text1"/>
                <w:w w:val="99"/>
                <w:lang w:val="en-US" w:bidi="ar-SA"/>
                <w14:textFill>
                  <w14:solidFill>
                    <w14:schemeClr w14:val="tx1"/>
                  </w14:solidFill>
                </w14:textFill>
              </w:rPr>
              <w:t>图3.1-3    管道开挖施工平面布置示意图</w:t>
            </w:r>
          </w:p>
        </w:tc>
      </w:tr>
    </w:tbl>
    <w:p w14:paraId="7AC5FDCE">
      <w:pPr>
        <w:spacing w:line="440" w:lineRule="exact"/>
        <w:ind w:firstLine="474" w:firstLineChars="200"/>
        <w:jc w:val="both"/>
        <w:rPr>
          <w:rFonts w:ascii="Times New Roman" w:hAnsi="Times New Roman" w:cs="Times New Roman" w:eastAsiaTheme="minorEastAsia"/>
          <w:bCs/>
          <w:color w:val="000000" w:themeColor="text1"/>
          <w:w w:val="99"/>
          <w:sz w:val="24"/>
          <w:szCs w:val="20"/>
          <w:lang w:val="en-US"/>
          <w14:textFill>
            <w14:solidFill>
              <w14:schemeClr w14:val="tx1"/>
            </w14:solidFill>
          </w14:textFill>
        </w:rPr>
      </w:pPr>
      <w:r>
        <w:rPr>
          <w:rFonts w:hint="eastAsia"/>
          <w:bCs/>
          <w:color w:val="000000" w:themeColor="text1"/>
          <w:w w:val="99"/>
          <w:sz w:val="24"/>
          <w:szCs w:val="20"/>
          <w:lang w:val="en-US"/>
          <w14:textFill>
            <w14:solidFill>
              <w14:schemeClr w14:val="tx1"/>
            </w14:solidFill>
          </w14:textFill>
        </w:rPr>
        <w:t>②</w:t>
      </w:r>
      <w:r>
        <w:rPr>
          <w:rFonts w:ascii="Times New Roman" w:hAnsi="Times New Roman" w:cs="Times New Roman" w:eastAsiaTheme="minorEastAsia"/>
          <w:bCs/>
          <w:color w:val="000000" w:themeColor="text1"/>
          <w:w w:val="99"/>
          <w:sz w:val="24"/>
          <w:szCs w:val="20"/>
          <w:lang w:val="en-US"/>
          <w14:textFill>
            <w14:solidFill>
              <w14:schemeClr w14:val="tx1"/>
            </w14:solidFill>
          </w14:textFill>
        </w:rPr>
        <w:t>管道钢顶穿越施工</w:t>
      </w:r>
    </w:p>
    <w:p w14:paraId="18A6BA08">
      <w:pPr>
        <w:spacing w:line="440" w:lineRule="exact"/>
        <w:ind w:firstLine="474" w:firstLineChars="200"/>
        <w:jc w:val="both"/>
        <w:rPr>
          <w:rFonts w:ascii="Times New Roman" w:hAnsi="Times New Roman" w:cs="Times New Roman" w:eastAsiaTheme="minorEastAsia"/>
          <w:bCs/>
          <w:color w:val="000000" w:themeColor="text1"/>
          <w:w w:val="99"/>
          <w:sz w:val="24"/>
          <w:szCs w:val="20"/>
          <w:lang w:val="en-US"/>
          <w14:textFill>
            <w14:solidFill>
              <w14:schemeClr w14:val="tx1"/>
            </w14:solidFill>
          </w14:textFill>
        </w:rPr>
      </w:pPr>
      <w:r>
        <w:rPr>
          <w:rFonts w:ascii="Times New Roman" w:hAnsi="Times New Roman" w:cs="Times New Roman" w:eastAsiaTheme="minorEastAsia"/>
          <w:bCs/>
          <w:color w:val="000000" w:themeColor="text1"/>
          <w:w w:val="99"/>
          <w:sz w:val="24"/>
          <w:szCs w:val="20"/>
          <w:lang w:val="en-US"/>
          <w14:textFill>
            <w14:solidFill>
              <w14:schemeClr w14:val="tx1"/>
            </w14:solidFill>
          </w14:textFill>
        </w:rPr>
        <w:t>本工程17处管道</w:t>
      </w:r>
      <w:r>
        <w:rPr>
          <w:rFonts w:hint="eastAsia" w:ascii="Times New Roman" w:hAnsi="Times New Roman" w:cs="Times New Roman" w:eastAsiaTheme="minorEastAsia"/>
          <w:bCs/>
          <w:color w:val="000000" w:themeColor="text1"/>
          <w:w w:val="99"/>
          <w:sz w:val="24"/>
          <w:szCs w:val="20"/>
          <w:lang w:val="en-US"/>
          <w14:textFill>
            <w14:solidFill>
              <w14:schemeClr w14:val="tx1"/>
            </w14:solidFill>
          </w14:textFill>
        </w:rPr>
        <w:t>穿越公路，</w:t>
      </w:r>
      <w:r>
        <w:rPr>
          <w:rFonts w:ascii="Times New Roman" w:hAnsi="Times New Roman" w:cs="Times New Roman" w:eastAsiaTheme="minorEastAsia"/>
          <w:bCs/>
          <w:color w:val="000000" w:themeColor="text1"/>
          <w:w w:val="99"/>
          <w:sz w:val="24"/>
          <w:szCs w:val="20"/>
          <w:lang w:val="en-US"/>
          <w14:textFill>
            <w14:solidFill>
              <w14:schemeClr w14:val="tx1"/>
            </w14:solidFill>
          </w14:textFill>
        </w:rPr>
        <w:t>穿越采用顶管施工方案。顶管施工是不开挖或少开挖的一种管道施工方式，其主要利用顶管设备产生前进的力度，平衡管道与土体之间的摩擦力，管道前进同时将管道内占用的土体置换出来，最终在土体中形成管道。施工中置换出的土体，最终用于该处的土地平整。</w:t>
      </w:r>
    </w:p>
    <w:p w14:paraId="15B12A4B">
      <w:pPr>
        <w:spacing w:line="440" w:lineRule="exact"/>
        <w:ind w:firstLine="474" w:firstLineChars="200"/>
        <w:jc w:val="both"/>
        <w:rPr>
          <w:rFonts w:ascii="Times New Roman" w:hAnsi="Times New Roman" w:cs="Times New Roman" w:eastAsiaTheme="minorEastAsia"/>
          <w:bCs/>
          <w:color w:val="000000" w:themeColor="text1"/>
          <w:w w:val="99"/>
          <w:sz w:val="24"/>
          <w:szCs w:val="20"/>
          <w:lang w:val="en-US"/>
          <w14:textFill>
            <w14:solidFill>
              <w14:schemeClr w14:val="tx1"/>
            </w14:solidFill>
          </w14:textFill>
        </w:rPr>
      </w:pPr>
      <w:r>
        <w:rPr>
          <w:rFonts w:ascii="Times New Roman" w:hAnsi="Times New Roman" w:cs="Times New Roman" w:eastAsiaTheme="minorEastAsia"/>
          <w:bCs/>
          <w:color w:val="000000" w:themeColor="text1"/>
          <w:w w:val="99"/>
          <w:sz w:val="24"/>
          <w:szCs w:val="20"/>
          <w:lang w:val="en-US"/>
          <w14:textFill>
            <w14:solidFill>
              <w14:schemeClr w14:val="tx1"/>
            </w14:solidFill>
          </w14:textFill>
        </w:rPr>
        <w:t>顶管施工方式：确定顶管穿越进出口位置，在一端挖操作坑，另一端挖接收坑。在操作坑放置穿越套管和顶管设备，由人工先在套管前端掏土，再顶进套管，循环作业直至穿过道路为止。</w:t>
      </w:r>
    </w:p>
    <w:p w14:paraId="4F3B717D">
      <w:pPr>
        <w:spacing w:line="440" w:lineRule="exact"/>
        <w:ind w:firstLine="474" w:firstLineChars="200"/>
        <w:jc w:val="both"/>
        <w:rPr>
          <w:rFonts w:ascii="Times New Roman" w:hAnsi="Times New Roman" w:cs="Times New Roman" w:eastAsiaTheme="minorEastAsia"/>
          <w:bCs/>
          <w:color w:val="000000" w:themeColor="text1"/>
          <w:w w:val="99"/>
          <w:sz w:val="24"/>
          <w:szCs w:val="20"/>
          <w:lang w:val="en-US"/>
          <w14:textFill>
            <w14:solidFill>
              <w14:schemeClr w14:val="tx1"/>
            </w14:solidFill>
          </w14:textFill>
        </w:rPr>
      </w:pPr>
      <w:r>
        <w:rPr>
          <w:rFonts w:ascii="Times New Roman" w:hAnsi="Times New Roman" w:cs="Times New Roman" w:eastAsiaTheme="minorEastAsia"/>
          <w:bCs/>
          <w:color w:val="000000" w:themeColor="text1"/>
          <w:w w:val="99"/>
          <w:sz w:val="24"/>
          <w:szCs w:val="20"/>
          <w:lang w:val="en-US"/>
          <w14:textFill>
            <w14:solidFill>
              <w14:schemeClr w14:val="tx1"/>
            </w14:solidFill>
          </w14:textFill>
        </w:rPr>
        <w:t>顶管施工工艺流程主要为：施工准备、顶管井施工、设备安装调试、管材吊装入井、顶进、出洞、管材吊装入井、顶进、出洞、检查井施工、回填、路面恢复。施工流程图见图3.1-4、施工示意图见图3.1-5。</w:t>
      </w:r>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0"/>
      </w:tblGrid>
      <w:tr w14:paraId="0D365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0" w:type="dxa"/>
            <w:tcBorders>
              <w:top w:val="nil"/>
              <w:left w:val="nil"/>
              <w:bottom w:val="nil"/>
              <w:right w:val="nil"/>
            </w:tcBorders>
          </w:tcPr>
          <w:p w14:paraId="367DA52C">
            <w:pPr>
              <w:pStyle w:val="101"/>
              <w:spacing w:before="120" w:after="48"/>
              <w:rPr>
                <w:rFonts w:ascii="Times New Roman" w:cs="Times New Roman" w:eastAsiaTheme="minorEastAsia"/>
                <w:color w:val="000000" w:themeColor="text1"/>
                <w:w w:val="99"/>
                <w14:textFill>
                  <w14:solidFill>
                    <w14:schemeClr w14:val="tx1"/>
                  </w14:solidFill>
                </w14:textFill>
              </w:rPr>
            </w:pPr>
            <w:r>
              <w:rPr>
                <w:rFonts w:ascii="Times New Roman" w:cs="Times New Roman" w:eastAsiaTheme="minorEastAsia"/>
                <w:color w:val="000000" w:themeColor="text1"/>
                <w:w w:val="99"/>
                <w14:textFill>
                  <w14:solidFill>
                    <w14:schemeClr w14:val="tx1"/>
                  </w14:solidFill>
                </w14:textFill>
              </w:rPr>
              <w:drawing>
                <wp:inline distT="0" distB="0" distL="114300" distR="114300">
                  <wp:extent cx="2937510" cy="4535170"/>
                  <wp:effectExtent l="0" t="0" r="15240" b="17780"/>
                  <wp:docPr id="9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
                          <pic:cNvPicPr>
                            <a:picLocks noChangeAspect="1"/>
                          </pic:cNvPicPr>
                        </pic:nvPicPr>
                        <pic:blipFill>
                          <a:blip r:embed="rId18"/>
                          <a:stretch>
                            <a:fillRect/>
                          </a:stretch>
                        </pic:blipFill>
                        <pic:spPr>
                          <a:xfrm>
                            <a:off x="0" y="0"/>
                            <a:ext cx="2937510" cy="4535170"/>
                          </a:xfrm>
                          <a:prstGeom prst="rect">
                            <a:avLst/>
                          </a:prstGeom>
                          <a:noFill/>
                          <a:ln>
                            <a:noFill/>
                          </a:ln>
                        </pic:spPr>
                      </pic:pic>
                    </a:graphicData>
                  </a:graphic>
                </wp:inline>
              </w:drawing>
            </w:r>
          </w:p>
        </w:tc>
      </w:tr>
      <w:tr w14:paraId="48C39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0" w:type="dxa"/>
            <w:tcBorders>
              <w:top w:val="nil"/>
              <w:left w:val="nil"/>
              <w:bottom w:val="nil"/>
              <w:right w:val="nil"/>
            </w:tcBorders>
          </w:tcPr>
          <w:p w14:paraId="79BC52DB">
            <w:pPr>
              <w:pStyle w:val="101"/>
              <w:spacing w:before="120" w:after="48"/>
              <w:rPr>
                <w:rFonts w:ascii="Times New Roman" w:cs="Times New Roman" w:eastAsiaTheme="minorEastAsia"/>
                <w:color w:val="000000" w:themeColor="text1"/>
                <w:w w:val="99"/>
                <w14:textFill>
                  <w14:solidFill>
                    <w14:schemeClr w14:val="tx1"/>
                  </w14:solidFill>
                </w14:textFill>
              </w:rPr>
            </w:pPr>
            <w:r>
              <w:rPr>
                <w:rFonts w:ascii="Times New Roman" w:cs="Times New Roman" w:eastAsiaTheme="minorEastAsia"/>
                <w:bCs/>
                <w:color w:val="000000" w:themeColor="text1"/>
                <w:w w:val="99"/>
                <w:sz w:val="24"/>
                <w:szCs w:val="24"/>
                <w14:textFill>
                  <w14:solidFill>
                    <w14:schemeClr w14:val="tx1"/>
                  </w14:solidFill>
                </w14:textFill>
              </w:rPr>
              <w:t>图3.1-4     顶管施工工艺流程图</w:t>
            </w:r>
          </w:p>
        </w:tc>
      </w:tr>
      <w:tr w14:paraId="21E93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0" w:type="dxa"/>
            <w:tcBorders>
              <w:top w:val="nil"/>
              <w:left w:val="nil"/>
              <w:bottom w:val="nil"/>
              <w:right w:val="nil"/>
            </w:tcBorders>
          </w:tcPr>
          <w:p w14:paraId="13AE546B">
            <w:pPr>
              <w:pStyle w:val="101"/>
              <w:spacing w:before="120" w:after="48"/>
              <w:rPr>
                <w:rFonts w:ascii="Times New Roman" w:cs="Times New Roman" w:eastAsiaTheme="minorEastAsia"/>
                <w:color w:val="000000" w:themeColor="text1"/>
                <w:w w:val="99"/>
                <w14:textFill>
                  <w14:solidFill>
                    <w14:schemeClr w14:val="tx1"/>
                  </w14:solidFill>
                </w14:textFill>
              </w:rPr>
            </w:pPr>
            <w:r>
              <w:rPr>
                <w:rFonts w:ascii="Times New Roman" w:cs="Times New Roman" w:eastAsiaTheme="minorEastAsia"/>
                <w:color w:val="000000" w:themeColor="text1"/>
                <w:w w:val="99"/>
                <w14:textFill>
                  <w14:solidFill>
                    <w14:schemeClr w14:val="tx1"/>
                  </w14:solidFill>
                </w14:textFill>
              </w:rPr>
              <w:drawing>
                <wp:inline distT="0" distB="0" distL="0" distR="0">
                  <wp:extent cx="4652010" cy="1232535"/>
                  <wp:effectExtent l="0" t="0" r="15240" b="5715"/>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19"/>
                          <a:stretch>
                            <a:fillRect/>
                          </a:stretch>
                        </pic:blipFill>
                        <pic:spPr>
                          <a:xfrm>
                            <a:off x="0" y="0"/>
                            <a:ext cx="4660681" cy="1234798"/>
                          </a:xfrm>
                          <a:prstGeom prst="rect">
                            <a:avLst/>
                          </a:prstGeom>
                        </pic:spPr>
                      </pic:pic>
                    </a:graphicData>
                  </a:graphic>
                </wp:inline>
              </w:drawing>
            </w:r>
          </w:p>
        </w:tc>
      </w:tr>
      <w:tr w14:paraId="69FFE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0" w:type="dxa"/>
            <w:tcBorders>
              <w:top w:val="nil"/>
              <w:left w:val="nil"/>
              <w:bottom w:val="nil"/>
              <w:right w:val="nil"/>
            </w:tcBorders>
          </w:tcPr>
          <w:p w14:paraId="0B9B906A">
            <w:pPr>
              <w:spacing w:line="440" w:lineRule="exact"/>
              <w:jc w:val="center"/>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b/>
                <w:color w:val="000000" w:themeColor="text1"/>
                <w:w w:val="99"/>
                <w:sz w:val="24"/>
                <w:szCs w:val="24"/>
                <w14:textFill>
                  <w14:solidFill>
                    <w14:schemeClr w14:val="tx1"/>
                  </w14:solidFill>
                </w14:textFill>
              </w:rPr>
              <w:t>图3.</w:t>
            </w:r>
            <w:r>
              <w:rPr>
                <w:rFonts w:ascii="Times New Roman" w:hAnsi="Times New Roman" w:cs="Times New Roman" w:eastAsiaTheme="minorEastAsia"/>
                <w:b/>
                <w:color w:val="000000" w:themeColor="text1"/>
                <w:w w:val="99"/>
                <w:sz w:val="24"/>
                <w:szCs w:val="24"/>
                <w:lang w:val="en-US"/>
                <w14:textFill>
                  <w14:solidFill>
                    <w14:schemeClr w14:val="tx1"/>
                  </w14:solidFill>
                </w14:textFill>
              </w:rPr>
              <w:t>1</w:t>
            </w:r>
            <w:r>
              <w:rPr>
                <w:rFonts w:ascii="Times New Roman" w:hAnsi="Times New Roman" w:cs="Times New Roman" w:eastAsiaTheme="minorEastAsia"/>
                <w:b/>
                <w:color w:val="000000" w:themeColor="text1"/>
                <w:w w:val="99"/>
                <w:sz w:val="24"/>
                <w:szCs w:val="24"/>
                <w14:textFill>
                  <w14:solidFill>
                    <w14:schemeClr w14:val="tx1"/>
                  </w14:solidFill>
                </w14:textFill>
              </w:rPr>
              <w:t>-</w:t>
            </w:r>
            <w:r>
              <w:rPr>
                <w:rFonts w:ascii="Times New Roman" w:hAnsi="Times New Roman" w:cs="Times New Roman" w:eastAsiaTheme="minorEastAsia"/>
                <w:b/>
                <w:color w:val="000000" w:themeColor="text1"/>
                <w:w w:val="99"/>
                <w:sz w:val="24"/>
                <w:szCs w:val="24"/>
                <w:lang w:val="en-US"/>
                <w14:textFill>
                  <w14:solidFill>
                    <w14:schemeClr w14:val="tx1"/>
                  </w14:solidFill>
                </w14:textFill>
              </w:rPr>
              <w:t>5</w:t>
            </w:r>
            <w:r>
              <w:rPr>
                <w:rFonts w:ascii="Times New Roman" w:hAnsi="Times New Roman" w:cs="Times New Roman" w:eastAsiaTheme="minorEastAsia"/>
                <w:b/>
                <w:color w:val="000000" w:themeColor="text1"/>
                <w:w w:val="99"/>
                <w:sz w:val="24"/>
                <w:szCs w:val="24"/>
                <w14:textFill>
                  <w14:solidFill>
                    <w14:schemeClr w14:val="tx1"/>
                  </w14:solidFill>
                </w14:textFill>
              </w:rPr>
              <w:t xml:space="preserve">    顶管施工示意图</w:t>
            </w:r>
          </w:p>
        </w:tc>
      </w:tr>
    </w:tbl>
    <w:p w14:paraId="18FBA829">
      <w:pPr>
        <w:spacing w:line="440" w:lineRule="exact"/>
        <w:ind w:firstLine="474" w:firstLineChars="200"/>
        <w:jc w:val="both"/>
        <w:rPr>
          <w:rFonts w:ascii="Times New Roman" w:hAnsi="Times New Roman" w:cs="Times New Roman" w:eastAsiaTheme="minorEastAsia"/>
          <w:bCs/>
          <w:color w:val="000000" w:themeColor="text1"/>
          <w:w w:val="99"/>
          <w:sz w:val="24"/>
          <w:szCs w:val="24"/>
          <w:lang w:val="en-US"/>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14:textFill>
            <w14:solidFill>
              <w14:schemeClr w14:val="tx1"/>
            </w14:solidFill>
          </w14:textFill>
        </w:rPr>
        <w:t>（2）拉油点拆除施工方案</w:t>
      </w:r>
    </w:p>
    <w:p w14:paraId="096EF760">
      <w:pPr>
        <w:spacing w:line="440" w:lineRule="exact"/>
        <w:ind w:firstLine="474" w:firstLineChars="200"/>
        <w:jc w:val="both"/>
        <w:rPr>
          <w:rFonts w:ascii="Times New Roman" w:hAnsi="Times New Roman" w:cs="Times New Roman" w:eastAsiaTheme="minorEastAsia"/>
          <w:bCs/>
          <w:color w:val="000000" w:themeColor="text1"/>
          <w:w w:val="99"/>
          <w:sz w:val="24"/>
          <w:szCs w:val="20"/>
          <w:lang w:val="en-US"/>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14:textFill>
            <w14:solidFill>
              <w14:schemeClr w14:val="tx1"/>
            </w14:solidFill>
          </w14:textFill>
        </w:rPr>
        <w:t>首先停止运行抽油机井，将拉油点九合一装置内残余原油由卸料阀卸入拉油罐车，由罐车拉运至龙一联合站卸油点卸油并进入</w:t>
      </w:r>
      <w:r>
        <w:rPr>
          <w:rFonts w:hint="eastAsia" w:ascii="Times New Roman" w:hAnsi="Times New Roman" w:cs="Times New Roman" w:eastAsiaTheme="minorEastAsia"/>
          <w:bCs/>
          <w:color w:val="000000" w:themeColor="text1"/>
          <w:w w:val="99"/>
          <w:sz w:val="24"/>
          <w:szCs w:val="24"/>
          <w:lang w:val="en-US"/>
          <w14:textFill>
            <w14:solidFill>
              <w14:schemeClr w14:val="tx1"/>
            </w14:solidFill>
          </w14:textFill>
        </w:rPr>
        <w:t>龙一联合站原油处理系统处理</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，动工前由采油小队先关停各拉油点下辖井场，然后关闭拉油点收油管线，拆下九合一</w:t>
      </w:r>
      <w:r>
        <w:rPr>
          <w:rFonts w:hint="eastAsia" w:ascii="Times New Roman" w:hAnsi="Times New Roman" w:cs="Times New Roman" w:eastAsiaTheme="minorEastAsia"/>
          <w:bCs/>
          <w:color w:val="000000" w:themeColor="text1"/>
          <w:w w:val="99"/>
          <w:sz w:val="24"/>
          <w:szCs w:val="24"/>
          <w:lang w:val="en-US"/>
          <w14:textFill>
            <w14:solidFill>
              <w14:schemeClr w14:val="tx1"/>
            </w14:solidFill>
          </w14:textFill>
        </w:rPr>
        <w:t>装置</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罐体的人口阀门进行自然通风24小时，在罐体内测氧测爆合格后，采用人工清理的方式对九合一</w:t>
      </w:r>
      <w:r>
        <w:rPr>
          <w:rFonts w:hint="eastAsia" w:ascii="Times New Roman" w:hAnsi="Times New Roman" w:cs="Times New Roman" w:eastAsiaTheme="minorEastAsia"/>
          <w:bCs/>
          <w:color w:val="000000" w:themeColor="text1"/>
          <w:w w:val="99"/>
          <w:sz w:val="24"/>
          <w:szCs w:val="24"/>
          <w:lang w:val="en-US"/>
          <w14:textFill>
            <w14:solidFill>
              <w14:schemeClr w14:val="tx1"/>
            </w14:solidFill>
          </w14:textFill>
        </w:rPr>
        <w:t>装置</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罐体进行清罐处理，清理出的油泥由罐车拉运至</w:t>
      </w:r>
      <w:r>
        <w:rPr>
          <w:rFonts w:hint="eastAsia" w:ascii="Times New Roman" w:hAnsi="Times New Roman" w:cs="Times New Roman" w:eastAsiaTheme="minorEastAsia"/>
          <w:bCs/>
          <w:color w:val="000000" w:themeColor="text1"/>
          <w:w w:val="99"/>
          <w:sz w:val="24"/>
          <w:szCs w:val="24"/>
          <w:lang w:val="en-US" w:eastAsia="zh-CN"/>
          <w14:textFill>
            <w14:solidFill>
              <w14:schemeClr w14:val="tx1"/>
            </w14:solidFill>
          </w14:textFill>
        </w:rPr>
        <w:t>第五采油厂</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含油污泥处理站处理，然后拆除拉油点九合一装置及附属值班板房等，拆除的九合一装置及板房等废旧设备全部回收至</w:t>
      </w:r>
      <w:r>
        <w:rPr>
          <w:rFonts w:hint="eastAsia" w:ascii="Times New Roman" w:hAnsi="Times New Roman" w:cs="Times New Roman" w:eastAsiaTheme="minorEastAsia"/>
          <w:bCs/>
          <w:color w:val="000000" w:themeColor="text1"/>
          <w:w w:val="99"/>
          <w:sz w:val="24"/>
          <w:szCs w:val="24"/>
          <w:lang w:val="en-US" w:eastAsia="zh-CN"/>
          <w14:textFill>
            <w14:solidFill>
              <w14:schemeClr w14:val="tx1"/>
            </w14:solidFill>
          </w14:textFill>
        </w:rPr>
        <w:t>第五采油厂</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物资库再利用，然后拆除九合一装置混凝土基础、旱厕，拆除后直接拉运至大庆市</w:t>
      </w:r>
      <w:r>
        <w:rPr>
          <w:rFonts w:hint="eastAsia" w:ascii="Times New Roman" w:hAnsi="Times New Roman" w:cs="Times New Roman" w:eastAsiaTheme="minorEastAsia"/>
          <w:bCs/>
          <w:color w:val="000000" w:themeColor="text1"/>
          <w:w w:val="99"/>
          <w:sz w:val="24"/>
          <w:szCs w:val="24"/>
          <w:lang w:val="en-US" w:eastAsia="zh-CN"/>
          <w14:textFill>
            <w14:solidFill>
              <w14:schemeClr w14:val="tx1"/>
            </w14:solidFill>
          </w14:textFill>
        </w:rPr>
        <w:t>红岗区杏树岗镇</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建筑垃圾消纳场处理，对拉油点内旱厕清空后进行卫生填埋处理（用石灰消毒后覆土平整）。最终清理地面并平整场地，拆除完成。</w:t>
      </w:r>
      <w:r>
        <w:rPr>
          <w:rFonts w:ascii="Times New Roman" w:hAnsi="Times New Roman" w:cs="Times New Roman" w:eastAsiaTheme="minorEastAsia"/>
          <w:bCs/>
          <w:color w:val="000000" w:themeColor="text1"/>
          <w:w w:val="99"/>
          <w:sz w:val="24"/>
          <w:szCs w:val="20"/>
          <w:lang w:val="en-US"/>
          <w14:textFill>
            <w14:solidFill>
              <w14:schemeClr w14:val="tx1"/>
            </w14:solidFill>
          </w14:textFill>
        </w:rPr>
        <w:t>拉油点拆除施工程序见图3.1-6。</w:t>
      </w:r>
    </w:p>
    <w:p w14:paraId="63E77FF6">
      <w:pPr>
        <w:pStyle w:val="101"/>
        <w:spacing w:beforeLines="0" w:afterLines="0"/>
        <w:rPr>
          <w:color w:val="000000" w:themeColor="text1"/>
          <w:lang w:bidi="zh-CN"/>
          <w14:textFill>
            <w14:solidFill>
              <w14:schemeClr w14:val="tx1"/>
            </w14:solidFill>
          </w14:textFill>
        </w:rPr>
      </w:pPr>
      <w:r>
        <w:rPr>
          <w:rFonts w:ascii="Times New Roman" w:cs="Times New Roman" w:eastAsiaTheme="minorEastAsia"/>
          <w:color w:val="000000" w:themeColor="text1"/>
          <w:w w:val="99"/>
          <w14:textFill>
            <w14:solidFill>
              <w14:schemeClr w14:val="tx1"/>
            </w14:solidFill>
          </w14:textFill>
        </w:rPr>
        <w:drawing>
          <wp:inline distT="0" distB="0" distL="0" distR="0">
            <wp:extent cx="5759450" cy="635000"/>
            <wp:effectExtent l="19050" t="19050" r="1270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tretch>
                      <a:fillRect/>
                    </a:stretch>
                  </pic:blipFill>
                  <pic:spPr>
                    <a:xfrm>
                      <a:off x="0" y="0"/>
                      <a:ext cx="5759450" cy="635000"/>
                    </a:xfrm>
                    <a:prstGeom prst="rect">
                      <a:avLst/>
                    </a:prstGeom>
                    <a:ln w="6350">
                      <a:solidFill>
                        <a:schemeClr val="tx1"/>
                      </a:solidFill>
                    </a:ln>
                  </pic:spPr>
                </pic:pic>
              </a:graphicData>
            </a:graphic>
          </wp:inline>
        </w:drawing>
      </w:r>
    </w:p>
    <w:p w14:paraId="4324FA20">
      <w:pPr>
        <w:jc w:val="center"/>
        <w:rPr>
          <w:b/>
          <w:color w:val="000000" w:themeColor="text1"/>
          <w:sz w:val="24"/>
          <w:szCs w:val="24"/>
          <w:lang w:val="en-US"/>
          <w14:textFill>
            <w14:solidFill>
              <w14:schemeClr w14:val="tx1"/>
            </w14:solidFill>
          </w14:textFill>
        </w:rPr>
      </w:pPr>
      <w:r>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t>图3.1-6    拉油点拆除施工程序图</w:t>
      </w:r>
    </w:p>
    <w:p w14:paraId="32F791AA">
      <w:pPr>
        <w:rPr>
          <w:rFonts w:ascii="Times New Roman" w:hAnsi="Times New Roman" w:cs="Times New Roman" w:eastAsiaTheme="minorEastAsia"/>
          <w:color w:val="000000" w:themeColor="text1"/>
          <w:w w:val="99"/>
          <w:lang w:val="en-US"/>
          <w14:textFill>
            <w14:solidFill>
              <w14:schemeClr w14:val="tx1"/>
            </w14:solidFill>
          </w14:textFill>
        </w:rPr>
      </w:pPr>
    </w:p>
    <w:p w14:paraId="5E9BE758">
      <w:pPr>
        <w:spacing w:line="440" w:lineRule="exact"/>
        <w:outlineLvl w:val="3"/>
        <w:rPr>
          <w:rFonts w:ascii="Times New Roman" w:hAnsi="Times New Roman" w:cs="Times New Roman" w:eastAsiaTheme="minorEastAsia"/>
          <w:b/>
          <w:color w:val="000000" w:themeColor="text1"/>
          <w:w w:val="99"/>
          <w:sz w:val="24"/>
          <w:szCs w:val="24"/>
          <w:lang w:val="en-US"/>
          <w14:textFill>
            <w14:solidFill>
              <w14:schemeClr w14:val="tx1"/>
            </w14:solidFill>
          </w14:textFill>
        </w:rPr>
      </w:pPr>
      <w:r>
        <w:rPr>
          <w:rFonts w:ascii="Times New Roman" w:hAnsi="Times New Roman" w:cs="Times New Roman" w:eastAsiaTheme="minorEastAsia"/>
          <w:b/>
          <w:color w:val="000000" w:themeColor="text1"/>
          <w:w w:val="99"/>
          <w:sz w:val="24"/>
          <w:szCs w:val="24"/>
          <w:lang w:val="en-US"/>
          <w14:textFill>
            <w14:solidFill>
              <w14:schemeClr w14:val="tx1"/>
            </w14:solidFill>
          </w14:textFill>
        </w:rPr>
        <w:t>3.1.3.4施工进度及时序</w:t>
      </w:r>
    </w:p>
    <w:p w14:paraId="1E070AD7">
      <w:pPr>
        <w:spacing w:line="440" w:lineRule="exact"/>
        <w:ind w:firstLine="474" w:firstLineChars="200"/>
        <w:jc w:val="both"/>
        <w:rPr>
          <w:rFonts w:ascii="Times New Roman" w:hAnsi="Times New Roman" w:cs="Times New Roman" w:eastAsiaTheme="minorEastAsia"/>
          <w:bCs/>
          <w:color w:val="000000" w:themeColor="text1"/>
          <w:w w:val="99"/>
          <w:sz w:val="24"/>
          <w:szCs w:val="20"/>
          <w:lang w:val="en-US"/>
          <w14:textFill>
            <w14:solidFill>
              <w14:schemeClr w14:val="tx1"/>
            </w14:solidFill>
          </w14:textFill>
        </w:rPr>
      </w:pPr>
      <w:r>
        <w:rPr>
          <w:rFonts w:ascii="Times New Roman" w:hAnsi="Times New Roman" w:cs="Times New Roman" w:eastAsiaTheme="minorEastAsia"/>
          <w:bCs/>
          <w:color w:val="000000" w:themeColor="text1"/>
          <w:w w:val="99"/>
          <w:sz w:val="24"/>
          <w:szCs w:val="20"/>
          <w:lang w:val="en-US"/>
          <w14:textFill>
            <w14:solidFill>
              <w14:schemeClr w14:val="tx1"/>
            </w14:solidFill>
          </w14:textFill>
        </w:rPr>
        <w:t>本工程管道建设施工时间为2023年5月至2023年7月。</w:t>
      </w:r>
    </w:p>
    <w:p w14:paraId="0F3794DA">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89" w:name="_bookmark29"/>
      <w:bookmarkEnd w:id="89"/>
      <w:bookmarkStart w:id="90" w:name="_Toc117794549"/>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3.2 现有工程分析</w:t>
      </w:r>
      <w:bookmarkEnd w:id="90"/>
    </w:p>
    <w:p w14:paraId="6D61860F">
      <w:pPr>
        <w:autoSpaceDE/>
        <w:autoSpaceDN/>
        <w:spacing w:before="60" w:after="60" w:line="440" w:lineRule="exact"/>
        <w:jc w:val="both"/>
        <w:outlineLvl w:val="2"/>
        <w:rPr>
          <w:rFonts w:ascii="Times New Roman" w:hAnsi="Times New Roman" w:cs="Times New Roman"/>
          <w:b/>
          <w:bCs/>
          <w:color w:val="000000" w:themeColor="text1"/>
          <w:w w:val="99"/>
          <w:kern w:val="2"/>
          <w:sz w:val="24"/>
          <w:szCs w:val="24"/>
          <w:lang w:val="en-US" w:bidi="ar-SA"/>
          <w14:textFill>
            <w14:solidFill>
              <w14:schemeClr w14:val="tx1"/>
            </w14:solidFill>
          </w14:textFill>
        </w:rPr>
      </w:pPr>
      <w:bookmarkStart w:id="91" w:name="_Toc78816474"/>
      <w:bookmarkStart w:id="92" w:name="_Toc77067672"/>
      <w:bookmarkStart w:id="93" w:name="_Toc100822105"/>
      <w:bookmarkStart w:id="94" w:name="_Toc80588269"/>
      <w:bookmarkStart w:id="95" w:name="_Toc80971391"/>
      <w:bookmarkStart w:id="96" w:name="_Toc76976256"/>
      <w:bookmarkStart w:id="97" w:name="_Toc67860143"/>
      <w:bookmarkStart w:id="98" w:name="_Toc70050190"/>
      <w:bookmarkStart w:id="99" w:name="_Toc85640769"/>
      <w:bookmarkStart w:id="100" w:name="_Toc84929245"/>
      <w:bookmarkStart w:id="101" w:name="_Toc106810290"/>
      <w:bookmarkStart w:id="102" w:name="_Toc83209489"/>
      <w:bookmarkStart w:id="103" w:name="_Toc103610864"/>
      <w:bookmarkStart w:id="104" w:name="_Toc86141922"/>
      <w:bookmarkStart w:id="105" w:name="_Toc117794550"/>
      <w:r>
        <w:rPr>
          <w:rFonts w:ascii="Times New Roman" w:hAnsi="Times New Roman" w:cs="Times New Roman"/>
          <w:b/>
          <w:bCs/>
          <w:color w:val="000000" w:themeColor="text1"/>
          <w:w w:val="99"/>
          <w:kern w:val="2"/>
          <w:sz w:val="24"/>
          <w:szCs w:val="24"/>
          <w:lang w:val="en-US" w:bidi="ar-SA"/>
          <w14:textFill>
            <w14:solidFill>
              <w14:schemeClr w14:val="tx1"/>
            </w14:solidFill>
          </w14:textFill>
        </w:rPr>
        <w:t>3.2.1现有区块开发情况</w:t>
      </w:r>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5160E063">
      <w:pPr>
        <w:autoSpaceDE/>
        <w:autoSpaceDN/>
        <w:spacing w:line="440" w:lineRule="exact"/>
        <w:ind w:firstLine="474" w:firstLineChars="200"/>
        <w:jc w:val="both"/>
        <w:rPr>
          <w:rFonts w:ascii="Times New Roman" w:hAnsi="Times New Roman" w:cs="Times New Roman"/>
          <w:color w:val="000000" w:themeColor="text1"/>
          <w:w w:val="99"/>
          <w:kern w:val="2"/>
          <w:sz w:val="24"/>
          <w:szCs w:val="24"/>
          <w:lang w:val="en-US" w:bidi="ar-SA"/>
          <w14:textFill>
            <w14:solidFill>
              <w14:schemeClr w14:val="tx1"/>
            </w14:solidFill>
          </w14:textFill>
        </w:rPr>
      </w:pPr>
      <w:r>
        <w:rPr>
          <w:rFonts w:ascii="Times New Roman" w:hAnsi="Times New Roman" w:cs="Times New Roman"/>
          <w:color w:val="000000" w:themeColor="text1"/>
          <w:w w:val="99"/>
          <w:kern w:val="2"/>
          <w:sz w:val="24"/>
          <w:szCs w:val="24"/>
          <w:lang w:val="en-US" w:bidi="ar-SA"/>
          <w14:textFill>
            <w14:solidFill>
              <w14:schemeClr w14:val="tx1"/>
            </w14:solidFill>
          </w14:textFill>
        </w:rPr>
        <w:t>本项目拟拆除拉油点及拟建管线位于</w:t>
      </w:r>
      <w:r>
        <w:rPr>
          <w:rFonts w:hint="eastAsia" w:ascii="Times New Roman" w:hAnsi="Times New Roman" w:cs="Times New Roman"/>
          <w:color w:val="000000" w:themeColor="text1"/>
          <w:w w:val="99"/>
          <w:kern w:val="2"/>
          <w:sz w:val="24"/>
          <w:szCs w:val="24"/>
          <w:lang w:val="en-US" w:bidi="ar-SA"/>
          <w14:textFill>
            <w14:solidFill>
              <w14:schemeClr w14:val="tx1"/>
            </w14:solidFill>
          </w14:textFill>
        </w:rPr>
        <w:t>龙虎泡油田龙2</w:t>
      </w:r>
      <w:r>
        <w:rPr>
          <w:rFonts w:ascii="Times New Roman" w:hAnsi="Times New Roman" w:cs="Times New Roman"/>
          <w:color w:val="000000" w:themeColor="text1"/>
          <w:w w:val="99"/>
          <w:kern w:val="2"/>
          <w:sz w:val="24"/>
          <w:szCs w:val="24"/>
          <w:lang w:val="en-US" w:bidi="ar-SA"/>
          <w14:textFill>
            <w14:solidFill>
              <w14:schemeClr w14:val="tx1"/>
            </w14:solidFill>
          </w14:textFill>
        </w:rPr>
        <w:t>6区块。</w:t>
      </w:r>
    </w:p>
    <w:p w14:paraId="21427224">
      <w:pPr>
        <w:autoSpaceDE/>
        <w:autoSpaceDN/>
        <w:spacing w:line="440" w:lineRule="exact"/>
        <w:ind w:firstLine="474" w:firstLineChars="200"/>
        <w:jc w:val="both"/>
        <w:rPr>
          <w:rFonts w:ascii="Times New Roman" w:hAnsi="Times New Roman" w:cs="Times New Roman"/>
          <w:color w:val="000000" w:themeColor="text1"/>
          <w:w w:val="99"/>
          <w:kern w:val="2"/>
          <w:sz w:val="24"/>
          <w:szCs w:val="24"/>
          <w:lang w:val="en-US" w:bidi="ar-SA"/>
          <w14:textFill>
            <w14:solidFill>
              <w14:schemeClr w14:val="tx1"/>
            </w14:solidFill>
          </w14:textFill>
        </w:rPr>
      </w:pPr>
      <w:r>
        <w:rPr>
          <w:rFonts w:hint="eastAsia" w:ascii="Times New Roman" w:hAnsi="Times New Roman" w:cs="Times New Roman"/>
          <w:color w:val="000000" w:themeColor="text1"/>
          <w:w w:val="99"/>
          <w:kern w:val="2"/>
          <w:sz w:val="24"/>
          <w:szCs w:val="24"/>
          <w:lang w:val="en-US" w:bidi="ar-SA"/>
          <w14:textFill>
            <w14:solidFill>
              <w14:schemeClr w14:val="tx1"/>
            </w14:solidFill>
          </w14:textFill>
        </w:rPr>
        <w:t>大庆油田有限责任公司</w:t>
      </w:r>
      <w:r>
        <w:rPr>
          <w:rFonts w:hint="eastAsia" w:ascii="Times New Roman" w:hAnsi="Times New Roman" w:cs="Times New Roman"/>
          <w:color w:val="000000" w:themeColor="text1"/>
          <w:w w:val="99"/>
          <w:kern w:val="2"/>
          <w:sz w:val="24"/>
          <w:szCs w:val="24"/>
          <w:lang w:val="en-US" w:eastAsia="zh-CN" w:bidi="ar-SA"/>
          <w14:textFill>
            <w14:solidFill>
              <w14:schemeClr w14:val="tx1"/>
            </w14:solidFill>
          </w14:textFill>
        </w:rPr>
        <w:t>第五采油厂</w:t>
      </w:r>
      <w:r>
        <w:rPr>
          <w:rFonts w:hint="eastAsia" w:ascii="Times New Roman" w:hAnsi="Times New Roman" w:cs="Times New Roman"/>
          <w:color w:val="000000" w:themeColor="text1"/>
          <w:w w:val="99"/>
          <w:kern w:val="2"/>
          <w:sz w:val="24"/>
          <w:szCs w:val="24"/>
          <w:lang w:val="en-US" w:bidi="ar-SA"/>
          <w14:textFill>
            <w14:solidFill>
              <w14:schemeClr w14:val="tx1"/>
            </w14:solidFill>
          </w14:textFill>
        </w:rPr>
        <w:t>龙虎泡油田于</w:t>
      </w:r>
      <w:r>
        <w:rPr>
          <w:rFonts w:ascii="Times New Roman" w:hAnsi="Times New Roman" w:cs="Times New Roman"/>
          <w:color w:val="000000" w:themeColor="text1"/>
          <w:w w:val="99"/>
          <w:kern w:val="2"/>
          <w:sz w:val="24"/>
          <w:szCs w:val="24"/>
          <w:lang w:val="en-US" w:bidi="ar-SA"/>
          <w14:textFill>
            <w14:solidFill>
              <w14:schemeClr w14:val="tx1"/>
            </w14:solidFill>
          </w14:textFill>
        </w:rPr>
        <w:t>1996年4月开发， 龙虎泡油田西邻敖古拉油田，东邻哈尔温油田，北为金腾油田，南接龙南油田，龙虎泡油田包括龙 26 区块、龙 19 区块、龙 12 区块、龙 29 区块、 龙 31 区块、古 23 区块、金 27 区块、金 262 区块、金 274 区块等，本项目涉及的龙 26 区块位于龙虎泡油田区域内南部，龙</w:t>
      </w:r>
      <w:r>
        <w:rPr>
          <w:rFonts w:hint="eastAsia" w:ascii="Times New Roman" w:hAnsi="Times New Roman" w:cs="Times New Roman"/>
          <w:color w:val="000000" w:themeColor="text1"/>
          <w:w w:val="99"/>
          <w:kern w:val="2"/>
          <w:sz w:val="24"/>
          <w:szCs w:val="24"/>
          <w:lang w:val="en-US" w:bidi="ar-SA"/>
          <w14:textFill>
            <w14:solidFill>
              <w14:schemeClr w14:val="tx1"/>
            </w14:solidFill>
          </w14:textFill>
        </w:rPr>
        <w:t>2</w:t>
      </w:r>
      <w:r>
        <w:rPr>
          <w:rFonts w:ascii="Times New Roman" w:hAnsi="Times New Roman" w:cs="Times New Roman"/>
          <w:color w:val="000000" w:themeColor="text1"/>
          <w:w w:val="99"/>
          <w:kern w:val="2"/>
          <w:sz w:val="24"/>
          <w:szCs w:val="24"/>
          <w:lang w:val="en-US" w:bidi="ar-SA"/>
          <w14:textFill>
            <w14:solidFill>
              <w14:schemeClr w14:val="tx1"/>
            </w14:solidFill>
          </w14:textFill>
        </w:rPr>
        <w:t>6区块东临双榆树村，南临杏树岗泡，西侧与龙</w:t>
      </w:r>
      <w:r>
        <w:rPr>
          <w:rFonts w:hint="eastAsia" w:ascii="Times New Roman" w:hAnsi="Times New Roman" w:cs="Times New Roman"/>
          <w:color w:val="000000" w:themeColor="text1"/>
          <w:w w:val="99"/>
          <w:kern w:val="2"/>
          <w:sz w:val="24"/>
          <w:szCs w:val="24"/>
          <w:lang w:val="en-US" w:bidi="ar-SA"/>
          <w14:textFill>
            <w14:solidFill>
              <w14:schemeClr w14:val="tx1"/>
            </w14:solidFill>
          </w14:textFill>
        </w:rPr>
        <w:t>1</w:t>
      </w:r>
      <w:r>
        <w:rPr>
          <w:rFonts w:ascii="Times New Roman" w:hAnsi="Times New Roman" w:cs="Times New Roman"/>
          <w:color w:val="000000" w:themeColor="text1"/>
          <w:w w:val="99"/>
          <w:kern w:val="2"/>
          <w:sz w:val="24"/>
          <w:szCs w:val="24"/>
          <w:lang w:val="en-US" w:bidi="ar-SA"/>
          <w14:textFill>
            <w14:solidFill>
              <w14:schemeClr w14:val="tx1"/>
            </w14:solidFill>
          </w14:textFill>
        </w:rPr>
        <w:t>9区块相邻，北侧临近巴达哈嘎泡，</w:t>
      </w:r>
      <w:r>
        <w:rPr>
          <w:rFonts w:hint="eastAsia" w:ascii="Times New Roman" w:hAnsi="Times New Roman" w:cs="Times New Roman"/>
          <w:color w:val="000000" w:themeColor="text1"/>
          <w:w w:val="99"/>
          <w:kern w:val="2"/>
          <w:sz w:val="24"/>
          <w:szCs w:val="24"/>
          <w:lang w:val="en-US" w:bidi="ar-SA"/>
          <w14:textFill>
            <w14:solidFill>
              <w14:schemeClr w14:val="tx1"/>
            </w14:solidFill>
          </w14:textFill>
        </w:rPr>
        <w:t>区块</w:t>
      </w:r>
      <w:r>
        <w:rPr>
          <w:rFonts w:ascii="Times New Roman" w:hAnsi="Times New Roman" w:cs="Times New Roman"/>
          <w:color w:val="000000" w:themeColor="text1"/>
          <w:w w:val="99"/>
          <w:kern w:val="2"/>
          <w:sz w:val="24"/>
          <w:szCs w:val="24"/>
          <w:lang w:val="en-US" w:bidi="ar-SA"/>
          <w14:textFill>
            <w14:solidFill>
              <w14:schemeClr w14:val="tx1"/>
            </w14:solidFill>
          </w14:textFill>
        </w:rPr>
        <w:t>面积 48km</w:t>
      </w:r>
      <w:r>
        <w:rPr>
          <w:rFonts w:ascii="Times New Roman" w:hAnsi="Times New Roman" w:cs="Times New Roman"/>
          <w:color w:val="000000" w:themeColor="text1"/>
          <w:w w:val="99"/>
          <w:kern w:val="2"/>
          <w:sz w:val="24"/>
          <w:szCs w:val="24"/>
          <w:vertAlign w:val="superscript"/>
          <w:lang w:val="en-US" w:bidi="ar-SA"/>
          <w14:textFill>
            <w14:solidFill>
              <w14:schemeClr w14:val="tx1"/>
            </w14:solidFill>
          </w14:textFill>
        </w:rPr>
        <w:t>2</w:t>
      </w:r>
      <w:r>
        <w:rPr>
          <w:rFonts w:ascii="Times New Roman" w:hAnsi="Times New Roman" w:cs="Times New Roman"/>
          <w:color w:val="000000" w:themeColor="text1"/>
          <w:w w:val="99"/>
          <w:kern w:val="2"/>
          <w:sz w:val="24"/>
          <w:szCs w:val="24"/>
          <w:lang w:val="en-US" w:bidi="ar-SA"/>
          <w14:textFill>
            <w14:solidFill>
              <w14:schemeClr w14:val="tx1"/>
            </w14:solidFill>
          </w14:textFill>
        </w:rPr>
        <w:t>，地质储量 2124.07×10</w:t>
      </w:r>
      <w:r>
        <w:rPr>
          <w:rFonts w:ascii="Times New Roman" w:hAnsi="Times New Roman" w:cs="Times New Roman"/>
          <w:color w:val="000000" w:themeColor="text1"/>
          <w:w w:val="99"/>
          <w:kern w:val="2"/>
          <w:sz w:val="24"/>
          <w:szCs w:val="24"/>
          <w:vertAlign w:val="superscript"/>
          <w:lang w:val="en-US" w:bidi="ar-SA"/>
          <w14:textFill>
            <w14:solidFill>
              <w14:schemeClr w14:val="tx1"/>
            </w14:solidFill>
          </w14:textFill>
        </w:rPr>
        <w:t>4</w:t>
      </w:r>
      <w:r>
        <w:rPr>
          <w:rFonts w:ascii="Times New Roman" w:hAnsi="Times New Roman" w:cs="Times New Roman"/>
          <w:color w:val="000000" w:themeColor="text1"/>
          <w:w w:val="99"/>
          <w:kern w:val="2"/>
          <w:sz w:val="24"/>
          <w:szCs w:val="24"/>
          <w:lang w:val="en-US" w:bidi="ar-SA"/>
          <w14:textFill>
            <w14:solidFill>
              <w14:schemeClr w14:val="tx1"/>
            </w14:solidFill>
          </w14:textFill>
        </w:rPr>
        <w:t>t，</w:t>
      </w:r>
      <w:r>
        <w:rPr>
          <w:rFonts w:ascii="Times New Roman" w:hAnsi="Times New Roman" w:cs="Times New Roman"/>
          <w:bCs/>
          <w:color w:val="000000" w:themeColor="text1"/>
          <w:w w:val="99"/>
          <w:kern w:val="2"/>
          <w:sz w:val="24"/>
          <w:szCs w:val="24"/>
          <w:lang w:val="en-US" w:bidi="ar-SA"/>
          <w14:textFill>
            <w14:solidFill>
              <w14:schemeClr w14:val="tx1"/>
            </w14:solidFill>
          </w14:textFill>
        </w:rPr>
        <w:t>区块内建有较为完善的油、气、水、电、路、信等工程，区块内涉及的场站主要为</w:t>
      </w:r>
      <w:r>
        <w:rPr>
          <w:rFonts w:hint="eastAsia" w:ascii="Times New Roman" w:hAnsi="Times New Roman" w:cs="Times New Roman"/>
          <w:bCs/>
          <w:color w:val="000000" w:themeColor="text1"/>
          <w:w w:val="99"/>
          <w:kern w:val="2"/>
          <w:sz w:val="24"/>
          <w:szCs w:val="24"/>
          <w:lang w:val="en-US" w:bidi="ar-SA"/>
          <w14:textFill>
            <w14:solidFill>
              <w14:schemeClr w14:val="tx1"/>
            </w14:solidFill>
          </w14:textFill>
        </w:rPr>
        <w:t>1</w:t>
      </w:r>
      <w:r>
        <w:rPr>
          <w:rFonts w:ascii="Times New Roman" w:hAnsi="Times New Roman" w:cs="Times New Roman"/>
          <w:bCs/>
          <w:color w:val="000000" w:themeColor="text1"/>
          <w:w w:val="99"/>
          <w:kern w:val="2"/>
          <w:sz w:val="24"/>
          <w:szCs w:val="24"/>
          <w:lang w:val="en-US" w:bidi="ar-SA"/>
          <w14:textFill>
            <w14:solidFill>
              <w14:schemeClr w14:val="tx1"/>
            </w14:solidFill>
          </w14:textFill>
        </w:rPr>
        <w:t>1座拉油点、龙一联合站，</w:t>
      </w:r>
      <w:r>
        <w:rPr>
          <w:rFonts w:ascii="Times New Roman" w:hAnsi="Times New Roman" w:cs="Times New Roman"/>
          <w:bCs/>
          <w:color w:val="000000" w:themeColor="text1"/>
          <w:w w:val="99"/>
          <w:kern w:val="2"/>
          <w:sz w:val="24"/>
          <w:szCs w:val="24"/>
          <w:lang w:val="en-US"/>
          <w14:textFill>
            <w14:solidFill>
              <w14:schemeClr w14:val="tx1"/>
            </w14:solidFill>
          </w14:textFill>
        </w:rPr>
        <w:t>各拉油点的建设情况见表3.2-1，</w:t>
      </w:r>
      <w:r>
        <w:rPr>
          <w:rFonts w:ascii="Times New Roman" w:hAnsi="Times New Roman" w:cs="Times New Roman"/>
          <w:bCs/>
          <w:color w:val="000000" w:themeColor="text1"/>
          <w:w w:val="99"/>
          <w:kern w:val="2"/>
          <w:sz w:val="24"/>
          <w:szCs w:val="24"/>
          <w:lang w:val="en-US" w:bidi="ar-SA"/>
          <w14:textFill>
            <w14:solidFill>
              <w14:schemeClr w14:val="tx1"/>
            </w14:solidFill>
          </w14:textFill>
        </w:rPr>
        <w:t>本项目与</w:t>
      </w:r>
      <w:r>
        <w:rPr>
          <w:rFonts w:hint="eastAsia" w:ascii="Times New Roman" w:hAnsi="Times New Roman" w:cs="Times New Roman"/>
          <w:bCs/>
          <w:color w:val="000000" w:themeColor="text1"/>
          <w:w w:val="99"/>
          <w:kern w:val="2"/>
          <w:sz w:val="24"/>
          <w:szCs w:val="24"/>
          <w:lang w:val="en-US" w:bidi="ar-SA"/>
          <w14:textFill>
            <w14:solidFill>
              <w14:schemeClr w14:val="tx1"/>
            </w14:solidFill>
          </w14:textFill>
        </w:rPr>
        <w:t>龙虎泡油田龙2</w:t>
      </w:r>
      <w:r>
        <w:rPr>
          <w:rFonts w:ascii="Times New Roman" w:hAnsi="Times New Roman" w:cs="Times New Roman"/>
          <w:bCs/>
          <w:color w:val="000000" w:themeColor="text1"/>
          <w:w w:val="99"/>
          <w:kern w:val="2"/>
          <w:sz w:val="24"/>
          <w:szCs w:val="24"/>
          <w:lang w:val="en-US" w:bidi="ar-SA"/>
          <w14:textFill>
            <w14:solidFill>
              <w14:schemeClr w14:val="tx1"/>
            </w14:solidFill>
          </w14:textFill>
        </w:rPr>
        <w:t>6区块位置关系图见附图23。</w:t>
      </w:r>
    </w:p>
    <w:p w14:paraId="78125FB1">
      <w:pPr>
        <w:widowControl/>
        <w:spacing w:line="440" w:lineRule="exact"/>
        <w:ind w:firstLine="476" w:firstLineChars="200"/>
        <w:jc w:val="both"/>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表3.2-1    各拉油点的建设情况统计表</w:t>
      </w:r>
    </w:p>
    <w:tbl>
      <w:tblPr>
        <w:tblStyle w:val="8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1784"/>
        <w:gridCol w:w="1429"/>
        <w:gridCol w:w="1433"/>
        <w:gridCol w:w="1031"/>
        <w:gridCol w:w="1031"/>
        <w:gridCol w:w="871"/>
        <w:gridCol w:w="1048"/>
      </w:tblGrid>
      <w:tr w14:paraId="7963C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vAlign w:val="center"/>
          </w:tcPr>
          <w:p w14:paraId="73EDF7F8">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序号</w:t>
            </w:r>
          </w:p>
        </w:tc>
        <w:tc>
          <w:tcPr>
            <w:tcW w:w="960" w:type="pct"/>
            <w:vAlign w:val="center"/>
          </w:tcPr>
          <w:p w14:paraId="0B4EC9E0">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拉油点名称</w:t>
            </w:r>
          </w:p>
        </w:tc>
        <w:tc>
          <w:tcPr>
            <w:tcW w:w="769" w:type="pct"/>
          </w:tcPr>
          <w:p w14:paraId="68A355B0">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辖井数（口）</w:t>
            </w:r>
          </w:p>
        </w:tc>
        <w:tc>
          <w:tcPr>
            <w:tcW w:w="771" w:type="pct"/>
            <w:vAlign w:val="center"/>
          </w:tcPr>
          <w:p w14:paraId="5D1B2D6F">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九合一储罐规格（m</w:t>
            </w:r>
            <w:r>
              <w:rPr>
                <w:rFonts w:ascii="Times New Roman" w:hAnsi="Times New Roman" w:cs="Times New Roman" w:eastAsiaTheme="minorEastAsia"/>
                <w:color w:val="000000" w:themeColor="text1"/>
                <w:w w:val="99"/>
                <w:sz w:val="21"/>
                <w:szCs w:val="21"/>
                <w:vertAlign w:val="superscript"/>
                <w:lang w:val="en-US"/>
                <w14:textFill>
                  <w14:solidFill>
                    <w14:schemeClr w14:val="tx1"/>
                  </w14:solidFill>
                </w14:textFill>
              </w:rPr>
              <w:t>3</w:t>
            </w:r>
            <w:r>
              <w:rPr>
                <w:rFonts w:ascii="Times New Roman" w:hAnsi="Times New Roman" w:cs="Times New Roman" w:eastAsiaTheme="minorEastAsia"/>
                <w:color w:val="000000" w:themeColor="text1"/>
                <w:w w:val="99"/>
                <w:sz w:val="21"/>
                <w:szCs w:val="21"/>
                <w:lang w:val="en-US"/>
                <w14:textFill>
                  <w14:solidFill>
                    <w14:schemeClr w14:val="tx1"/>
                  </w14:solidFill>
                </w14:textFill>
              </w:rPr>
              <w:t>）</w:t>
            </w:r>
          </w:p>
        </w:tc>
        <w:tc>
          <w:tcPr>
            <w:tcW w:w="555" w:type="pct"/>
            <w:vAlign w:val="center"/>
          </w:tcPr>
          <w:p w14:paraId="76AAD5C2">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数量（座）</w:t>
            </w:r>
          </w:p>
        </w:tc>
        <w:tc>
          <w:tcPr>
            <w:tcW w:w="555" w:type="pct"/>
            <w:vAlign w:val="center"/>
          </w:tcPr>
          <w:p w14:paraId="12D77CE6">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产液量（t/d）</w:t>
            </w:r>
          </w:p>
        </w:tc>
        <w:tc>
          <w:tcPr>
            <w:tcW w:w="469" w:type="pct"/>
            <w:vAlign w:val="center"/>
          </w:tcPr>
          <w:p w14:paraId="6FDF3C1F">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产油量（t/d）</w:t>
            </w:r>
          </w:p>
        </w:tc>
        <w:tc>
          <w:tcPr>
            <w:tcW w:w="564" w:type="pct"/>
            <w:vAlign w:val="center"/>
          </w:tcPr>
          <w:p w14:paraId="621276C8">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产气量（m</w:t>
            </w:r>
            <w:r>
              <w:rPr>
                <w:rFonts w:ascii="Times New Roman" w:hAnsi="Times New Roman" w:cs="Times New Roman" w:eastAsiaTheme="minorEastAsia"/>
                <w:color w:val="000000" w:themeColor="text1"/>
                <w:w w:val="99"/>
                <w:sz w:val="21"/>
                <w:szCs w:val="21"/>
                <w:vertAlign w:val="superscript"/>
                <w:lang w:val="en-US"/>
                <w14:textFill>
                  <w14:solidFill>
                    <w14:schemeClr w14:val="tx1"/>
                  </w14:solidFill>
                </w14:textFill>
              </w:rPr>
              <w:t>3</w:t>
            </w:r>
            <w:r>
              <w:rPr>
                <w:rFonts w:ascii="Times New Roman" w:hAnsi="Times New Roman" w:cs="Times New Roman" w:eastAsiaTheme="minorEastAsia"/>
                <w:color w:val="000000" w:themeColor="text1"/>
                <w:w w:val="99"/>
                <w:sz w:val="21"/>
                <w:szCs w:val="21"/>
                <w:lang w:val="en-US"/>
                <w14:textFill>
                  <w14:solidFill>
                    <w14:schemeClr w14:val="tx1"/>
                  </w14:solidFill>
                </w14:textFill>
              </w:rPr>
              <w:t>/d）</w:t>
            </w:r>
          </w:p>
        </w:tc>
      </w:tr>
      <w:tr w14:paraId="44A46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noWrap/>
            <w:vAlign w:val="center"/>
          </w:tcPr>
          <w:p w14:paraId="046A9C4A">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1</w:t>
            </w:r>
          </w:p>
        </w:tc>
        <w:tc>
          <w:tcPr>
            <w:tcW w:w="960" w:type="pct"/>
            <w:noWrap/>
            <w:vAlign w:val="center"/>
          </w:tcPr>
          <w:p w14:paraId="08FA7D41">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9号拉油点</w:t>
            </w:r>
          </w:p>
        </w:tc>
        <w:tc>
          <w:tcPr>
            <w:tcW w:w="769" w:type="pct"/>
          </w:tcPr>
          <w:p w14:paraId="0CA3ED33">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4</w:t>
            </w:r>
          </w:p>
        </w:tc>
        <w:tc>
          <w:tcPr>
            <w:tcW w:w="771" w:type="pct"/>
            <w:noWrap/>
            <w:vAlign w:val="center"/>
          </w:tcPr>
          <w:p w14:paraId="07CF750E">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80</w:t>
            </w:r>
          </w:p>
        </w:tc>
        <w:tc>
          <w:tcPr>
            <w:tcW w:w="555" w:type="pct"/>
            <w:noWrap/>
            <w:vAlign w:val="center"/>
          </w:tcPr>
          <w:p w14:paraId="3CCA3E0D">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4</w:t>
            </w:r>
          </w:p>
        </w:tc>
        <w:tc>
          <w:tcPr>
            <w:tcW w:w="555" w:type="pct"/>
            <w:noWrap/>
            <w:vAlign w:val="center"/>
          </w:tcPr>
          <w:p w14:paraId="35BB59C1">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8.9</w:t>
            </w:r>
          </w:p>
        </w:tc>
        <w:tc>
          <w:tcPr>
            <w:tcW w:w="469" w:type="pct"/>
            <w:noWrap/>
            <w:vAlign w:val="center"/>
          </w:tcPr>
          <w:p w14:paraId="6F6F2391">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2.28</w:t>
            </w:r>
          </w:p>
        </w:tc>
        <w:tc>
          <w:tcPr>
            <w:tcW w:w="564" w:type="pct"/>
            <w:vAlign w:val="center"/>
          </w:tcPr>
          <w:p w14:paraId="15B46571">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155</w:t>
            </w:r>
          </w:p>
        </w:tc>
      </w:tr>
      <w:tr w14:paraId="03028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noWrap/>
            <w:vAlign w:val="center"/>
          </w:tcPr>
          <w:p w14:paraId="72CE498D">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2</w:t>
            </w:r>
          </w:p>
        </w:tc>
        <w:tc>
          <w:tcPr>
            <w:tcW w:w="960" w:type="pct"/>
            <w:noWrap/>
            <w:vAlign w:val="center"/>
          </w:tcPr>
          <w:p w14:paraId="6EE8A539">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龙242-斜3拉油点</w:t>
            </w:r>
          </w:p>
        </w:tc>
        <w:tc>
          <w:tcPr>
            <w:tcW w:w="769" w:type="pct"/>
          </w:tcPr>
          <w:p w14:paraId="6E177769">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3</w:t>
            </w:r>
          </w:p>
        </w:tc>
        <w:tc>
          <w:tcPr>
            <w:tcW w:w="771" w:type="pct"/>
            <w:noWrap/>
            <w:vAlign w:val="center"/>
          </w:tcPr>
          <w:p w14:paraId="154CF327">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40</w:t>
            </w:r>
          </w:p>
        </w:tc>
        <w:tc>
          <w:tcPr>
            <w:tcW w:w="555" w:type="pct"/>
            <w:noWrap/>
            <w:vAlign w:val="center"/>
          </w:tcPr>
          <w:p w14:paraId="4418EA52">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1</w:t>
            </w:r>
          </w:p>
        </w:tc>
        <w:tc>
          <w:tcPr>
            <w:tcW w:w="555" w:type="pct"/>
            <w:noWrap/>
            <w:vAlign w:val="center"/>
          </w:tcPr>
          <w:p w14:paraId="0AE22CC0">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5.2</w:t>
            </w:r>
          </w:p>
        </w:tc>
        <w:tc>
          <w:tcPr>
            <w:tcW w:w="469" w:type="pct"/>
            <w:noWrap/>
            <w:vAlign w:val="center"/>
          </w:tcPr>
          <w:p w14:paraId="21DB76E0">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3.4</w:t>
            </w:r>
          </w:p>
        </w:tc>
        <w:tc>
          <w:tcPr>
            <w:tcW w:w="564" w:type="pct"/>
            <w:vAlign w:val="center"/>
          </w:tcPr>
          <w:p w14:paraId="7B6C40E5">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247</w:t>
            </w:r>
          </w:p>
        </w:tc>
      </w:tr>
      <w:tr w14:paraId="75889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vAlign w:val="center"/>
          </w:tcPr>
          <w:p w14:paraId="1268BA46">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3</w:t>
            </w:r>
          </w:p>
        </w:tc>
        <w:tc>
          <w:tcPr>
            <w:tcW w:w="960" w:type="pct"/>
            <w:vAlign w:val="center"/>
          </w:tcPr>
          <w:p w14:paraId="56BEBB0A">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龙27-1拉油点</w:t>
            </w:r>
          </w:p>
        </w:tc>
        <w:tc>
          <w:tcPr>
            <w:tcW w:w="769" w:type="pct"/>
          </w:tcPr>
          <w:p w14:paraId="6E1A5488">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3</w:t>
            </w:r>
          </w:p>
        </w:tc>
        <w:tc>
          <w:tcPr>
            <w:tcW w:w="771" w:type="pct"/>
            <w:vAlign w:val="center"/>
          </w:tcPr>
          <w:p w14:paraId="0329E6D0">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40</w:t>
            </w:r>
          </w:p>
        </w:tc>
        <w:tc>
          <w:tcPr>
            <w:tcW w:w="555" w:type="pct"/>
            <w:vAlign w:val="center"/>
          </w:tcPr>
          <w:p w14:paraId="79886159">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1</w:t>
            </w:r>
          </w:p>
        </w:tc>
        <w:tc>
          <w:tcPr>
            <w:tcW w:w="555" w:type="pct"/>
            <w:vAlign w:val="center"/>
          </w:tcPr>
          <w:p w14:paraId="000B7E7C">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11.5</w:t>
            </w:r>
          </w:p>
        </w:tc>
        <w:tc>
          <w:tcPr>
            <w:tcW w:w="469" w:type="pct"/>
            <w:vAlign w:val="center"/>
          </w:tcPr>
          <w:p w14:paraId="54001BDC">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3.9</w:t>
            </w:r>
          </w:p>
        </w:tc>
        <w:tc>
          <w:tcPr>
            <w:tcW w:w="564" w:type="pct"/>
            <w:vAlign w:val="center"/>
          </w:tcPr>
          <w:p w14:paraId="2339A556">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244</w:t>
            </w:r>
          </w:p>
        </w:tc>
      </w:tr>
      <w:tr w14:paraId="3126E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noWrap/>
            <w:vAlign w:val="center"/>
          </w:tcPr>
          <w:p w14:paraId="131320C7">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4</w:t>
            </w:r>
          </w:p>
        </w:tc>
        <w:tc>
          <w:tcPr>
            <w:tcW w:w="960" w:type="pct"/>
            <w:vAlign w:val="center"/>
          </w:tcPr>
          <w:p w14:paraId="5FDD1BE0">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龙27-斜6拉油点</w:t>
            </w:r>
          </w:p>
        </w:tc>
        <w:tc>
          <w:tcPr>
            <w:tcW w:w="769" w:type="pct"/>
          </w:tcPr>
          <w:p w14:paraId="4083594F">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10</w:t>
            </w:r>
          </w:p>
        </w:tc>
        <w:tc>
          <w:tcPr>
            <w:tcW w:w="771" w:type="pct"/>
            <w:vAlign w:val="center"/>
          </w:tcPr>
          <w:p w14:paraId="0A060BFC">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40</w:t>
            </w:r>
          </w:p>
        </w:tc>
        <w:tc>
          <w:tcPr>
            <w:tcW w:w="555" w:type="pct"/>
            <w:vAlign w:val="center"/>
          </w:tcPr>
          <w:p w14:paraId="250685AF">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5</w:t>
            </w:r>
          </w:p>
        </w:tc>
        <w:tc>
          <w:tcPr>
            <w:tcW w:w="555" w:type="pct"/>
            <w:vAlign w:val="center"/>
          </w:tcPr>
          <w:p w14:paraId="06435AD4">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22.0</w:t>
            </w:r>
          </w:p>
        </w:tc>
        <w:tc>
          <w:tcPr>
            <w:tcW w:w="469" w:type="pct"/>
            <w:vAlign w:val="center"/>
          </w:tcPr>
          <w:p w14:paraId="610018BB">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10.88</w:t>
            </w:r>
          </w:p>
        </w:tc>
        <w:tc>
          <w:tcPr>
            <w:tcW w:w="564" w:type="pct"/>
            <w:vAlign w:val="center"/>
          </w:tcPr>
          <w:p w14:paraId="5BC1B418">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843</w:t>
            </w:r>
          </w:p>
        </w:tc>
      </w:tr>
      <w:tr w14:paraId="4B7CE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noWrap/>
            <w:vAlign w:val="center"/>
          </w:tcPr>
          <w:p w14:paraId="3C944002">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5</w:t>
            </w:r>
          </w:p>
        </w:tc>
        <w:tc>
          <w:tcPr>
            <w:tcW w:w="960" w:type="pct"/>
            <w:vAlign w:val="center"/>
          </w:tcPr>
          <w:p w14:paraId="1E684F1E">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4号拉油点</w:t>
            </w:r>
          </w:p>
        </w:tc>
        <w:tc>
          <w:tcPr>
            <w:tcW w:w="769" w:type="pct"/>
          </w:tcPr>
          <w:p w14:paraId="22AFE2D4">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9</w:t>
            </w:r>
          </w:p>
        </w:tc>
        <w:tc>
          <w:tcPr>
            <w:tcW w:w="771" w:type="pct"/>
            <w:vAlign w:val="center"/>
          </w:tcPr>
          <w:p w14:paraId="509DA9F1">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80</w:t>
            </w:r>
          </w:p>
        </w:tc>
        <w:tc>
          <w:tcPr>
            <w:tcW w:w="555" w:type="pct"/>
            <w:vAlign w:val="center"/>
          </w:tcPr>
          <w:p w14:paraId="4B8D74F7">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5</w:t>
            </w:r>
          </w:p>
        </w:tc>
        <w:tc>
          <w:tcPr>
            <w:tcW w:w="555" w:type="pct"/>
            <w:vAlign w:val="center"/>
          </w:tcPr>
          <w:p w14:paraId="0CCD0F96">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48.83</w:t>
            </w:r>
          </w:p>
        </w:tc>
        <w:tc>
          <w:tcPr>
            <w:tcW w:w="469" w:type="pct"/>
            <w:vAlign w:val="center"/>
          </w:tcPr>
          <w:p w14:paraId="31DB9787">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20.03</w:t>
            </w:r>
          </w:p>
        </w:tc>
        <w:tc>
          <w:tcPr>
            <w:tcW w:w="564" w:type="pct"/>
            <w:vAlign w:val="center"/>
          </w:tcPr>
          <w:p w14:paraId="5050EC0F">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929</w:t>
            </w:r>
          </w:p>
        </w:tc>
      </w:tr>
      <w:tr w14:paraId="3CC4E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vAlign w:val="center"/>
          </w:tcPr>
          <w:p w14:paraId="1211A6E6">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6</w:t>
            </w:r>
          </w:p>
        </w:tc>
        <w:tc>
          <w:tcPr>
            <w:tcW w:w="960" w:type="pct"/>
            <w:vAlign w:val="center"/>
          </w:tcPr>
          <w:p w14:paraId="4A3C80AC">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5号拉油点</w:t>
            </w:r>
          </w:p>
        </w:tc>
        <w:tc>
          <w:tcPr>
            <w:tcW w:w="769" w:type="pct"/>
          </w:tcPr>
          <w:p w14:paraId="0E212C64">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4</w:t>
            </w:r>
          </w:p>
        </w:tc>
        <w:tc>
          <w:tcPr>
            <w:tcW w:w="771" w:type="pct"/>
            <w:vAlign w:val="center"/>
          </w:tcPr>
          <w:p w14:paraId="29B0AD01">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40</w:t>
            </w:r>
          </w:p>
        </w:tc>
        <w:tc>
          <w:tcPr>
            <w:tcW w:w="555" w:type="pct"/>
            <w:vAlign w:val="center"/>
          </w:tcPr>
          <w:p w14:paraId="79E9CD6F">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2</w:t>
            </w:r>
          </w:p>
        </w:tc>
        <w:tc>
          <w:tcPr>
            <w:tcW w:w="555" w:type="pct"/>
            <w:vAlign w:val="center"/>
          </w:tcPr>
          <w:p w14:paraId="197B25DF">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6.6</w:t>
            </w:r>
          </w:p>
        </w:tc>
        <w:tc>
          <w:tcPr>
            <w:tcW w:w="469" w:type="pct"/>
            <w:vAlign w:val="center"/>
          </w:tcPr>
          <w:p w14:paraId="246889F2">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5.6</w:t>
            </w:r>
          </w:p>
        </w:tc>
        <w:tc>
          <w:tcPr>
            <w:tcW w:w="564" w:type="pct"/>
            <w:vAlign w:val="center"/>
          </w:tcPr>
          <w:p w14:paraId="5980C9A7">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380</w:t>
            </w:r>
          </w:p>
        </w:tc>
      </w:tr>
      <w:tr w14:paraId="37240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vAlign w:val="center"/>
          </w:tcPr>
          <w:p w14:paraId="68498209">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7</w:t>
            </w:r>
          </w:p>
        </w:tc>
        <w:tc>
          <w:tcPr>
            <w:tcW w:w="960" w:type="pct"/>
            <w:vAlign w:val="center"/>
          </w:tcPr>
          <w:p w14:paraId="670E7D71">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8号拉油点</w:t>
            </w:r>
          </w:p>
        </w:tc>
        <w:tc>
          <w:tcPr>
            <w:tcW w:w="769" w:type="pct"/>
          </w:tcPr>
          <w:p w14:paraId="31EF40A7">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7</w:t>
            </w:r>
          </w:p>
        </w:tc>
        <w:tc>
          <w:tcPr>
            <w:tcW w:w="771" w:type="pct"/>
            <w:vAlign w:val="center"/>
          </w:tcPr>
          <w:p w14:paraId="42901006">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80</w:t>
            </w:r>
          </w:p>
        </w:tc>
        <w:tc>
          <w:tcPr>
            <w:tcW w:w="555" w:type="pct"/>
            <w:vAlign w:val="center"/>
          </w:tcPr>
          <w:p w14:paraId="2BC3895A">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5</w:t>
            </w:r>
          </w:p>
        </w:tc>
        <w:tc>
          <w:tcPr>
            <w:tcW w:w="555" w:type="pct"/>
            <w:vAlign w:val="center"/>
          </w:tcPr>
          <w:p w14:paraId="07790D01">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52.4</w:t>
            </w:r>
          </w:p>
        </w:tc>
        <w:tc>
          <w:tcPr>
            <w:tcW w:w="469" w:type="pct"/>
            <w:vAlign w:val="center"/>
          </w:tcPr>
          <w:p w14:paraId="49F48188">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22.94</w:t>
            </w:r>
          </w:p>
        </w:tc>
        <w:tc>
          <w:tcPr>
            <w:tcW w:w="564" w:type="pct"/>
            <w:vAlign w:val="center"/>
          </w:tcPr>
          <w:p w14:paraId="441A11A7">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885</w:t>
            </w:r>
          </w:p>
        </w:tc>
      </w:tr>
      <w:tr w14:paraId="3F5FF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vAlign w:val="center"/>
          </w:tcPr>
          <w:p w14:paraId="7C04B2F5">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8</w:t>
            </w:r>
          </w:p>
        </w:tc>
        <w:tc>
          <w:tcPr>
            <w:tcW w:w="960" w:type="pct"/>
            <w:vAlign w:val="center"/>
          </w:tcPr>
          <w:p w14:paraId="5B525AFC">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龙27-5拉油点</w:t>
            </w:r>
          </w:p>
        </w:tc>
        <w:tc>
          <w:tcPr>
            <w:tcW w:w="769" w:type="pct"/>
          </w:tcPr>
          <w:p w14:paraId="01796AAA">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1</w:t>
            </w:r>
          </w:p>
        </w:tc>
        <w:tc>
          <w:tcPr>
            <w:tcW w:w="771" w:type="pct"/>
            <w:vAlign w:val="center"/>
          </w:tcPr>
          <w:p w14:paraId="29FDAB90">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40</w:t>
            </w:r>
          </w:p>
        </w:tc>
        <w:tc>
          <w:tcPr>
            <w:tcW w:w="555" w:type="pct"/>
            <w:vAlign w:val="center"/>
          </w:tcPr>
          <w:p w14:paraId="03AB88D0">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1</w:t>
            </w:r>
          </w:p>
        </w:tc>
        <w:tc>
          <w:tcPr>
            <w:tcW w:w="555" w:type="pct"/>
            <w:vAlign w:val="center"/>
          </w:tcPr>
          <w:p w14:paraId="66AC35D7">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6.6</w:t>
            </w:r>
          </w:p>
        </w:tc>
        <w:tc>
          <w:tcPr>
            <w:tcW w:w="469" w:type="pct"/>
            <w:vAlign w:val="center"/>
          </w:tcPr>
          <w:p w14:paraId="779A69FB">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1.31</w:t>
            </w:r>
          </w:p>
        </w:tc>
        <w:tc>
          <w:tcPr>
            <w:tcW w:w="564" w:type="pct"/>
            <w:vAlign w:val="center"/>
          </w:tcPr>
          <w:p w14:paraId="79E0C7DA">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82</w:t>
            </w:r>
          </w:p>
        </w:tc>
      </w:tr>
      <w:tr w14:paraId="28232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vAlign w:val="center"/>
          </w:tcPr>
          <w:p w14:paraId="5FC175B2">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9</w:t>
            </w:r>
          </w:p>
        </w:tc>
        <w:tc>
          <w:tcPr>
            <w:tcW w:w="960" w:type="pct"/>
            <w:vAlign w:val="center"/>
          </w:tcPr>
          <w:p w14:paraId="1BCD1E35">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龙26-平54拉油点</w:t>
            </w:r>
          </w:p>
        </w:tc>
        <w:tc>
          <w:tcPr>
            <w:tcW w:w="769" w:type="pct"/>
          </w:tcPr>
          <w:p w14:paraId="270CAA5A">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1</w:t>
            </w:r>
          </w:p>
        </w:tc>
        <w:tc>
          <w:tcPr>
            <w:tcW w:w="771" w:type="pct"/>
            <w:vAlign w:val="center"/>
          </w:tcPr>
          <w:p w14:paraId="2BF00308">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40</w:t>
            </w:r>
          </w:p>
        </w:tc>
        <w:tc>
          <w:tcPr>
            <w:tcW w:w="555" w:type="pct"/>
            <w:vAlign w:val="center"/>
          </w:tcPr>
          <w:p w14:paraId="31B1168F">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2</w:t>
            </w:r>
          </w:p>
        </w:tc>
        <w:tc>
          <w:tcPr>
            <w:tcW w:w="555" w:type="pct"/>
            <w:vAlign w:val="center"/>
          </w:tcPr>
          <w:p w14:paraId="71BB3ED1">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4.3</w:t>
            </w:r>
          </w:p>
        </w:tc>
        <w:tc>
          <w:tcPr>
            <w:tcW w:w="469" w:type="pct"/>
            <w:vAlign w:val="center"/>
          </w:tcPr>
          <w:p w14:paraId="3765D415">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2.27</w:t>
            </w:r>
          </w:p>
        </w:tc>
        <w:tc>
          <w:tcPr>
            <w:tcW w:w="564" w:type="pct"/>
            <w:vAlign w:val="center"/>
          </w:tcPr>
          <w:p w14:paraId="588602B8">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176</w:t>
            </w:r>
          </w:p>
        </w:tc>
      </w:tr>
      <w:tr w14:paraId="30270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vAlign w:val="center"/>
          </w:tcPr>
          <w:p w14:paraId="6764BB2F">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10</w:t>
            </w:r>
          </w:p>
        </w:tc>
        <w:tc>
          <w:tcPr>
            <w:tcW w:w="960" w:type="pct"/>
            <w:vAlign w:val="center"/>
          </w:tcPr>
          <w:p w14:paraId="1E6DEAEB">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龙242-1拉油点</w:t>
            </w:r>
          </w:p>
        </w:tc>
        <w:tc>
          <w:tcPr>
            <w:tcW w:w="769" w:type="pct"/>
          </w:tcPr>
          <w:p w14:paraId="79DA01F9">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1</w:t>
            </w:r>
          </w:p>
        </w:tc>
        <w:tc>
          <w:tcPr>
            <w:tcW w:w="771" w:type="pct"/>
            <w:vAlign w:val="center"/>
          </w:tcPr>
          <w:p w14:paraId="3B8AAE09">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40</w:t>
            </w:r>
          </w:p>
        </w:tc>
        <w:tc>
          <w:tcPr>
            <w:tcW w:w="555" w:type="pct"/>
            <w:vAlign w:val="center"/>
          </w:tcPr>
          <w:p w14:paraId="52435D6B">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2</w:t>
            </w:r>
          </w:p>
        </w:tc>
        <w:tc>
          <w:tcPr>
            <w:tcW w:w="555" w:type="pct"/>
            <w:vAlign w:val="center"/>
          </w:tcPr>
          <w:p w14:paraId="7D63BD04">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7.3</w:t>
            </w:r>
          </w:p>
        </w:tc>
        <w:tc>
          <w:tcPr>
            <w:tcW w:w="469" w:type="pct"/>
            <w:vAlign w:val="center"/>
          </w:tcPr>
          <w:p w14:paraId="765738E9">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4.06</w:t>
            </w:r>
          </w:p>
        </w:tc>
        <w:tc>
          <w:tcPr>
            <w:tcW w:w="564" w:type="pct"/>
            <w:vAlign w:val="center"/>
          </w:tcPr>
          <w:p w14:paraId="0B2F4998">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295</w:t>
            </w:r>
          </w:p>
        </w:tc>
      </w:tr>
      <w:tr w14:paraId="0B3AC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vAlign w:val="center"/>
          </w:tcPr>
          <w:p w14:paraId="63F55848">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11</w:t>
            </w:r>
          </w:p>
        </w:tc>
        <w:tc>
          <w:tcPr>
            <w:tcW w:w="960" w:type="pct"/>
            <w:vAlign w:val="center"/>
          </w:tcPr>
          <w:p w14:paraId="5648ADFA">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17平台拉油点</w:t>
            </w:r>
          </w:p>
        </w:tc>
        <w:tc>
          <w:tcPr>
            <w:tcW w:w="769" w:type="pct"/>
          </w:tcPr>
          <w:p w14:paraId="3D473845">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8</w:t>
            </w:r>
          </w:p>
        </w:tc>
        <w:tc>
          <w:tcPr>
            <w:tcW w:w="771" w:type="pct"/>
            <w:vAlign w:val="center"/>
          </w:tcPr>
          <w:p w14:paraId="704690D8">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40</w:t>
            </w:r>
          </w:p>
        </w:tc>
        <w:tc>
          <w:tcPr>
            <w:tcW w:w="555" w:type="pct"/>
            <w:vAlign w:val="center"/>
          </w:tcPr>
          <w:p w14:paraId="5E2FB03E">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2</w:t>
            </w:r>
          </w:p>
        </w:tc>
        <w:tc>
          <w:tcPr>
            <w:tcW w:w="555" w:type="pct"/>
            <w:vAlign w:val="center"/>
          </w:tcPr>
          <w:p w14:paraId="66892B70">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28.69</w:t>
            </w:r>
          </w:p>
        </w:tc>
        <w:tc>
          <w:tcPr>
            <w:tcW w:w="469" w:type="pct"/>
            <w:vAlign w:val="center"/>
          </w:tcPr>
          <w:p w14:paraId="37545DA0">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12.56</w:t>
            </w:r>
          </w:p>
        </w:tc>
        <w:tc>
          <w:tcPr>
            <w:tcW w:w="564" w:type="pct"/>
            <w:vAlign w:val="center"/>
          </w:tcPr>
          <w:p w14:paraId="3A989938">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628</w:t>
            </w:r>
          </w:p>
        </w:tc>
      </w:tr>
    </w:tbl>
    <w:p w14:paraId="1F53CED4">
      <w:pPr>
        <w:autoSpaceDE/>
        <w:autoSpaceDN/>
        <w:spacing w:line="440" w:lineRule="exact"/>
        <w:ind w:firstLine="482"/>
        <w:jc w:val="both"/>
        <w:rPr>
          <w:rFonts w:ascii="Times New Roman" w:hAnsi="Times New Roman" w:cs="Times New Roman"/>
          <w:color w:val="000000" w:themeColor="text1"/>
          <w:w w:val="99"/>
          <w:kern w:val="21"/>
          <w:sz w:val="24"/>
          <w:szCs w:val="20"/>
          <w:lang w:val="en-US" w:bidi="ar-SA"/>
          <w14:textFill>
            <w14:solidFill>
              <w14:schemeClr w14:val="tx1"/>
            </w14:solidFill>
          </w14:textFill>
        </w:rPr>
      </w:pPr>
      <w:r>
        <w:rPr>
          <w:rFonts w:ascii="Times New Roman" w:hAnsi="Times New Roman" w:cs="Times New Roman"/>
          <w:color w:val="000000" w:themeColor="text1"/>
          <w:w w:val="99"/>
          <w:sz w:val="24"/>
          <w:szCs w:val="24"/>
          <w:lang w:val="en-US" w:bidi="ar-SA"/>
          <w14:textFill>
            <w14:solidFill>
              <w14:schemeClr w14:val="tx1"/>
            </w14:solidFill>
          </w14:textFill>
        </w:rPr>
        <w:t>截至目前，</w:t>
      </w:r>
      <w:r>
        <w:rPr>
          <w:rFonts w:hint="eastAsia" w:ascii="Times New Roman" w:hAnsi="Times New Roman" w:cs="Times New Roman"/>
          <w:color w:val="000000" w:themeColor="text1"/>
          <w:w w:val="99"/>
          <w:sz w:val="24"/>
          <w:szCs w:val="24"/>
          <w:lang w:val="en-US" w:bidi="ar-SA"/>
          <w14:textFill>
            <w14:solidFill>
              <w14:schemeClr w14:val="tx1"/>
            </w14:solidFill>
          </w14:textFill>
        </w:rPr>
        <w:t>龙2</w:t>
      </w:r>
      <w:r>
        <w:rPr>
          <w:rFonts w:ascii="Times New Roman" w:hAnsi="Times New Roman" w:cs="Times New Roman"/>
          <w:color w:val="000000" w:themeColor="text1"/>
          <w:w w:val="99"/>
          <w:sz w:val="24"/>
          <w:szCs w:val="24"/>
          <w:lang w:val="en-US" w:bidi="ar-SA"/>
          <w14:textFill>
            <w14:solidFill>
              <w14:schemeClr w14:val="tx1"/>
            </w14:solidFill>
          </w14:textFill>
        </w:rPr>
        <w:t>6区块共有注采井106口，其中油井87口，年产油5.04×10</w:t>
      </w:r>
      <w:r>
        <w:rPr>
          <w:rFonts w:ascii="Times New Roman" w:hAnsi="Times New Roman" w:cs="Times New Roman"/>
          <w:color w:val="000000" w:themeColor="text1"/>
          <w:w w:val="99"/>
          <w:sz w:val="24"/>
          <w:szCs w:val="24"/>
          <w:vertAlign w:val="superscript"/>
          <w:lang w:val="en-US" w:bidi="ar-SA"/>
          <w14:textFill>
            <w14:solidFill>
              <w14:schemeClr w14:val="tx1"/>
            </w14:solidFill>
          </w14:textFill>
        </w:rPr>
        <w:t>4</w:t>
      </w:r>
      <w:r>
        <w:rPr>
          <w:rFonts w:ascii="Times New Roman" w:hAnsi="Times New Roman" w:cs="Times New Roman"/>
          <w:color w:val="000000" w:themeColor="text1"/>
          <w:w w:val="99"/>
          <w:sz w:val="24"/>
          <w:szCs w:val="24"/>
          <w:lang w:val="en-US" w:bidi="ar-SA"/>
          <w14:textFill>
            <w14:solidFill>
              <w14:schemeClr w14:val="tx1"/>
            </w14:solidFill>
          </w14:textFill>
        </w:rPr>
        <w:t>t，综合含水60.78%；注</w:t>
      </w:r>
      <w:r>
        <w:rPr>
          <w:rFonts w:hint="eastAsia" w:ascii="Times New Roman" w:hAnsi="Times New Roman" w:cs="Times New Roman"/>
          <w:color w:val="000000" w:themeColor="text1"/>
          <w:w w:val="99"/>
          <w:sz w:val="24"/>
          <w:szCs w:val="24"/>
          <w:lang w:val="en-US" w:bidi="ar-SA"/>
          <w14:textFill>
            <w14:solidFill>
              <w14:schemeClr w14:val="tx1"/>
            </w14:solidFill>
          </w14:textFill>
        </w:rPr>
        <w:t>水</w:t>
      </w:r>
      <w:r>
        <w:rPr>
          <w:rFonts w:ascii="Times New Roman" w:hAnsi="Times New Roman" w:cs="Times New Roman"/>
          <w:color w:val="000000" w:themeColor="text1"/>
          <w:w w:val="99"/>
          <w:sz w:val="24"/>
          <w:szCs w:val="24"/>
          <w:lang w:val="en-US" w:bidi="ar-SA"/>
          <w14:textFill>
            <w14:solidFill>
              <w14:schemeClr w14:val="tx1"/>
            </w14:solidFill>
          </w14:textFill>
        </w:rPr>
        <w:t>井19口，平均单井注入25m</w:t>
      </w:r>
      <w:r>
        <w:rPr>
          <w:rFonts w:ascii="Times New Roman" w:hAnsi="Times New Roman" w:cs="Times New Roman"/>
          <w:color w:val="000000" w:themeColor="text1"/>
          <w:w w:val="99"/>
          <w:sz w:val="24"/>
          <w:szCs w:val="24"/>
          <w:vertAlign w:val="superscript"/>
          <w:lang w:val="en-US" w:bidi="ar-SA"/>
          <w14:textFill>
            <w14:solidFill>
              <w14:schemeClr w14:val="tx1"/>
            </w14:solidFill>
          </w14:textFill>
        </w:rPr>
        <w:t>3</w:t>
      </w:r>
      <w:r>
        <w:rPr>
          <w:rFonts w:ascii="Times New Roman" w:hAnsi="Times New Roman" w:cs="Times New Roman"/>
          <w:color w:val="000000" w:themeColor="text1"/>
          <w:w w:val="99"/>
          <w:sz w:val="24"/>
          <w:szCs w:val="24"/>
          <w:lang w:val="en-US" w:bidi="ar-SA"/>
          <w14:textFill>
            <w14:solidFill>
              <w14:schemeClr w14:val="tx1"/>
            </w14:solidFill>
          </w14:textFill>
        </w:rPr>
        <w:t>/d；</w:t>
      </w:r>
      <w:r>
        <w:rPr>
          <w:rFonts w:hint="eastAsia" w:ascii="Times New Roman" w:hAnsi="Times New Roman" w:cs="Times New Roman"/>
          <w:color w:val="000000" w:themeColor="text1"/>
          <w:w w:val="99"/>
          <w:sz w:val="24"/>
          <w:szCs w:val="24"/>
          <w:lang w:val="en-US" w:bidi="ar-SA"/>
          <w14:textFill>
            <w14:solidFill>
              <w14:schemeClr w14:val="tx1"/>
            </w14:solidFill>
          </w14:textFill>
        </w:rPr>
        <w:t>龙2</w:t>
      </w:r>
      <w:r>
        <w:rPr>
          <w:rFonts w:ascii="Times New Roman" w:hAnsi="Times New Roman" w:cs="Times New Roman"/>
          <w:color w:val="000000" w:themeColor="text1"/>
          <w:w w:val="99"/>
          <w:sz w:val="24"/>
          <w:szCs w:val="24"/>
          <w:lang w:val="en-US" w:bidi="ar-SA"/>
          <w14:textFill>
            <w14:solidFill>
              <w14:schemeClr w14:val="tx1"/>
            </w14:solidFill>
          </w14:textFill>
        </w:rPr>
        <w:t>6区块站外集油系统采用</w:t>
      </w:r>
      <w:r>
        <w:rPr>
          <w:rFonts w:hint="eastAsia" w:ascii="Times New Roman" w:hAnsi="Times New Roman" w:cs="Times New Roman"/>
          <w:color w:val="000000" w:themeColor="text1"/>
          <w:w w:val="99"/>
          <w:sz w:val="24"/>
          <w:szCs w:val="24"/>
          <w:lang w:val="en-US" w:bidi="ar-SA"/>
          <w14:textFill>
            <w14:solidFill>
              <w14:schemeClr w14:val="tx1"/>
            </w14:solidFill>
          </w14:textFill>
        </w:rPr>
        <w:t>拉油</w:t>
      </w:r>
      <w:r>
        <w:rPr>
          <w:rFonts w:ascii="Times New Roman" w:hAnsi="Times New Roman" w:cs="Times New Roman"/>
          <w:color w:val="000000" w:themeColor="text1"/>
          <w:w w:val="99"/>
          <w:sz w:val="24"/>
          <w:szCs w:val="24"/>
          <w:lang w:val="en-US" w:bidi="ar-SA"/>
          <w14:textFill>
            <w14:solidFill>
              <w14:schemeClr w14:val="tx1"/>
            </w14:solidFill>
          </w14:textFill>
        </w:rPr>
        <w:t>工艺，注水系统主要采用集中注水、多井配水和单干管单井配水工艺。</w:t>
      </w:r>
      <w:r>
        <w:rPr>
          <w:rFonts w:ascii="Times New Roman" w:hAnsi="Times New Roman" w:cs="Times New Roman"/>
          <w:bCs/>
          <w:color w:val="000000" w:themeColor="text1"/>
          <w:w w:val="99"/>
          <w:kern w:val="21"/>
          <w:sz w:val="24"/>
          <w:szCs w:val="20"/>
          <w:lang w:val="en-US" w:bidi="ar-SA"/>
          <w14:textFill>
            <w14:solidFill>
              <w14:schemeClr w14:val="tx1"/>
            </w14:solidFill>
          </w14:textFill>
        </w:rPr>
        <w:t>现有区块及项目涉及的拉油点</w:t>
      </w:r>
      <w:r>
        <w:rPr>
          <w:rFonts w:ascii="Times New Roman" w:hAnsi="Times New Roman" w:cs="Times New Roman"/>
          <w:color w:val="000000" w:themeColor="text1"/>
          <w:w w:val="99"/>
          <w:kern w:val="21"/>
          <w:sz w:val="24"/>
          <w:szCs w:val="20"/>
          <w:lang w:val="en-US" w:bidi="ar-SA"/>
          <w14:textFill>
            <w14:solidFill>
              <w14:schemeClr w14:val="tx1"/>
            </w14:solidFill>
          </w14:textFill>
        </w:rPr>
        <w:t>环评及验收情况见表3.2-2，</w:t>
      </w:r>
      <w:r>
        <w:rPr>
          <w:rFonts w:ascii="Times New Roman" w:hAnsi="Times New Roman" w:cs="Times New Roman"/>
          <w:bCs/>
          <w:color w:val="000000" w:themeColor="text1"/>
          <w:w w:val="99"/>
          <w:kern w:val="21"/>
          <w:sz w:val="24"/>
          <w:szCs w:val="20"/>
          <w:lang w:val="en-US" w:bidi="ar-SA"/>
          <w14:textFill>
            <w14:solidFill>
              <w14:schemeClr w14:val="tx1"/>
            </w14:solidFill>
          </w14:textFill>
        </w:rPr>
        <w:t>环评及验收批复</w:t>
      </w:r>
      <w:r>
        <w:rPr>
          <w:rFonts w:ascii="Times New Roman" w:hAnsi="Times New Roman" w:cs="Times New Roman"/>
          <w:color w:val="000000" w:themeColor="text1"/>
          <w:w w:val="99"/>
          <w:kern w:val="21"/>
          <w:sz w:val="24"/>
          <w:szCs w:val="20"/>
          <w:lang w:val="en-US" w:bidi="ar-SA"/>
          <w14:textFill>
            <w14:solidFill>
              <w14:schemeClr w14:val="tx1"/>
            </w14:solidFill>
          </w14:textFill>
        </w:rPr>
        <w:t>详见附件2。</w:t>
      </w:r>
    </w:p>
    <w:p w14:paraId="00745BDB">
      <w:pPr>
        <w:spacing w:line="500" w:lineRule="exact"/>
        <w:ind w:firstLine="476" w:firstLineChars="200"/>
        <w:jc w:val="both"/>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表3.2-2    现有工程环评及验收情况</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835"/>
        <w:gridCol w:w="1702"/>
        <w:gridCol w:w="1133"/>
        <w:gridCol w:w="1135"/>
        <w:gridCol w:w="1810"/>
      </w:tblGrid>
      <w:tr w14:paraId="46D67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3" w:type="pct"/>
            <w:vAlign w:val="center"/>
          </w:tcPr>
          <w:p w14:paraId="0AF48A39">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序号</w:t>
            </w:r>
          </w:p>
        </w:tc>
        <w:tc>
          <w:tcPr>
            <w:tcW w:w="1526" w:type="pct"/>
            <w:vAlign w:val="center"/>
          </w:tcPr>
          <w:p w14:paraId="62675FE2">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拉油点名称</w:t>
            </w:r>
          </w:p>
        </w:tc>
        <w:tc>
          <w:tcPr>
            <w:tcW w:w="916" w:type="pct"/>
            <w:vAlign w:val="center"/>
          </w:tcPr>
          <w:p w14:paraId="32D648C4">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环评名称</w:t>
            </w:r>
          </w:p>
        </w:tc>
        <w:tc>
          <w:tcPr>
            <w:tcW w:w="610" w:type="pct"/>
            <w:vAlign w:val="center"/>
          </w:tcPr>
          <w:p w14:paraId="61B25953">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环评批复</w:t>
            </w:r>
          </w:p>
        </w:tc>
        <w:tc>
          <w:tcPr>
            <w:tcW w:w="611" w:type="pct"/>
            <w:vAlign w:val="center"/>
          </w:tcPr>
          <w:p w14:paraId="1219A1FE">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验收情况</w:t>
            </w:r>
          </w:p>
        </w:tc>
        <w:tc>
          <w:tcPr>
            <w:tcW w:w="974" w:type="pct"/>
            <w:vAlign w:val="center"/>
          </w:tcPr>
          <w:p w14:paraId="7C6842C5">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排污许可情况</w:t>
            </w:r>
          </w:p>
        </w:tc>
      </w:tr>
      <w:tr w14:paraId="752AE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3" w:type="pct"/>
            <w:vAlign w:val="center"/>
          </w:tcPr>
          <w:p w14:paraId="2C2A4EC0">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14:textFill>
                  <w14:solidFill>
                    <w14:schemeClr w14:val="tx1"/>
                  </w14:solidFill>
                </w14:textFill>
              </w:rPr>
            </w:pPr>
            <w:r>
              <w:rPr>
                <w:rFonts w:ascii="Times New Roman" w:hAnsi="Times New Roman" w:cs="Times New Roman" w:eastAsiaTheme="minorEastAsia"/>
                <w:bCs/>
                <w:color w:val="000000" w:themeColor="text1"/>
                <w:w w:val="99"/>
                <w:sz w:val="21"/>
                <w:szCs w:val="21"/>
                <w14:textFill>
                  <w14:solidFill>
                    <w14:schemeClr w14:val="tx1"/>
                  </w14:solidFill>
                </w14:textFill>
              </w:rPr>
              <w:t>1</w:t>
            </w:r>
          </w:p>
        </w:tc>
        <w:tc>
          <w:tcPr>
            <w:tcW w:w="1526" w:type="pct"/>
            <w:vAlign w:val="center"/>
          </w:tcPr>
          <w:p w14:paraId="6E1BD4B1">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9号拉油点、龙242-斜3拉油点、龙27-1拉油点、龙27-斜6拉油点、5号拉油点、8号拉油点、龙27-5拉油点、龙26-平54拉油点、龙242-1拉油点</w:t>
            </w:r>
          </w:p>
        </w:tc>
        <w:tc>
          <w:tcPr>
            <w:tcW w:w="916" w:type="pct"/>
            <w:vAlign w:val="center"/>
          </w:tcPr>
          <w:p w14:paraId="3CBB8C4D">
            <w:pPr>
              <w:widowControl/>
              <w:adjustRightInd w:val="0"/>
              <w:snapToGrid w:val="0"/>
              <w:spacing w:line="320" w:lineRule="exact"/>
              <w:rPr>
                <w:rFonts w:ascii="Times New Roman" w:hAnsi="Times New Roman" w:cs="Times New Roman" w:eastAsiaTheme="minorEastAsia"/>
                <w:bCs/>
                <w:color w:val="000000" w:themeColor="text1"/>
                <w:w w:val="99"/>
                <w:sz w:val="21"/>
                <w:szCs w:val="21"/>
                <w14:textFill>
                  <w14:solidFill>
                    <w14:schemeClr w14:val="tx1"/>
                  </w14:solidFill>
                </w14:textFill>
              </w:rPr>
            </w:pPr>
            <w:r>
              <w:rPr>
                <w:rFonts w:ascii="Times New Roman" w:hAnsi="Times New Roman" w:cs="Times New Roman" w:eastAsiaTheme="minorEastAsia"/>
                <w:bCs/>
                <w:color w:val="000000" w:themeColor="text1"/>
                <w:w w:val="99"/>
                <w:sz w:val="21"/>
                <w:szCs w:val="21"/>
                <w14:textFill>
                  <w14:solidFill>
                    <w14:schemeClr w14:val="tx1"/>
                  </w14:solidFill>
                </w14:textFill>
              </w:rPr>
              <w:t>龙26区块致密油试验推广产能建设工程环境影响报告书</w:t>
            </w:r>
          </w:p>
        </w:tc>
        <w:tc>
          <w:tcPr>
            <w:tcW w:w="610" w:type="pct"/>
            <w:vAlign w:val="center"/>
          </w:tcPr>
          <w:p w14:paraId="02024583">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14:textFill>
                  <w14:solidFill>
                    <w14:schemeClr w14:val="tx1"/>
                  </w14:solidFill>
                </w14:textFill>
              </w:rPr>
            </w:pPr>
            <w:r>
              <w:rPr>
                <w:rFonts w:ascii="Times New Roman" w:hAnsi="Times New Roman" w:cs="Times New Roman" w:eastAsiaTheme="minorEastAsia"/>
                <w:bCs/>
                <w:color w:val="000000" w:themeColor="text1"/>
                <w:w w:val="99"/>
                <w:sz w:val="21"/>
                <w:szCs w:val="21"/>
                <w14:textFill>
                  <w14:solidFill>
                    <w14:schemeClr w14:val="tx1"/>
                  </w14:solidFill>
                </w14:textFill>
              </w:rPr>
              <w:t>庆环审〔2015〕357号</w:t>
            </w:r>
          </w:p>
        </w:tc>
        <w:tc>
          <w:tcPr>
            <w:tcW w:w="611" w:type="pct"/>
            <w:vAlign w:val="center"/>
          </w:tcPr>
          <w:p w14:paraId="2C315668">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14:textFill>
                  <w14:solidFill>
                    <w14:schemeClr w14:val="tx1"/>
                  </w14:solidFill>
                </w14:textFill>
              </w:rPr>
            </w:pPr>
            <w:r>
              <w:rPr>
                <w:rFonts w:ascii="Times New Roman" w:hAnsi="Times New Roman" w:cs="Times New Roman" w:eastAsiaTheme="minorEastAsia"/>
                <w:bCs/>
                <w:color w:val="000000" w:themeColor="text1"/>
                <w:w w:val="99"/>
                <w:sz w:val="21"/>
                <w:szCs w:val="21"/>
                <w14:textFill>
                  <w14:solidFill>
                    <w14:schemeClr w14:val="tx1"/>
                  </w14:solidFill>
                </w14:textFill>
              </w:rPr>
              <w:t>2021年1月完成自主验收</w:t>
            </w:r>
          </w:p>
        </w:tc>
        <w:tc>
          <w:tcPr>
            <w:tcW w:w="974" w:type="pct"/>
            <w:vMerge w:val="restart"/>
            <w:vAlign w:val="center"/>
          </w:tcPr>
          <w:p w14:paraId="7BCCA6E0">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14:textFill>
                  <w14:solidFill>
                    <w14:schemeClr w14:val="tx1"/>
                  </w14:solidFill>
                </w14:textFill>
              </w:rPr>
            </w:pPr>
            <w:r>
              <w:rPr>
                <w:rFonts w:ascii="Times New Roman" w:hAnsi="Times New Roman" w:cs="Times New Roman" w:eastAsiaTheme="minorEastAsia"/>
                <w:bCs/>
                <w:color w:val="000000" w:themeColor="text1"/>
                <w:w w:val="99"/>
                <w:sz w:val="21"/>
                <w:szCs w:val="21"/>
                <w14:textFill>
                  <w14:solidFill>
                    <w14:schemeClr w14:val="tx1"/>
                  </w14:solidFill>
                </w14:textFill>
              </w:rPr>
              <w:t>已于2021年5月24日取得排污许可证，证书编号为91230607716675409L005Y</w:t>
            </w:r>
          </w:p>
        </w:tc>
      </w:tr>
      <w:tr w14:paraId="32A86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3" w:type="pct"/>
            <w:vAlign w:val="center"/>
          </w:tcPr>
          <w:p w14:paraId="2B0CE084">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14:textFill>
                  <w14:solidFill>
                    <w14:schemeClr w14:val="tx1"/>
                  </w14:solidFill>
                </w14:textFill>
              </w:rPr>
            </w:pPr>
            <w:r>
              <w:rPr>
                <w:rFonts w:ascii="Times New Roman" w:hAnsi="Times New Roman" w:cs="Times New Roman" w:eastAsiaTheme="minorEastAsia"/>
                <w:bCs/>
                <w:color w:val="000000" w:themeColor="text1"/>
                <w:w w:val="99"/>
                <w:sz w:val="21"/>
                <w:szCs w:val="21"/>
                <w14:textFill>
                  <w14:solidFill>
                    <w14:schemeClr w14:val="tx1"/>
                  </w14:solidFill>
                </w14:textFill>
              </w:rPr>
              <w:t>2</w:t>
            </w:r>
          </w:p>
        </w:tc>
        <w:tc>
          <w:tcPr>
            <w:tcW w:w="1526" w:type="pct"/>
            <w:vAlign w:val="center"/>
          </w:tcPr>
          <w:p w14:paraId="280DFC8D">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4号拉油点、龙一联合站</w:t>
            </w:r>
          </w:p>
        </w:tc>
        <w:tc>
          <w:tcPr>
            <w:tcW w:w="916" w:type="pct"/>
            <w:vAlign w:val="center"/>
          </w:tcPr>
          <w:p w14:paraId="3B9E6379">
            <w:pPr>
              <w:widowControl/>
              <w:adjustRightInd w:val="0"/>
              <w:snapToGrid w:val="0"/>
              <w:spacing w:line="320" w:lineRule="exact"/>
              <w:rPr>
                <w:rFonts w:ascii="Times New Roman" w:hAnsi="Times New Roman" w:cs="Times New Roman" w:eastAsiaTheme="minorEastAsia"/>
                <w:bCs/>
                <w:color w:val="000000" w:themeColor="text1"/>
                <w:w w:val="99"/>
                <w:sz w:val="21"/>
                <w:szCs w:val="21"/>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14:textFill>
                  <w14:solidFill>
                    <w14:schemeClr w14:val="tx1"/>
                  </w14:solidFill>
                </w14:textFill>
              </w:rPr>
              <w:t>采油九厂龙虎泡油田萨葡油层外扩产能建设工程环境影响报告书</w:t>
            </w:r>
          </w:p>
        </w:tc>
        <w:tc>
          <w:tcPr>
            <w:tcW w:w="610" w:type="pct"/>
            <w:vAlign w:val="center"/>
          </w:tcPr>
          <w:p w14:paraId="465ADFEA">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14:textFill>
                  <w14:solidFill>
                    <w14:schemeClr w14:val="tx1"/>
                  </w14:solidFill>
                </w14:textFill>
              </w:rPr>
            </w:pPr>
            <w:r>
              <w:rPr>
                <w:rFonts w:ascii="Times New Roman" w:hAnsi="Times New Roman" w:cs="Times New Roman" w:eastAsiaTheme="minorEastAsia"/>
                <w:bCs/>
                <w:color w:val="000000" w:themeColor="text1"/>
                <w:w w:val="99"/>
                <w:sz w:val="21"/>
                <w:szCs w:val="21"/>
                <w14:textFill>
                  <w14:solidFill>
                    <w14:schemeClr w14:val="tx1"/>
                  </w14:solidFill>
                </w14:textFill>
              </w:rPr>
              <w:t>庆环审〔2016〕215号</w:t>
            </w:r>
          </w:p>
        </w:tc>
        <w:tc>
          <w:tcPr>
            <w:tcW w:w="611" w:type="pct"/>
            <w:vAlign w:val="center"/>
          </w:tcPr>
          <w:p w14:paraId="274CEE60">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14:textFill>
                  <w14:solidFill>
                    <w14:schemeClr w14:val="tx1"/>
                  </w14:solidFill>
                </w14:textFill>
              </w:rPr>
            </w:pPr>
            <w:r>
              <w:rPr>
                <w:rFonts w:ascii="Times New Roman" w:hAnsi="Times New Roman" w:cs="Times New Roman" w:eastAsiaTheme="minorEastAsia"/>
                <w:bCs/>
                <w:color w:val="000000" w:themeColor="text1"/>
                <w:w w:val="99"/>
                <w:sz w:val="21"/>
                <w:szCs w:val="21"/>
                <w14:textFill>
                  <w14:solidFill>
                    <w14:schemeClr w14:val="tx1"/>
                  </w14:solidFill>
                </w14:textFill>
              </w:rPr>
              <w:t>2020年4月完成自主验收</w:t>
            </w:r>
          </w:p>
        </w:tc>
        <w:tc>
          <w:tcPr>
            <w:tcW w:w="974" w:type="pct"/>
            <w:vMerge w:val="continue"/>
          </w:tcPr>
          <w:p w14:paraId="4D618E99">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14:textFill>
                  <w14:solidFill>
                    <w14:schemeClr w14:val="tx1"/>
                  </w14:solidFill>
                </w14:textFill>
              </w:rPr>
            </w:pPr>
          </w:p>
        </w:tc>
      </w:tr>
      <w:tr w14:paraId="06CC4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3" w:type="pct"/>
            <w:vAlign w:val="center"/>
          </w:tcPr>
          <w:p w14:paraId="2541BEA1">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14:textFill>
                  <w14:solidFill>
                    <w14:schemeClr w14:val="tx1"/>
                  </w14:solidFill>
                </w14:textFill>
              </w:rPr>
            </w:pPr>
            <w:r>
              <w:rPr>
                <w:rFonts w:ascii="Times New Roman" w:hAnsi="Times New Roman" w:cs="Times New Roman" w:eastAsiaTheme="minorEastAsia"/>
                <w:bCs/>
                <w:color w:val="000000" w:themeColor="text1"/>
                <w:w w:val="99"/>
                <w:sz w:val="21"/>
                <w:szCs w:val="21"/>
                <w14:textFill>
                  <w14:solidFill>
                    <w14:schemeClr w14:val="tx1"/>
                  </w14:solidFill>
                </w14:textFill>
              </w:rPr>
              <w:t>3</w:t>
            </w:r>
          </w:p>
        </w:tc>
        <w:tc>
          <w:tcPr>
            <w:tcW w:w="1526" w:type="pct"/>
            <w:vAlign w:val="center"/>
          </w:tcPr>
          <w:p w14:paraId="663AEE1E">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17平台拉油点</w:t>
            </w:r>
          </w:p>
        </w:tc>
        <w:tc>
          <w:tcPr>
            <w:tcW w:w="916" w:type="pct"/>
            <w:vAlign w:val="center"/>
          </w:tcPr>
          <w:p w14:paraId="7DCDE79C">
            <w:pPr>
              <w:widowControl/>
              <w:adjustRightInd w:val="0"/>
              <w:snapToGrid w:val="0"/>
              <w:spacing w:line="320" w:lineRule="exact"/>
              <w:rPr>
                <w:rFonts w:ascii="Times New Roman" w:hAnsi="Times New Roman" w:cs="Times New Roman" w:eastAsiaTheme="minorEastAsia"/>
                <w:bCs/>
                <w:color w:val="000000" w:themeColor="text1"/>
                <w:w w:val="99"/>
                <w:sz w:val="21"/>
                <w:szCs w:val="21"/>
                <w14:textFill>
                  <w14:solidFill>
                    <w14:schemeClr w14:val="tx1"/>
                  </w14:solidFill>
                </w14:textFill>
              </w:rPr>
            </w:pPr>
            <w:r>
              <w:rPr>
                <w:rFonts w:ascii="Times New Roman" w:hAnsi="Times New Roman" w:cs="Times New Roman" w:eastAsiaTheme="minorEastAsia"/>
                <w:bCs/>
                <w:color w:val="000000" w:themeColor="text1"/>
                <w:w w:val="99"/>
                <w:sz w:val="21"/>
                <w:szCs w:val="21"/>
                <w14:textFill>
                  <w14:solidFill>
                    <w14:schemeClr w14:val="tx1"/>
                  </w14:solidFill>
                </w14:textFill>
              </w:rPr>
              <w:t>龙虎泡油田萨葡</w:t>
            </w:r>
            <w:r>
              <w:rPr>
                <w:rFonts w:ascii="Times New Roman" w:hAnsi="Times New Roman" w:cs="Times New Roman" w:eastAsiaTheme="minorEastAsia"/>
                <w:bCs/>
                <w:color w:val="000000" w:themeColor="text1"/>
                <w:w w:val="99"/>
                <w:sz w:val="21"/>
                <w:szCs w:val="21"/>
                <w:lang w:val="en-US"/>
                <w14:textFill>
                  <w14:solidFill>
                    <w14:schemeClr w14:val="tx1"/>
                  </w14:solidFill>
                </w14:textFill>
              </w:rPr>
              <w:t>油层外扩产能建设工程环境影响报告书</w:t>
            </w:r>
          </w:p>
        </w:tc>
        <w:tc>
          <w:tcPr>
            <w:tcW w:w="610" w:type="pct"/>
            <w:vAlign w:val="center"/>
          </w:tcPr>
          <w:p w14:paraId="5F3B4F65">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14:textFill>
                  <w14:solidFill>
                    <w14:schemeClr w14:val="tx1"/>
                  </w14:solidFill>
                </w14:textFill>
              </w:rPr>
            </w:pPr>
            <w:r>
              <w:rPr>
                <w:rFonts w:ascii="Times New Roman" w:hAnsi="Times New Roman" w:cs="Times New Roman" w:eastAsiaTheme="minorEastAsia"/>
                <w:bCs/>
                <w:color w:val="000000" w:themeColor="text1"/>
                <w:w w:val="99"/>
                <w:sz w:val="21"/>
                <w:szCs w:val="21"/>
                <w14:textFill>
                  <w14:solidFill>
                    <w14:schemeClr w14:val="tx1"/>
                  </w14:solidFill>
                </w14:textFill>
              </w:rPr>
              <w:t>庆环审〔2016〕142号</w:t>
            </w:r>
          </w:p>
        </w:tc>
        <w:tc>
          <w:tcPr>
            <w:tcW w:w="611" w:type="pct"/>
            <w:vAlign w:val="center"/>
          </w:tcPr>
          <w:p w14:paraId="0161BC1F">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14:textFill>
                  <w14:solidFill>
                    <w14:schemeClr w14:val="tx1"/>
                  </w14:solidFill>
                </w14:textFill>
              </w:rPr>
            </w:pPr>
            <w:r>
              <w:rPr>
                <w:rFonts w:ascii="Times New Roman" w:hAnsi="Times New Roman" w:cs="Times New Roman" w:eastAsiaTheme="minorEastAsia"/>
                <w:bCs/>
                <w:color w:val="000000" w:themeColor="text1"/>
                <w:w w:val="99"/>
                <w:sz w:val="21"/>
                <w:szCs w:val="21"/>
                <w14:textFill>
                  <w14:solidFill>
                    <w14:schemeClr w14:val="tx1"/>
                  </w14:solidFill>
                </w14:textFill>
              </w:rPr>
              <w:t>2020年4月完成自主验收</w:t>
            </w:r>
          </w:p>
        </w:tc>
        <w:tc>
          <w:tcPr>
            <w:tcW w:w="974" w:type="pct"/>
            <w:vMerge w:val="continue"/>
          </w:tcPr>
          <w:p w14:paraId="1D7AB05B">
            <w:pPr>
              <w:widowControl/>
              <w:adjustRightInd w:val="0"/>
              <w:snapToGrid w:val="0"/>
              <w:spacing w:line="320" w:lineRule="exact"/>
              <w:jc w:val="center"/>
              <w:rPr>
                <w:rFonts w:ascii="Times New Roman" w:hAnsi="Times New Roman" w:cs="Times New Roman" w:eastAsiaTheme="minorEastAsia"/>
                <w:bCs/>
                <w:color w:val="000000" w:themeColor="text1"/>
                <w:w w:val="99"/>
                <w:sz w:val="21"/>
                <w:szCs w:val="21"/>
                <w14:textFill>
                  <w14:solidFill>
                    <w14:schemeClr w14:val="tx1"/>
                  </w14:solidFill>
                </w14:textFill>
              </w:rPr>
            </w:pPr>
          </w:p>
        </w:tc>
      </w:tr>
    </w:tbl>
    <w:p w14:paraId="68565C03">
      <w:pPr>
        <w:pStyle w:val="5"/>
        <w:keepNext/>
        <w:keepLines/>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r>
        <w:rPr>
          <w:rFonts w:ascii="Times New Roman" w:hAnsi="Times New Roman" w:cs="Times New Roman" w:eastAsiaTheme="minorEastAsia"/>
          <w:color w:val="000000" w:themeColor="text1"/>
          <w:w w:val="99"/>
          <w:kern w:val="2"/>
          <w:lang w:val="en-US" w:bidi="ar-SA"/>
          <w14:textFill>
            <w14:solidFill>
              <w14:schemeClr w14:val="tx1"/>
            </w14:solidFill>
          </w14:textFill>
        </w:rPr>
        <w:t>3.2.2现有工程工艺流程</w:t>
      </w:r>
    </w:p>
    <w:p w14:paraId="4F2B1FD8">
      <w:pPr>
        <w:widowControl/>
        <w:spacing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区域内已建</w:t>
      </w:r>
      <w:r>
        <w:rPr>
          <w:rFonts w:ascii="Times New Roman" w:hAnsi="Times New Roman" w:cs="Times New Roman" w:eastAsiaTheme="minorEastAsia"/>
          <w:color w:val="000000" w:themeColor="text1"/>
          <w:w w:val="99"/>
          <w:sz w:val="24"/>
          <w:szCs w:val="24"/>
          <w:lang w:val="en-US"/>
          <w14:textFill>
            <w14:solidFill>
              <w14:schemeClr w14:val="tx1"/>
            </w14:solidFill>
          </w14:textFill>
        </w:rPr>
        <w:t>油井产液经电伴热带维温集输至各拉油点</w:t>
      </w:r>
      <w:r>
        <w:rPr>
          <w:rFonts w:ascii="Times New Roman" w:hAnsi="Times New Roman" w:cs="Times New Roman" w:eastAsiaTheme="minorEastAsia"/>
          <w:color w:val="000000" w:themeColor="text1"/>
          <w:w w:val="99"/>
          <w:sz w:val="24"/>
          <w:szCs w:val="24"/>
          <w14:textFill>
            <w14:solidFill>
              <w14:schemeClr w14:val="tx1"/>
            </w14:solidFill>
          </w14:textFill>
        </w:rPr>
        <w:t>，经九合一装置</w:t>
      </w:r>
      <w:r>
        <w:rPr>
          <w:rFonts w:ascii="Times New Roman" w:hAnsi="Times New Roman" w:cs="Times New Roman" w:eastAsiaTheme="minorEastAsia"/>
          <w:color w:val="000000" w:themeColor="text1"/>
          <w:w w:val="99"/>
          <w:sz w:val="24"/>
          <w:szCs w:val="24"/>
          <w:lang w:val="en-US"/>
          <w14:textFill>
            <w14:solidFill>
              <w14:schemeClr w14:val="tx1"/>
            </w14:solidFill>
          </w14:textFill>
        </w:rPr>
        <w:t>油气分离</w:t>
      </w:r>
      <w:r>
        <w:rPr>
          <w:rFonts w:ascii="Times New Roman" w:hAnsi="Times New Roman" w:cs="Times New Roman" w:eastAsiaTheme="minorEastAsia"/>
          <w:color w:val="000000" w:themeColor="text1"/>
          <w:w w:val="99"/>
          <w:sz w:val="24"/>
          <w:szCs w:val="24"/>
          <w14:textFill>
            <w14:solidFill>
              <w14:schemeClr w14:val="tx1"/>
            </w14:solidFill>
          </w14:textFill>
        </w:rPr>
        <w:t>后，</w:t>
      </w:r>
      <w:r>
        <w:rPr>
          <w:rFonts w:ascii="Times New Roman" w:hAnsi="Times New Roman" w:cs="Times New Roman" w:eastAsiaTheme="minorEastAsia"/>
          <w:color w:val="000000" w:themeColor="text1"/>
          <w:w w:val="99"/>
          <w:sz w:val="24"/>
          <w:szCs w:val="24"/>
          <w:lang w:val="en-US"/>
          <w14:textFill>
            <w14:solidFill>
              <w14:schemeClr w14:val="tx1"/>
            </w14:solidFill>
          </w14:textFill>
        </w:rPr>
        <w:t>油气分离产生的油田伴生气部分用于拉油点加热装置自耗，剩余油田伴生气定期放空处理，</w:t>
      </w:r>
      <w:r>
        <w:rPr>
          <w:rFonts w:hint="eastAsia" w:ascii="Times New Roman" w:hAnsi="Times New Roman" w:cs="Times New Roman" w:eastAsiaTheme="minorEastAsia"/>
          <w:color w:val="000000" w:themeColor="text1"/>
          <w:w w:val="99"/>
          <w:sz w:val="24"/>
          <w:szCs w:val="24"/>
          <w:lang w:val="en-US"/>
          <w14:textFill>
            <w14:solidFill>
              <w14:schemeClr w14:val="tx1"/>
            </w14:solidFill>
          </w14:textFill>
        </w:rPr>
        <w:t>九合一装置</w:t>
      </w:r>
      <w:r>
        <w:rPr>
          <w:rFonts w:ascii="Times New Roman" w:hAnsi="Times New Roman" w:cs="Times New Roman" w:eastAsiaTheme="minorEastAsia"/>
          <w:color w:val="000000" w:themeColor="text1"/>
          <w:w w:val="99"/>
          <w:sz w:val="24"/>
          <w:szCs w:val="24"/>
          <w:lang w:val="en-US"/>
          <w14:textFill>
            <w14:solidFill>
              <w14:schemeClr w14:val="tx1"/>
            </w14:solidFill>
          </w14:textFill>
        </w:rPr>
        <w:t>分离出的含水油由罐车拉运至龙一联卸油点，经龙一联油水分离处理后，含油污水转移至龙一联含油污水处理站处理达标后回注油层，用于注水驱油。现有工程工艺流程及产污节点图见图</w:t>
      </w:r>
      <w:r>
        <w:rPr>
          <w:rFonts w:hint="eastAsia" w:ascii="Times New Roman" w:hAnsi="Times New Roman" w:cs="Times New Roman" w:eastAsiaTheme="minorEastAsia"/>
          <w:color w:val="000000" w:themeColor="text1"/>
          <w:w w:val="99"/>
          <w:sz w:val="24"/>
          <w:szCs w:val="24"/>
          <w:lang w:val="en-US"/>
          <w14:textFill>
            <w14:solidFill>
              <w14:schemeClr w14:val="tx1"/>
            </w14:solidFill>
          </w14:textFill>
        </w:rPr>
        <w:t>3</w:t>
      </w:r>
      <w:r>
        <w:rPr>
          <w:rFonts w:ascii="Times New Roman" w:hAnsi="Times New Roman" w:cs="Times New Roman" w:eastAsiaTheme="minorEastAsia"/>
          <w:color w:val="000000" w:themeColor="text1"/>
          <w:w w:val="99"/>
          <w:sz w:val="24"/>
          <w:szCs w:val="24"/>
          <w:lang w:val="en-US"/>
          <w14:textFill>
            <w14:solidFill>
              <w14:schemeClr w14:val="tx1"/>
            </w14:solidFill>
          </w14:textFill>
        </w:rPr>
        <w:t>.2-1。</w:t>
      </w:r>
    </w:p>
    <w:p w14:paraId="4EA30DBE">
      <w:pPr>
        <w:widowControl/>
        <w:jc w:val="center"/>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color w:val="000000" w:themeColor="text1"/>
          <w:lang w:val="en-US" w:bidi="ar-SA"/>
          <w14:textFill>
            <w14:solidFill>
              <w14:schemeClr w14:val="tx1"/>
            </w14:solidFill>
          </w14:textFill>
        </w:rPr>
        <w:drawing>
          <wp:inline distT="0" distB="0" distL="0" distR="0">
            <wp:extent cx="5761990" cy="2367280"/>
            <wp:effectExtent l="19050" t="19050" r="10160" b="139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5761990" cy="2367280"/>
                    </a:xfrm>
                    <a:prstGeom prst="rect">
                      <a:avLst/>
                    </a:prstGeom>
                    <a:ln w="6350">
                      <a:solidFill>
                        <a:schemeClr val="tx1"/>
                      </a:solidFill>
                    </a:ln>
                  </pic:spPr>
                </pic:pic>
              </a:graphicData>
            </a:graphic>
          </wp:inline>
        </w:drawing>
      </w:r>
    </w:p>
    <w:p w14:paraId="605321D1">
      <w:pPr>
        <w:widowControl/>
        <w:spacing w:line="440" w:lineRule="exact"/>
        <w:jc w:val="center"/>
        <w:rPr>
          <w:rFonts w:ascii="Times New Roman" w:hAnsi="Times New Roman" w:cs="Times New Roman" w:eastAsiaTheme="minorEastAsia"/>
          <w:b/>
          <w:color w:val="000000" w:themeColor="text1"/>
          <w:w w:val="99"/>
          <w:sz w:val="24"/>
          <w:szCs w:val="24"/>
          <w:lang w:val="en-US"/>
          <w14:textFill>
            <w14:solidFill>
              <w14:schemeClr w14:val="tx1"/>
            </w14:solidFill>
          </w14:textFill>
        </w:rPr>
      </w:pPr>
      <w:r>
        <w:rPr>
          <w:rFonts w:ascii="Times New Roman" w:hAnsi="Times New Roman" w:cs="Times New Roman" w:eastAsiaTheme="minorEastAsia"/>
          <w:b/>
          <w:color w:val="000000" w:themeColor="text1"/>
          <w:w w:val="99"/>
          <w:sz w:val="24"/>
          <w:szCs w:val="24"/>
          <w:lang w:val="en-US"/>
          <w14:textFill>
            <w14:solidFill>
              <w14:schemeClr w14:val="tx1"/>
            </w14:solidFill>
          </w14:textFill>
        </w:rPr>
        <w:t>图</w:t>
      </w:r>
      <w:r>
        <w:rPr>
          <w:rFonts w:hint="eastAsia" w:ascii="Times New Roman" w:hAnsi="Times New Roman" w:cs="Times New Roman" w:eastAsiaTheme="minorEastAsia"/>
          <w:b/>
          <w:color w:val="000000" w:themeColor="text1"/>
          <w:w w:val="99"/>
          <w:sz w:val="24"/>
          <w:szCs w:val="24"/>
          <w:lang w:val="en-US"/>
          <w14:textFill>
            <w14:solidFill>
              <w14:schemeClr w14:val="tx1"/>
            </w14:solidFill>
          </w14:textFill>
        </w:rPr>
        <w:t>3</w:t>
      </w:r>
      <w:r>
        <w:rPr>
          <w:rFonts w:ascii="Times New Roman" w:hAnsi="Times New Roman" w:cs="Times New Roman" w:eastAsiaTheme="minorEastAsia"/>
          <w:b/>
          <w:color w:val="000000" w:themeColor="text1"/>
          <w:w w:val="99"/>
          <w:sz w:val="24"/>
          <w:szCs w:val="24"/>
          <w:lang w:val="en-US"/>
          <w14:textFill>
            <w14:solidFill>
              <w14:schemeClr w14:val="tx1"/>
            </w14:solidFill>
          </w14:textFill>
        </w:rPr>
        <w:t>.2-1    现有工程工艺流程及产污节点图</w:t>
      </w:r>
    </w:p>
    <w:p w14:paraId="53B7829A">
      <w:pPr>
        <w:autoSpaceDE/>
        <w:autoSpaceDN/>
        <w:spacing w:before="60" w:after="60" w:line="440" w:lineRule="exact"/>
        <w:jc w:val="both"/>
        <w:outlineLvl w:val="2"/>
        <w:rPr>
          <w:rFonts w:ascii="Times New Roman" w:hAnsi="Times New Roman" w:cs="Times New Roman"/>
          <w:b/>
          <w:bCs/>
          <w:color w:val="000000" w:themeColor="text1"/>
          <w:w w:val="99"/>
          <w:kern w:val="2"/>
          <w:sz w:val="24"/>
          <w:szCs w:val="24"/>
          <w:lang w:val="en-US" w:bidi="ar-SA"/>
          <w14:textFill>
            <w14:solidFill>
              <w14:schemeClr w14:val="tx1"/>
            </w14:solidFill>
          </w14:textFill>
        </w:rPr>
      </w:pPr>
      <w:r>
        <w:rPr>
          <w:rFonts w:ascii="Times New Roman" w:hAnsi="Times New Roman" w:cs="Times New Roman"/>
          <w:b/>
          <w:bCs/>
          <w:color w:val="000000" w:themeColor="text1"/>
          <w:w w:val="99"/>
          <w:kern w:val="2"/>
          <w:sz w:val="24"/>
          <w:szCs w:val="24"/>
          <w:lang w:val="en-US" w:bidi="ar-SA"/>
          <w14:textFill>
            <w14:solidFill>
              <w14:schemeClr w14:val="tx1"/>
            </w14:solidFill>
          </w14:textFill>
        </w:rPr>
        <w:t>3.2.3现有区块污染物排放情况</w:t>
      </w:r>
    </w:p>
    <w:p w14:paraId="421A2DD8">
      <w:pPr>
        <w:autoSpaceDE/>
        <w:autoSpaceDN/>
        <w:spacing w:line="440" w:lineRule="exact"/>
        <w:ind w:firstLine="474" w:firstLineChars="200"/>
        <w:jc w:val="both"/>
        <w:rPr>
          <w:rFonts w:ascii="Times New Roman" w:hAnsi="Times New Roman" w:cs="Times New Roman"/>
          <w:bCs/>
          <w:color w:val="000000" w:themeColor="text1"/>
          <w:w w:val="99"/>
          <w:kern w:val="2"/>
          <w:sz w:val="24"/>
          <w:szCs w:val="20"/>
          <w:lang w:val="en-US" w:bidi="ar-SA"/>
          <w14:textFill>
            <w14:solidFill>
              <w14:schemeClr w14:val="tx1"/>
            </w14:solidFill>
          </w14:textFill>
        </w:rPr>
      </w:pPr>
      <w:r>
        <w:rPr>
          <w:rFonts w:ascii="Times New Roman" w:hAnsi="Times New Roman" w:cs="Times New Roman"/>
          <w:bCs/>
          <w:color w:val="000000" w:themeColor="text1"/>
          <w:w w:val="99"/>
          <w:kern w:val="2"/>
          <w:sz w:val="24"/>
          <w:szCs w:val="20"/>
          <w:lang w:val="en-US" w:bidi="ar-SA"/>
          <w14:textFill>
            <w14:solidFill>
              <w14:schemeClr w14:val="tx1"/>
            </w14:solidFill>
          </w14:textFill>
        </w:rPr>
        <w:t>（1）废气</w:t>
      </w:r>
    </w:p>
    <w:p w14:paraId="015D9535">
      <w:pPr>
        <w:autoSpaceDE/>
        <w:autoSpaceDN/>
        <w:spacing w:line="440" w:lineRule="exact"/>
        <w:ind w:firstLine="474" w:firstLineChars="200"/>
        <w:jc w:val="both"/>
        <w:rPr>
          <w:rFonts w:ascii="Times New Roman" w:hAnsi="Times New Roman" w:cs="Times New Roman"/>
          <w:bCs/>
          <w:color w:val="000000" w:themeColor="text1"/>
          <w:w w:val="99"/>
          <w:kern w:val="2"/>
          <w:sz w:val="24"/>
          <w:szCs w:val="20"/>
          <w:lang w:val="en-US" w:bidi="ar-SA"/>
          <w14:textFill>
            <w14:solidFill>
              <w14:schemeClr w14:val="tx1"/>
            </w14:solidFill>
          </w14:textFill>
        </w:rPr>
      </w:pPr>
      <w:r>
        <w:rPr>
          <w:rFonts w:hint="eastAsia"/>
          <w:bCs/>
          <w:color w:val="000000" w:themeColor="text1"/>
          <w:w w:val="99"/>
          <w:kern w:val="2"/>
          <w:sz w:val="24"/>
          <w:szCs w:val="20"/>
          <w:lang w:val="en-US" w:bidi="ar-SA"/>
          <w14:textFill>
            <w14:solidFill>
              <w14:schemeClr w14:val="tx1"/>
            </w14:solidFill>
          </w14:textFill>
        </w:rPr>
        <w:t>①</w:t>
      </w:r>
      <w:r>
        <w:rPr>
          <w:rFonts w:ascii="Times New Roman" w:hAnsi="Times New Roman" w:cs="Times New Roman"/>
          <w:bCs/>
          <w:color w:val="000000" w:themeColor="text1"/>
          <w:w w:val="99"/>
          <w:kern w:val="2"/>
          <w:sz w:val="24"/>
          <w:szCs w:val="20"/>
          <w:lang w:val="en-US" w:bidi="ar-SA"/>
          <w14:textFill>
            <w14:solidFill>
              <w14:schemeClr w14:val="tx1"/>
            </w14:solidFill>
          </w14:textFill>
        </w:rPr>
        <w:t>非甲烷总烃</w:t>
      </w:r>
    </w:p>
    <w:p w14:paraId="7E31CEA5">
      <w:pPr>
        <w:autoSpaceDE/>
        <w:autoSpaceDN/>
        <w:spacing w:line="440" w:lineRule="exact"/>
        <w:ind w:firstLine="474" w:firstLineChars="200"/>
        <w:jc w:val="both"/>
        <w:rPr>
          <w:rFonts w:ascii="Times New Roman" w:hAnsi="Times New Roman" w:cs="Times New Roman"/>
          <w:bCs/>
          <w:color w:val="000000" w:themeColor="text1"/>
          <w:w w:val="99"/>
          <w:kern w:val="2"/>
          <w:sz w:val="24"/>
          <w:szCs w:val="20"/>
          <w:lang w:val="en-US" w:bidi="ar-SA"/>
          <w14:textFill>
            <w14:solidFill>
              <w14:schemeClr w14:val="tx1"/>
            </w14:solidFill>
          </w14:textFill>
        </w:rPr>
      </w:pPr>
      <w:r>
        <w:rPr>
          <w:rFonts w:ascii="Times New Roman" w:hAnsi="Times New Roman" w:cs="Times New Roman"/>
          <w:bCs/>
          <w:color w:val="000000" w:themeColor="text1"/>
          <w:w w:val="99"/>
          <w:kern w:val="2"/>
          <w:sz w:val="24"/>
          <w:szCs w:val="20"/>
          <w:lang w:val="en-US" w:bidi="ar-SA"/>
          <w14:textFill>
            <w14:solidFill>
              <w14:schemeClr w14:val="tx1"/>
            </w14:solidFill>
          </w14:textFill>
        </w:rPr>
        <w:t>现有工程排放的非甲烷总烃主要为区块内井场、拉油点及场站在运行过程中无组织挥发的非甲烷总烃，根据建设单位提供资料，</w:t>
      </w:r>
      <w:r>
        <w:rPr>
          <w:rFonts w:hint="eastAsia" w:ascii="Times New Roman" w:hAnsi="Times New Roman" w:cs="Times New Roman"/>
          <w:bCs/>
          <w:color w:val="000000" w:themeColor="text1"/>
          <w:w w:val="99"/>
          <w:kern w:val="2"/>
          <w:sz w:val="24"/>
          <w:lang w:val="en-US" w:bidi="ar-SA"/>
          <w14:textFill>
            <w14:solidFill>
              <w14:schemeClr w14:val="tx1"/>
            </w14:solidFill>
          </w14:textFill>
        </w:rPr>
        <w:t>龙虎泡油田龙2</w:t>
      </w:r>
      <w:r>
        <w:rPr>
          <w:rFonts w:ascii="Times New Roman" w:hAnsi="Times New Roman" w:cs="Times New Roman"/>
          <w:bCs/>
          <w:color w:val="000000" w:themeColor="text1"/>
          <w:w w:val="99"/>
          <w:kern w:val="2"/>
          <w:sz w:val="24"/>
          <w:lang w:val="en-US" w:bidi="ar-SA"/>
          <w14:textFill>
            <w14:solidFill>
              <w14:schemeClr w14:val="tx1"/>
            </w14:solidFill>
          </w14:textFill>
        </w:rPr>
        <w:t>6区块</w:t>
      </w:r>
      <w:r>
        <w:rPr>
          <w:rFonts w:ascii="Times New Roman" w:hAnsi="Times New Roman" w:cs="Times New Roman"/>
          <w:bCs/>
          <w:color w:val="000000" w:themeColor="text1"/>
          <w:w w:val="99"/>
          <w:kern w:val="2"/>
          <w:sz w:val="24"/>
          <w:szCs w:val="20"/>
          <w:lang w:val="en-US" w:bidi="ar-SA"/>
          <w14:textFill>
            <w14:solidFill>
              <w14:schemeClr w14:val="tx1"/>
            </w14:solidFill>
          </w14:textFill>
        </w:rPr>
        <w:t>目前产油约5.04×10</w:t>
      </w:r>
      <w:r>
        <w:rPr>
          <w:rFonts w:ascii="Times New Roman" w:hAnsi="Times New Roman" w:cs="Times New Roman"/>
          <w:bCs/>
          <w:color w:val="000000" w:themeColor="text1"/>
          <w:w w:val="99"/>
          <w:kern w:val="2"/>
          <w:sz w:val="24"/>
          <w:szCs w:val="20"/>
          <w:vertAlign w:val="superscript"/>
          <w:lang w:val="en-US" w:bidi="ar-SA"/>
          <w14:textFill>
            <w14:solidFill>
              <w14:schemeClr w14:val="tx1"/>
            </w14:solidFill>
          </w14:textFill>
        </w:rPr>
        <w:t>4</w:t>
      </w:r>
      <w:r>
        <w:rPr>
          <w:rFonts w:ascii="Times New Roman" w:hAnsi="Times New Roman" w:cs="Times New Roman"/>
          <w:bCs/>
          <w:color w:val="000000" w:themeColor="text1"/>
          <w:w w:val="99"/>
          <w:kern w:val="2"/>
          <w:sz w:val="24"/>
          <w:szCs w:val="20"/>
          <w:lang w:val="en-US" w:bidi="ar-SA"/>
          <w14:textFill>
            <w14:solidFill>
              <w14:schemeClr w14:val="tx1"/>
            </w14:solidFill>
          </w14:textFill>
        </w:rPr>
        <w:t>t/a。根据《大气挥发性有机物源排放清单编制技术指南（试行）》中石油化工业天然原油和天然气开采，石油开采挥发性有机物产生系数1.4175g/kg原油，则现有区块内井场、拉油点及场站正常工况下非甲烷总烃挥发量为71.44t/a，根据项目方案，非正常工况下</w:t>
      </w:r>
      <w:r>
        <w:rPr>
          <w:rFonts w:hint="eastAsia" w:ascii="Times New Roman" w:hAnsi="Times New Roman" w:cs="Times New Roman"/>
          <w:bCs/>
          <w:color w:val="000000" w:themeColor="text1"/>
          <w:w w:val="99"/>
          <w:kern w:val="2"/>
          <w:sz w:val="24"/>
          <w:szCs w:val="20"/>
          <w:lang w:val="en-US" w:bidi="ar-SA"/>
          <w14:textFill>
            <w14:solidFill>
              <w14:schemeClr w14:val="tx1"/>
            </w14:solidFill>
          </w14:textFill>
        </w:rPr>
        <w:t>本项目涉及的1</w:t>
      </w:r>
      <w:r>
        <w:rPr>
          <w:rFonts w:ascii="Times New Roman" w:hAnsi="Times New Roman" w:cs="Times New Roman"/>
          <w:bCs/>
          <w:color w:val="000000" w:themeColor="text1"/>
          <w:w w:val="99"/>
          <w:kern w:val="2"/>
          <w:sz w:val="24"/>
          <w:szCs w:val="20"/>
          <w:lang w:val="en-US" w:bidi="ar-SA"/>
          <w14:textFill>
            <w14:solidFill>
              <w14:schemeClr w14:val="tx1"/>
            </w14:solidFill>
          </w14:textFill>
        </w:rPr>
        <w:t>1座拉油点放空气排放量约占产气量的30%，</w:t>
      </w:r>
      <w:r>
        <w:rPr>
          <w:rFonts w:hint="eastAsia" w:ascii="Times New Roman" w:hAnsi="Times New Roman" w:cs="Times New Roman"/>
          <w:bCs/>
          <w:color w:val="000000" w:themeColor="text1"/>
          <w:w w:val="99"/>
          <w:kern w:val="2"/>
          <w:sz w:val="24"/>
          <w:szCs w:val="20"/>
          <w:lang w:val="en-US" w:bidi="ar-SA"/>
          <w14:textFill>
            <w14:solidFill>
              <w14:schemeClr w14:val="tx1"/>
            </w14:solidFill>
          </w14:textFill>
        </w:rPr>
        <w:t>1</w:t>
      </w:r>
      <w:r>
        <w:rPr>
          <w:rFonts w:ascii="Times New Roman" w:hAnsi="Times New Roman" w:cs="Times New Roman"/>
          <w:bCs/>
          <w:color w:val="000000" w:themeColor="text1"/>
          <w:w w:val="99"/>
          <w:kern w:val="2"/>
          <w:sz w:val="24"/>
          <w:szCs w:val="20"/>
          <w:lang w:val="en-US" w:bidi="ar-SA"/>
          <w14:textFill>
            <w14:solidFill>
              <w14:schemeClr w14:val="tx1"/>
            </w14:solidFill>
          </w14:textFill>
        </w:rPr>
        <w:t>1座拉油点产气量为</w:t>
      </w:r>
      <w:r>
        <w:rPr>
          <w:rFonts w:hint="eastAsia" w:ascii="Times New Roman" w:hAnsi="Times New Roman" w:cs="Times New Roman"/>
          <w:bCs/>
          <w:color w:val="000000" w:themeColor="text1"/>
          <w:w w:val="99"/>
          <w:kern w:val="2"/>
          <w:sz w:val="24"/>
          <w:szCs w:val="20"/>
          <w:lang w:val="en-US" w:bidi="ar-SA"/>
          <w14:textFill>
            <w14:solidFill>
              <w14:schemeClr w14:val="tx1"/>
            </w14:solidFill>
          </w14:textFill>
        </w:rPr>
        <w:t>4</w:t>
      </w:r>
      <w:r>
        <w:rPr>
          <w:rFonts w:ascii="Times New Roman" w:hAnsi="Times New Roman" w:cs="Times New Roman"/>
          <w:bCs/>
          <w:color w:val="000000" w:themeColor="text1"/>
          <w:w w:val="99"/>
          <w:kern w:val="2"/>
          <w:sz w:val="24"/>
          <w:szCs w:val="20"/>
          <w:lang w:val="en-US" w:bidi="ar-SA"/>
          <w14:textFill>
            <w14:solidFill>
              <w14:schemeClr w14:val="tx1"/>
            </w14:solidFill>
          </w14:textFill>
        </w:rPr>
        <w:t>864m</w:t>
      </w:r>
      <w:r>
        <w:rPr>
          <w:rFonts w:ascii="Times New Roman" w:hAnsi="Times New Roman" w:cs="Times New Roman"/>
          <w:bCs/>
          <w:color w:val="000000" w:themeColor="text1"/>
          <w:w w:val="99"/>
          <w:kern w:val="2"/>
          <w:sz w:val="24"/>
          <w:szCs w:val="20"/>
          <w:vertAlign w:val="superscript"/>
          <w:lang w:val="en-US" w:bidi="ar-SA"/>
          <w14:textFill>
            <w14:solidFill>
              <w14:schemeClr w14:val="tx1"/>
            </w14:solidFill>
          </w14:textFill>
        </w:rPr>
        <w:t>3</w:t>
      </w:r>
      <w:r>
        <w:rPr>
          <w:rFonts w:ascii="Times New Roman" w:hAnsi="Times New Roman" w:cs="Times New Roman"/>
          <w:bCs/>
          <w:color w:val="000000" w:themeColor="text1"/>
          <w:w w:val="99"/>
          <w:kern w:val="2"/>
          <w:sz w:val="24"/>
          <w:szCs w:val="20"/>
          <w:lang w:val="en-US" w:bidi="ar-SA"/>
          <w14:textFill>
            <w14:solidFill>
              <w14:schemeClr w14:val="tx1"/>
            </w14:solidFill>
          </w14:textFill>
        </w:rPr>
        <w:t>/d，放空气密度约0.72kg/m</w:t>
      </w:r>
      <w:r>
        <w:rPr>
          <w:rFonts w:ascii="Times New Roman" w:hAnsi="Times New Roman" w:cs="Times New Roman"/>
          <w:bCs/>
          <w:color w:val="000000" w:themeColor="text1"/>
          <w:w w:val="99"/>
          <w:kern w:val="2"/>
          <w:sz w:val="24"/>
          <w:szCs w:val="20"/>
          <w:vertAlign w:val="superscript"/>
          <w:lang w:val="en-US" w:bidi="ar-SA"/>
          <w14:textFill>
            <w14:solidFill>
              <w14:schemeClr w14:val="tx1"/>
            </w14:solidFill>
          </w14:textFill>
        </w:rPr>
        <w:t>3</w:t>
      </w:r>
      <w:r>
        <w:rPr>
          <w:rFonts w:ascii="Times New Roman" w:hAnsi="Times New Roman" w:cs="Times New Roman"/>
          <w:bCs/>
          <w:color w:val="000000" w:themeColor="text1"/>
          <w:w w:val="99"/>
          <w:kern w:val="2"/>
          <w:sz w:val="24"/>
          <w:szCs w:val="20"/>
          <w:lang w:val="en-US" w:bidi="ar-SA"/>
          <w14:textFill>
            <w14:solidFill>
              <w14:schemeClr w14:val="tx1"/>
            </w14:solidFill>
          </w14:textFill>
        </w:rPr>
        <w:t>，则放空气排放量为383.48t/a，因此现有区块内非甲烷总烃共产生454.92t/a。</w:t>
      </w:r>
    </w:p>
    <w:p w14:paraId="57D17937">
      <w:pPr>
        <w:autoSpaceDE/>
        <w:autoSpaceDN/>
        <w:spacing w:line="440" w:lineRule="exact"/>
        <w:ind w:firstLine="474" w:firstLineChars="200"/>
        <w:jc w:val="both"/>
        <w:rPr>
          <w:rFonts w:ascii="Times New Roman" w:hAnsi="Times New Roman" w:cs="Times New Roman"/>
          <w:color w:val="000000" w:themeColor="text1"/>
          <w:w w:val="99"/>
          <w:kern w:val="2"/>
          <w:sz w:val="24"/>
          <w:lang w:val="en-US" w:bidi="ar-SA"/>
          <w14:textFill>
            <w14:solidFill>
              <w14:schemeClr w14:val="tx1"/>
            </w14:solidFill>
          </w14:textFill>
        </w:rPr>
      </w:pPr>
      <w:r>
        <w:rPr>
          <w:rFonts w:ascii="Times New Roman" w:hAnsi="Times New Roman" w:cs="Times New Roman"/>
          <w:bCs/>
          <w:color w:val="000000" w:themeColor="text1"/>
          <w:w w:val="99"/>
          <w:kern w:val="2"/>
          <w:sz w:val="24"/>
          <w:szCs w:val="20"/>
          <w:lang w:val="en-US" w:bidi="ar-SA"/>
          <w14:textFill>
            <w14:solidFill>
              <w14:schemeClr w14:val="tx1"/>
            </w14:solidFill>
          </w14:textFill>
        </w:rPr>
        <w:t>现有工程在油气集输过程采取了全密闭工艺流程，油井井口均安装了密封垫、依托场站内各关键接口法兰均进行了密闭处理，有效的控制了无组织气体的挥发，根据现有工程竣工环境保护验收调查报告中对区域内已建井场、拉油点及龙一联合站的监测结果（验收意见见附件2），井场、拉油点、龙一联合站排放的非甲烷总烃厂界能够满足《陆上石油天然气开采工业大气污染物排放标准》（GB39728-2020）5.9中规定要求。</w:t>
      </w:r>
    </w:p>
    <w:p w14:paraId="1A24204E">
      <w:pPr>
        <w:autoSpaceDE/>
        <w:autoSpaceDN/>
        <w:spacing w:line="440" w:lineRule="exact"/>
        <w:ind w:firstLine="474" w:firstLineChars="200"/>
        <w:jc w:val="both"/>
        <w:rPr>
          <w:rFonts w:ascii="Times New Roman" w:hAnsi="Times New Roman" w:cs="Times New Roman"/>
          <w:bCs/>
          <w:color w:val="000000" w:themeColor="text1"/>
          <w:w w:val="99"/>
          <w:kern w:val="2"/>
          <w:sz w:val="24"/>
          <w:szCs w:val="20"/>
          <w:lang w:val="en-US" w:bidi="ar-SA"/>
          <w14:textFill>
            <w14:solidFill>
              <w14:schemeClr w14:val="tx1"/>
            </w14:solidFill>
          </w14:textFill>
        </w:rPr>
      </w:pPr>
      <w:r>
        <w:rPr>
          <w:rFonts w:hint="eastAsia"/>
          <w:bCs/>
          <w:color w:val="000000" w:themeColor="text1"/>
          <w:w w:val="99"/>
          <w:kern w:val="2"/>
          <w:sz w:val="24"/>
          <w:szCs w:val="20"/>
          <w:lang w:val="en-US" w:bidi="ar-SA"/>
          <w14:textFill>
            <w14:solidFill>
              <w14:schemeClr w14:val="tx1"/>
            </w14:solidFill>
          </w14:textFill>
        </w:rPr>
        <w:t>②</w:t>
      </w:r>
      <w:r>
        <w:rPr>
          <w:rFonts w:ascii="Times New Roman" w:hAnsi="Times New Roman" w:cs="Times New Roman"/>
          <w:bCs/>
          <w:color w:val="000000" w:themeColor="text1"/>
          <w:w w:val="99"/>
          <w:kern w:val="2"/>
          <w:sz w:val="24"/>
          <w:szCs w:val="20"/>
          <w:lang w:val="en-US" w:bidi="ar-SA"/>
          <w14:textFill>
            <w14:solidFill>
              <w14:schemeClr w14:val="tx1"/>
            </w14:solidFill>
          </w14:textFill>
        </w:rPr>
        <w:t>锅炉烟气</w:t>
      </w:r>
    </w:p>
    <w:p w14:paraId="39C6D257">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现有工程运行期产生的</w:t>
      </w:r>
      <w:r>
        <w:rPr>
          <w:rFonts w:ascii="Times New Roman" w:hAnsi="Times New Roman" w:cs="Times New Roman" w:eastAsiaTheme="minorEastAsia"/>
          <w:bCs/>
          <w:color w:val="000000" w:themeColor="text1"/>
          <w:w w:val="99"/>
          <w:sz w:val="24"/>
          <w:szCs w:val="20"/>
          <w:lang w:val="en-US" w:bidi="ar-SA"/>
          <w14:textFill>
            <w14:solidFill>
              <w14:schemeClr w14:val="tx1"/>
            </w14:solidFill>
          </w14:textFill>
        </w:rPr>
        <w:t>锅炉烟气</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主要来自11座拉油点</w:t>
      </w:r>
      <w:r>
        <w:rPr>
          <w:rFonts w:hint="eastAsia" w:ascii="Times New Roman" w:hAnsi="Times New Roman" w:cs="Times New Roman" w:eastAsiaTheme="minorEastAsia"/>
          <w:color w:val="000000" w:themeColor="text1"/>
          <w:w w:val="99"/>
          <w:kern w:val="2"/>
          <w:sz w:val="24"/>
          <w:szCs w:val="20"/>
          <w:lang w:val="en-US" w:bidi="ar-SA"/>
          <w14:textFill>
            <w14:solidFill>
              <w14:schemeClr w14:val="tx1"/>
            </w14:solidFill>
          </w14:textFill>
        </w:rPr>
        <w:t>九合一装置</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及龙一联合站加热炉排放的烟气。燃料为天然气，产生的烟气较为清洁。由于11座拉油点均位于龙虎泡油田区域，气源相同，因此11座拉油点</w:t>
      </w:r>
      <w:r>
        <w:rPr>
          <w:rFonts w:hint="eastAsia" w:ascii="Times New Roman" w:hAnsi="Times New Roman" w:cs="Times New Roman" w:eastAsiaTheme="minorEastAsia"/>
          <w:color w:val="000000" w:themeColor="text1"/>
          <w:w w:val="99"/>
          <w:kern w:val="2"/>
          <w:sz w:val="24"/>
          <w:szCs w:val="20"/>
          <w:lang w:val="en-US" w:bidi="ar-SA"/>
          <w14:textFill>
            <w14:solidFill>
              <w14:schemeClr w14:val="tx1"/>
            </w14:solidFill>
          </w14:textFill>
        </w:rPr>
        <w:t>九合一装置</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排放的烟气浓度均引用《</w:t>
      </w:r>
      <w:r>
        <w:rPr>
          <w:rFonts w:ascii="Times New Roman" w:hAnsi="Times New Roman" w:cs="Times New Roman" w:eastAsiaTheme="minorEastAsia"/>
          <w:bCs/>
          <w:color w:val="000000" w:themeColor="text1"/>
          <w:w w:val="99"/>
          <w:kern w:val="2"/>
          <w:sz w:val="24"/>
          <w:szCs w:val="20"/>
          <w:lang w:val="en-US" w:bidi="ar-SA"/>
          <w14:textFill>
            <w14:solidFill>
              <w14:schemeClr w14:val="tx1"/>
            </w14:solidFill>
          </w14:textFill>
        </w:rPr>
        <w:t>采油九厂龙虎泡油田萨葡油层外扩产能建设工程竣工环境保护验收调查报告</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》中4号拉油点的监测数据（验收意见见附件2）。</w:t>
      </w:r>
      <w:r>
        <w:rPr>
          <w:rFonts w:hint="eastAsia" w:ascii="Times New Roman" w:hAnsi="Times New Roman" w:cs="Times New Roman" w:eastAsiaTheme="minorEastAsia"/>
          <w:color w:val="000000" w:themeColor="text1"/>
          <w:w w:val="99"/>
          <w:kern w:val="2"/>
          <w:sz w:val="24"/>
          <w:szCs w:val="20"/>
          <w:lang w:val="en-US" w:bidi="ar-SA"/>
          <w14:textFill>
            <w14:solidFill>
              <w14:schemeClr w14:val="tx1"/>
            </w14:solidFill>
          </w14:textFill>
        </w:rPr>
        <w:t>九合一装置</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排放的废气中颗粒物平均值约为10.1mg/m</w:t>
      </w:r>
      <w:r>
        <w:rPr>
          <w:rFonts w:ascii="Times New Roman" w:hAnsi="Times New Roman" w:cs="Times New Roman" w:eastAsiaTheme="minorEastAsia"/>
          <w:color w:val="000000" w:themeColor="text1"/>
          <w:w w:val="99"/>
          <w:kern w:val="2"/>
          <w:sz w:val="24"/>
          <w:szCs w:val="20"/>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，NO</w:t>
      </w:r>
      <w:r>
        <w:rPr>
          <w:rFonts w:ascii="Times New Roman" w:hAnsi="Times New Roman" w:cs="Times New Roman" w:eastAsiaTheme="minorEastAsia"/>
          <w:color w:val="000000" w:themeColor="text1"/>
          <w:w w:val="99"/>
          <w:kern w:val="2"/>
          <w:sz w:val="24"/>
          <w:szCs w:val="20"/>
          <w:vertAlign w:val="subscript"/>
          <w:lang w:val="en-US" w:bidi="ar-SA"/>
          <w14:textFill>
            <w14:solidFill>
              <w14:schemeClr w14:val="tx1"/>
            </w14:solidFill>
          </w14:textFill>
        </w:rPr>
        <w:t>x</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平均值约为86.3mg/m</w:t>
      </w:r>
      <w:r>
        <w:rPr>
          <w:rFonts w:ascii="Times New Roman" w:hAnsi="Times New Roman" w:cs="Times New Roman" w:eastAsiaTheme="minorEastAsia"/>
          <w:color w:val="000000" w:themeColor="text1"/>
          <w:w w:val="99"/>
          <w:kern w:val="2"/>
          <w:sz w:val="24"/>
          <w:szCs w:val="20"/>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，SO</w:t>
      </w:r>
      <w:r>
        <w:rPr>
          <w:rFonts w:ascii="Times New Roman" w:hAnsi="Times New Roman" w:cs="Times New Roman" w:eastAsiaTheme="minorEastAsia"/>
          <w:color w:val="000000" w:themeColor="text1"/>
          <w:w w:val="99"/>
          <w:kern w:val="2"/>
          <w:sz w:val="24"/>
          <w:szCs w:val="20"/>
          <w:vertAlign w:val="subscript"/>
          <w:lang w:val="en-US" w:bidi="ar-SA"/>
          <w14:textFill>
            <w14:solidFill>
              <w14:schemeClr w14:val="tx1"/>
            </w14:solidFill>
          </w14:textFill>
        </w:rPr>
        <w:t>2</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平均值约为23mg/m</w:t>
      </w:r>
      <w:r>
        <w:rPr>
          <w:rFonts w:ascii="Times New Roman" w:hAnsi="Times New Roman" w:cs="Times New Roman" w:eastAsiaTheme="minorEastAsia"/>
          <w:color w:val="000000" w:themeColor="text1"/>
          <w:w w:val="99"/>
          <w:kern w:val="2"/>
          <w:sz w:val="24"/>
          <w:szCs w:val="20"/>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，烟气黑度小于1级</w:t>
      </w:r>
      <w:r>
        <w:rPr>
          <w:rFonts w:hint="eastAsia" w:ascii="Times New Roman" w:hAnsi="Times New Roman" w:cs="Times New Roman" w:eastAsiaTheme="minorEastAsia"/>
          <w:color w:val="000000" w:themeColor="text1"/>
          <w:w w:val="99"/>
          <w:kern w:val="2"/>
          <w:sz w:val="24"/>
          <w:szCs w:val="20"/>
          <w:lang w:val="en-US" w:bidi="ar-SA"/>
          <w14:textFill>
            <w14:solidFill>
              <w14:schemeClr w14:val="tx1"/>
            </w14:solidFill>
          </w14:textFill>
        </w:rPr>
        <w:t>；龙一联合站</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加热炉排放的废气中颗粒物平均值约为10.0mg/m</w:t>
      </w:r>
      <w:r>
        <w:rPr>
          <w:rFonts w:ascii="Times New Roman" w:hAnsi="Times New Roman" w:cs="Times New Roman" w:eastAsiaTheme="minorEastAsia"/>
          <w:color w:val="000000" w:themeColor="text1"/>
          <w:w w:val="99"/>
          <w:kern w:val="2"/>
          <w:sz w:val="24"/>
          <w:szCs w:val="20"/>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，NO</w:t>
      </w:r>
      <w:r>
        <w:rPr>
          <w:rFonts w:ascii="Times New Roman" w:hAnsi="Times New Roman" w:cs="Times New Roman" w:eastAsiaTheme="minorEastAsia"/>
          <w:color w:val="000000" w:themeColor="text1"/>
          <w:w w:val="99"/>
          <w:kern w:val="2"/>
          <w:sz w:val="24"/>
          <w:szCs w:val="20"/>
          <w:vertAlign w:val="subscript"/>
          <w:lang w:val="en-US" w:bidi="ar-SA"/>
          <w14:textFill>
            <w14:solidFill>
              <w14:schemeClr w14:val="tx1"/>
            </w14:solidFill>
          </w14:textFill>
        </w:rPr>
        <w:t>x</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平均值约为83.2mg/m</w:t>
      </w:r>
      <w:r>
        <w:rPr>
          <w:rFonts w:ascii="Times New Roman" w:hAnsi="Times New Roman" w:cs="Times New Roman" w:eastAsiaTheme="minorEastAsia"/>
          <w:color w:val="000000" w:themeColor="text1"/>
          <w:w w:val="99"/>
          <w:kern w:val="2"/>
          <w:sz w:val="24"/>
          <w:szCs w:val="20"/>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，SO</w:t>
      </w:r>
      <w:r>
        <w:rPr>
          <w:rFonts w:ascii="Times New Roman" w:hAnsi="Times New Roman" w:cs="Times New Roman" w:eastAsiaTheme="minorEastAsia"/>
          <w:color w:val="000000" w:themeColor="text1"/>
          <w:w w:val="99"/>
          <w:kern w:val="2"/>
          <w:sz w:val="24"/>
          <w:szCs w:val="20"/>
          <w:vertAlign w:val="subscript"/>
          <w:lang w:val="en-US" w:bidi="ar-SA"/>
          <w14:textFill>
            <w14:solidFill>
              <w14:schemeClr w14:val="tx1"/>
            </w14:solidFill>
          </w14:textFill>
        </w:rPr>
        <w:t>2</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平均值约为23.5mg/m</w:t>
      </w:r>
      <w:r>
        <w:rPr>
          <w:rFonts w:ascii="Times New Roman" w:hAnsi="Times New Roman" w:cs="Times New Roman" w:eastAsiaTheme="minorEastAsia"/>
          <w:color w:val="000000" w:themeColor="text1"/>
          <w:w w:val="99"/>
          <w:kern w:val="2"/>
          <w:sz w:val="24"/>
          <w:szCs w:val="20"/>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，烟气黑度小于1级，能够达到《锅炉大气污染物排放标准》（GB13271-2014）表2中新建燃气锅炉标准限值要求。根据项目方案中各拉油点的产气量及放空气量</w:t>
      </w:r>
      <w:r>
        <w:rPr>
          <w:rFonts w:hint="eastAsia" w:ascii="Times New Roman" w:hAnsi="Times New Roman" w:cs="Times New Roman" w:eastAsiaTheme="minorEastAsia"/>
          <w:color w:val="000000" w:themeColor="text1"/>
          <w:w w:val="99"/>
          <w:kern w:val="2"/>
          <w:sz w:val="24"/>
          <w:szCs w:val="20"/>
          <w:lang w:val="en-US" w:bidi="ar-SA"/>
          <w14:textFill>
            <w14:solidFill>
              <w14:schemeClr w14:val="tx1"/>
            </w14:solidFill>
          </w14:textFill>
        </w:rPr>
        <w:t>、</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龙一联合站内实际耗气量及处理产液的比例，11座拉油点</w:t>
      </w:r>
      <w:r>
        <w:rPr>
          <w:rFonts w:hint="eastAsia" w:ascii="Times New Roman" w:hAnsi="Times New Roman" w:cs="Times New Roman" w:eastAsiaTheme="minorEastAsia"/>
          <w:color w:val="000000" w:themeColor="text1"/>
          <w:w w:val="99"/>
          <w:kern w:val="2"/>
          <w:sz w:val="24"/>
          <w:szCs w:val="20"/>
          <w:lang w:val="en-US" w:bidi="ar-SA"/>
          <w14:textFill>
            <w14:solidFill>
              <w14:schemeClr w14:val="tx1"/>
            </w14:solidFill>
          </w14:textFill>
        </w:rPr>
        <w:t>九合一装置</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及龙一联合站加热炉用气量及污染物排放量见</w:t>
      </w:r>
      <w:r>
        <w:rPr>
          <w:rFonts w:ascii="Times New Roman" w:hAnsi="Times New Roman" w:cs="Times New Roman" w:eastAsiaTheme="minorEastAsia"/>
          <w:color w:val="000000" w:themeColor="text1"/>
          <w:w w:val="99"/>
          <w:kern w:val="2"/>
          <w:sz w:val="24"/>
          <w:szCs w:val="20"/>
          <w:lang w:val="en-US"/>
          <w14:textFill>
            <w14:solidFill>
              <w14:schemeClr w14:val="tx1"/>
            </w14:solidFill>
          </w14:textFill>
        </w:rPr>
        <w:t>表3.2-3。</w:t>
      </w:r>
    </w:p>
    <w:p w14:paraId="1B80346A">
      <w:pPr>
        <w:autoSpaceDE/>
        <w:autoSpaceDN/>
        <w:spacing w:line="440" w:lineRule="exact"/>
        <w:ind w:firstLine="476" w:firstLineChars="200"/>
        <w:jc w:val="both"/>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0"/>
          <w:lang w:val="en-US" w:bidi="ar-SA"/>
          <w14:textFill>
            <w14:solidFill>
              <w14:schemeClr w14:val="tx1"/>
            </w14:solidFill>
          </w14:textFill>
        </w:rPr>
        <w:t>表3.2-3</w:t>
      </w:r>
      <w:r>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t xml:space="preserve">    现有区块内场站加热装置污染物排放量</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70"/>
        <w:gridCol w:w="1159"/>
        <w:gridCol w:w="1447"/>
        <w:gridCol w:w="1334"/>
        <w:gridCol w:w="1014"/>
        <w:gridCol w:w="1268"/>
        <w:gridCol w:w="898"/>
      </w:tblGrid>
      <w:tr w14:paraId="2B07F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68" w:type="pct"/>
            <w:vMerge w:val="restart"/>
            <w:vAlign w:val="center"/>
          </w:tcPr>
          <w:p w14:paraId="20679410">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拉油点名称</w:t>
            </w:r>
          </w:p>
        </w:tc>
        <w:tc>
          <w:tcPr>
            <w:tcW w:w="624" w:type="pct"/>
            <w:vMerge w:val="restart"/>
            <w:vAlign w:val="center"/>
          </w:tcPr>
          <w:p w14:paraId="40A7DD37">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排气筒高度</w:t>
            </w:r>
          </w:p>
        </w:tc>
        <w:tc>
          <w:tcPr>
            <w:tcW w:w="779" w:type="pct"/>
            <w:vMerge w:val="restart"/>
            <w:vAlign w:val="center"/>
          </w:tcPr>
          <w:p w14:paraId="02DE51B0">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燃气量（m</w:t>
            </w:r>
            <w:r>
              <w:rPr>
                <w:rFonts w:ascii="Times New Roman" w:hAnsi="Times New Roman" w:cs="Times New Roman" w:eastAsiaTheme="minorEastAsia"/>
                <w:color w:val="000000" w:themeColor="text1"/>
                <w:w w:val="99"/>
                <w:sz w:val="21"/>
                <w:szCs w:val="21"/>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/a）</w:t>
            </w:r>
          </w:p>
        </w:tc>
        <w:tc>
          <w:tcPr>
            <w:tcW w:w="718" w:type="pct"/>
            <w:vMerge w:val="restart"/>
            <w:vAlign w:val="center"/>
          </w:tcPr>
          <w:p w14:paraId="25F08416">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烟气量（m</w:t>
            </w:r>
            <w:r>
              <w:rPr>
                <w:rFonts w:ascii="Times New Roman" w:hAnsi="Times New Roman" w:cs="Times New Roman" w:eastAsiaTheme="minorEastAsia"/>
                <w:color w:val="000000" w:themeColor="text1"/>
                <w:w w:val="99"/>
                <w:sz w:val="21"/>
                <w:szCs w:val="21"/>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/a）</w:t>
            </w:r>
          </w:p>
        </w:tc>
        <w:tc>
          <w:tcPr>
            <w:tcW w:w="1712" w:type="pct"/>
            <w:gridSpan w:val="3"/>
            <w:vAlign w:val="center"/>
          </w:tcPr>
          <w:p w14:paraId="17080DD9">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污染物排放情况（t/a）</w:t>
            </w:r>
          </w:p>
        </w:tc>
      </w:tr>
      <w:tr w14:paraId="2A07B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68" w:type="pct"/>
            <w:vMerge w:val="continue"/>
            <w:vAlign w:val="center"/>
          </w:tcPr>
          <w:p w14:paraId="6C9E5FE7">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624" w:type="pct"/>
            <w:vMerge w:val="continue"/>
            <w:vAlign w:val="center"/>
          </w:tcPr>
          <w:p w14:paraId="12D200C1">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779" w:type="pct"/>
            <w:vMerge w:val="continue"/>
            <w:vAlign w:val="center"/>
          </w:tcPr>
          <w:p w14:paraId="1D73ABE1">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718" w:type="pct"/>
            <w:vMerge w:val="continue"/>
            <w:vAlign w:val="center"/>
          </w:tcPr>
          <w:p w14:paraId="7995A051">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546" w:type="pct"/>
            <w:vAlign w:val="center"/>
          </w:tcPr>
          <w:p w14:paraId="7C342B7F">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颗粒物</w:t>
            </w:r>
          </w:p>
        </w:tc>
        <w:tc>
          <w:tcPr>
            <w:tcW w:w="682" w:type="pct"/>
            <w:vAlign w:val="center"/>
          </w:tcPr>
          <w:p w14:paraId="7875B2E0">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NO</w:t>
            </w:r>
            <w:r>
              <w:rPr>
                <w:rFonts w:ascii="Times New Roman" w:hAnsi="Times New Roman" w:cs="Times New Roman" w:eastAsiaTheme="minorEastAsia"/>
                <w:color w:val="000000" w:themeColor="text1"/>
                <w:w w:val="99"/>
                <w:sz w:val="21"/>
                <w:szCs w:val="21"/>
                <w:vertAlign w:val="subscript"/>
                <w:lang w:val="en-US" w:bidi="ar-SA"/>
                <w14:textFill>
                  <w14:solidFill>
                    <w14:schemeClr w14:val="tx1"/>
                  </w14:solidFill>
                </w14:textFill>
              </w:rPr>
              <w:t>x</w:t>
            </w:r>
          </w:p>
        </w:tc>
        <w:tc>
          <w:tcPr>
            <w:tcW w:w="483" w:type="pct"/>
            <w:vAlign w:val="center"/>
          </w:tcPr>
          <w:p w14:paraId="565C326F">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SO</w:t>
            </w:r>
            <w:r>
              <w:rPr>
                <w:rFonts w:ascii="Times New Roman" w:hAnsi="Times New Roman" w:cs="Times New Roman" w:eastAsiaTheme="minorEastAsia"/>
                <w:color w:val="000000" w:themeColor="text1"/>
                <w:w w:val="99"/>
                <w:sz w:val="21"/>
                <w:szCs w:val="21"/>
                <w:vertAlign w:val="subscript"/>
                <w:lang w:val="en-US" w:bidi="ar-SA"/>
                <w14:textFill>
                  <w14:solidFill>
                    <w14:schemeClr w14:val="tx1"/>
                  </w14:solidFill>
                </w14:textFill>
              </w:rPr>
              <w:t>2</w:t>
            </w:r>
          </w:p>
        </w:tc>
      </w:tr>
      <w:tr w14:paraId="5DC26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68" w:type="pct"/>
            <w:vAlign w:val="center"/>
          </w:tcPr>
          <w:p w14:paraId="061C014A">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9号拉油点</w:t>
            </w:r>
          </w:p>
        </w:tc>
        <w:tc>
          <w:tcPr>
            <w:tcW w:w="624" w:type="pct"/>
            <w:vAlign w:val="center"/>
          </w:tcPr>
          <w:p w14:paraId="7B6A36A4">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8m</w:t>
            </w:r>
          </w:p>
        </w:tc>
        <w:tc>
          <w:tcPr>
            <w:tcW w:w="779" w:type="pct"/>
            <w:vAlign w:val="center"/>
          </w:tcPr>
          <w:p w14:paraId="34BF2BB6">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39602.5</w:t>
            </w:r>
          </w:p>
        </w:tc>
        <w:tc>
          <w:tcPr>
            <w:tcW w:w="718" w:type="pct"/>
            <w:vAlign w:val="center"/>
          </w:tcPr>
          <w:p w14:paraId="24FCC1F5">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447112.2</w:t>
            </w:r>
          </w:p>
        </w:tc>
        <w:tc>
          <w:tcPr>
            <w:tcW w:w="546" w:type="pct"/>
            <w:vAlign w:val="center"/>
          </w:tcPr>
          <w:p w14:paraId="0FA98982">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0.0045</w:t>
            </w:r>
          </w:p>
        </w:tc>
        <w:tc>
          <w:tcPr>
            <w:tcW w:w="682" w:type="pct"/>
            <w:vAlign w:val="center"/>
          </w:tcPr>
          <w:p w14:paraId="760CE7DC">
            <w:pPr>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0.0386</w:t>
            </w:r>
          </w:p>
        </w:tc>
        <w:tc>
          <w:tcPr>
            <w:tcW w:w="483" w:type="pct"/>
            <w:vAlign w:val="center"/>
          </w:tcPr>
          <w:p w14:paraId="6827E67E">
            <w:pPr>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0.0103</w:t>
            </w:r>
          </w:p>
        </w:tc>
      </w:tr>
      <w:tr w14:paraId="40762C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68" w:type="pct"/>
            <w:vAlign w:val="center"/>
          </w:tcPr>
          <w:p w14:paraId="07151E15">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龙242-斜3拉油点</w:t>
            </w:r>
          </w:p>
        </w:tc>
        <w:tc>
          <w:tcPr>
            <w:tcW w:w="624" w:type="pct"/>
            <w:vAlign w:val="center"/>
          </w:tcPr>
          <w:p w14:paraId="502FC459">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8m</w:t>
            </w:r>
          </w:p>
        </w:tc>
        <w:tc>
          <w:tcPr>
            <w:tcW w:w="779" w:type="pct"/>
            <w:vAlign w:val="center"/>
          </w:tcPr>
          <w:p w14:paraId="538C776D">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63108.5</w:t>
            </w:r>
          </w:p>
        </w:tc>
        <w:tc>
          <w:tcPr>
            <w:tcW w:w="718" w:type="pct"/>
            <w:vAlign w:val="center"/>
          </w:tcPr>
          <w:p w14:paraId="4ECE7C6B">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712495</w:t>
            </w:r>
          </w:p>
        </w:tc>
        <w:tc>
          <w:tcPr>
            <w:tcW w:w="546" w:type="pct"/>
            <w:vAlign w:val="center"/>
          </w:tcPr>
          <w:p w14:paraId="6287FD52">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0.0072</w:t>
            </w:r>
          </w:p>
        </w:tc>
        <w:tc>
          <w:tcPr>
            <w:tcW w:w="682" w:type="pct"/>
            <w:vAlign w:val="center"/>
          </w:tcPr>
          <w:p w14:paraId="160E1493">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0.0615</w:t>
            </w:r>
          </w:p>
        </w:tc>
        <w:tc>
          <w:tcPr>
            <w:tcW w:w="483" w:type="pct"/>
            <w:vAlign w:val="center"/>
          </w:tcPr>
          <w:p w14:paraId="35380074">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0.0164</w:t>
            </w:r>
          </w:p>
        </w:tc>
      </w:tr>
      <w:tr w14:paraId="103E2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68" w:type="pct"/>
            <w:vAlign w:val="center"/>
          </w:tcPr>
          <w:p w14:paraId="109D783E">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龙27-1拉油点</w:t>
            </w:r>
          </w:p>
        </w:tc>
        <w:tc>
          <w:tcPr>
            <w:tcW w:w="624" w:type="pct"/>
            <w:vAlign w:val="center"/>
          </w:tcPr>
          <w:p w14:paraId="041A9242">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8m</w:t>
            </w:r>
          </w:p>
        </w:tc>
        <w:tc>
          <w:tcPr>
            <w:tcW w:w="779" w:type="pct"/>
            <w:vAlign w:val="center"/>
          </w:tcPr>
          <w:p w14:paraId="0A699624">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62342</w:t>
            </w:r>
          </w:p>
        </w:tc>
        <w:tc>
          <w:tcPr>
            <w:tcW w:w="718" w:type="pct"/>
            <w:vAlign w:val="center"/>
          </w:tcPr>
          <w:p w14:paraId="0FB1A458">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703841.2</w:t>
            </w:r>
          </w:p>
        </w:tc>
        <w:tc>
          <w:tcPr>
            <w:tcW w:w="546" w:type="pct"/>
            <w:vAlign w:val="center"/>
          </w:tcPr>
          <w:p w14:paraId="2CFA7F77">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0.0071</w:t>
            </w:r>
          </w:p>
        </w:tc>
        <w:tc>
          <w:tcPr>
            <w:tcW w:w="682" w:type="pct"/>
            <w:vAlign w:val="center"/>
          </w:tcPr>
          <w:p w14:paraId="20F8B440">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0.0607</w:t>
            </w:r>
          </w:p>
        </w:tc>
        <w:tc>
          <w:tcPr>
            <w:tcW w:w="483" w:type="pct"/>
            <w:vAlign w:val="center"/>
          </w:tcPr>
          <w:p w14:paraId="0027C1B0">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0.0162</w:t>
            </w:r>
          </w:p>
        </w:tc>
      </w:tr>
      <w:tr w14:paraId="3BD8A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68" w:type="pct"/>
            <w:vAlign w:val="center"/>
          </w:tcPr>
          <w:p w14:paraId="3B58B541">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龙27-斜6拉油点</w:t>
            </w:r>
          </w:p>
        </w:tc>
        <w:tc>
          <w:tcPr>
            <w:tcW w:w="624" w:type="pct"/>
            <w:vAlign w:val="center"/>
          </w:tcPr>
          <w:p w14:paraId="552E46E6">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8m</w:t>
            </w:r>
          </w:p>
        </w:tc>
        <w:tc>
          <w:tcPr>
            <w:tcW w:w="779" w:type="pct"/>
            <w:vAlign w:val="center"/>
          </w:tcPr>
          <w:p w14:paraId="6B62D220">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215386.5</w:t>
            </w:r>
          </w:p>
        </w:tc>
        <w:tc>
          <w:tcPr>
            <w:tcW w:w="718" w:type="pct"/>
            <w:vAlign w:val="center"/>
          </w:tcPr>
          <w:p w14:paraId="4923F708">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2431714</w:t>
            </w:r>
          </w:p>
        </w:tc>
        <w:tc>
          <w:tcPr>
            <w:tcW w:w="546" w:type="pct"/>
            <w:vAlign w:val="center"/>
          </w:tcPr>
          <w:p w14:paraId="03C8CCD8">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0.0246</w:t>
            </w:r>
          </w:p>
        </w:tc>
        <w:tc>
          <w:tcPr>
            <w:tcW w:w="682" w:type="pct"/>
            <w:vAlign w:val="center"/>
          </w:tcPr>
          <w:p w14:paraId="49673344">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0.2099</w:t>
            </w:r>
          </w:p>
        </w:tc>
        <w:tc>
          <w:tcPr>
            <w:tcW w:w="483" w:type="pct"/>
            <w:vAlign w:val="center"/>
          </w:tcPr>
          <w:p w14:paraId="17268568">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0.0559</w:t>
            </w:r>
          </w:p>
        </w:tc>
      </w:tr>
      <w:tr w14:paraId="0061C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68" w:type="pct"/>
            <w:vAlign w:val="center"/>
          </w:tcPr>
          <w:p w14:paraId="01B66FBA">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4号拉油点</w:t>
            </w:r>
          </w:p>
        </w:tc>
        <w:tc>
          <w:tcPr>
            <w:tcW w:w="624" w:type="pct"/>
            <w:vAlign w:val="center"/>
          </w:tcPr>
          <w:p w14:paraId="4EE8EA77">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8m</w:t>
            </w:r>
          </w:p>
        </w:tc>
        <w:tc>
          <w:tcPr>
            <w:tcW w:w="779" w:type="pct"/>
            <w:vAlign w:val="center"/>
          </w:tcPr>
          <w:p w14:paraId="5877C467">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237359.5</w:t>
            </w:r>
          </w:p>
        </w:tc>
        <w:tc>
          <w:tcPr>
            <w:tcW w:w="718" w:type="pct"/>
            <w:vAlign w:val="center"/>
          </w:tcPr>
          <w:p w14:paraId="05B686DA">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2679789</w:t>
            </w:r>
          </w:p>
        </w:tc>
        <w:tc>
          <w:tcPr>
            <w:tcW w:w="546" w:type="pct"/>
            <w:vAlign w:val="center"/>
          </w:tcPr>
          <w:p w14:paraId="46600E18">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0.0271</w:t>
            </w:r>
          </w:p>
        </w:tc>
        <w:tc>
          <w:tcPr>
            <w:tcW w:w="682" w:type="pct"/>
            <w:vAlign w:val="center"/>
          </w:tcPr>
          <w:p w14:paraId="6E0991B2">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0.2313</w:t>
            </w:r>
          </w:p>
        </w:tc>
        <w:tc>
          <w:tcPr>
            <w:tcW w:w="483" w:type="pct"/>
            <w:vAlign w:val="center"/>
          </w:tcPr>
          <w:p w14:paraId="002757D9">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0.0616</w:t>
            </w:r>
          </w:p>
        </w:tc>
      </w:tr>
      <w:tr w14:paraId="3B958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68" w:type="pct"/>
            <w:vAlign w:val="center"/>
          </w:tcPr>
          <w:p w14:paraId="4347D722">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5号拉油点</w:t>
            </w:r>
          </w:p>
        </w:tc>
        <w:tc>
          <w:tcPr>
            <w:tcW w:w="624" w:type="pct"/>
            <w:vAlign w:val="center"/>
          </w:tcPr>
          <w:p w14:paraId="361505D6">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8m</w:t>
            </w:r>
          </w:p>
        </w:tc>
        <w:tc>
          <w:tcPr>
            <w:tcW w:w="779" w:type="pct"/>
            <w:vAlign w:val="center"/>
          </w:tcPr>
          <w:p w14:paraId="5F8DB66F">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97090</w:t>
            </w:r>
          </w:p>
        </w:tc>
        <w:tc>
          <w:tcPr>
            <w:tcW w:w="718" w:type="pct"/>
            <w:vAlign w:val="center"/>
          </w:tcPr>
          <w:p w14:paraId="5A9CBC67">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1096146</w:t>
            </w:r>
          </w:p>
        </w:tc>
        <w:tc>
          <w:tcPr>
            <w:tcW w:w="546" w:type="pct"/>
            <w:vAlign w:val="center"/>
          </w:tcPr>
          <w:p w14:paraId="49F4B3D4">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0.0111</w:t>
            </w:r>
          </w:p>
        </w:tc>
        <w:tc>
          <w:tcPr>
            <w:tcW w:w="682" w:type="pct"/>
            <w:vAlign w:val="center"/>
          </w:tcPr>
          <w:p w14:paraId="4BA3A1E2">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0.0946</w:t>
            </w:r>
          </w:p>
        </w:tc>
        <w:tc>
          <w:tcPr>
            <w:tcW w:w="483" w:type="pct"/>
            <w:vAlign w:val="center"/>
          </w:tcPr>
          <w:p w14:paraId="5F863B15">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0.0252</w:t>
            </w:r>
          </w:p>
        </w:tc>
      </w:tr>
      <w:tr w14:paraId="33644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68" w:type="pct"/>
            <w:vAlign w:val="center"/>
          </w:tcPr>
          <w:p w14:paraId="72A6F621">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8号拉油点</w:t>
            </w:r>
          </w:p>
        </w:tc>
        <w:tc>
          <w:tcPr>
            <w:tcW w:w="624" w:type="pct"/>
            <w:vAlign w:val="center"/>
          </w:tcPr>
          <w:p w14:paraId="0A3D3CF0">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8m</w:t>
            </w:r>
          </w:p>
        </w:tc>
        <w:tc>
          <w:tcPr>
            <w:tcW w:w="779" w:type="pct"/>
            <w:vAlign w:val="center"/>
          </w:tcPr>
          <w:p w14:paraId="6A577ADB">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226117.5</w:t>
            </w:r>
          </w:p>
        </w:tc>
        <w:tc>
          <w:tcPr>
            <w:tcW w:w="718" w:type="pct"/>
            <w:vAlign w:val="center"/>
          </w:tcPr>
          <w:p w14:paraId="39112230">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2552867</w:t>
            </w:r>
          </w:p>
        </w:tc>
        <w:tc>
          <w:tcPr>
            <w:tcW w:w="546" w:type="pct"/>
            <w:vAlign w:val="center"/>
          </w:tcPr>
          <w:p w14:paraId="6159643A">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0.0258</w:t>
            </w:r>
          </w:p>
        </w:tc>
        <w:tc>
          <w:tcPr>
            <w:tcW w:w="682" w:type="pct"/>
            <w:vAlign w:val="center"/>
          </w:tcPr>
          <w:p w14:paraId="3D66E847">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0.2203</w:t>
            </w:r>
          </w:p>
        </w:tc>
        <w:tc>
          <w:tcPr>
            <w:tcW w:w="483" w:type="pct"/>
            <w:vAlign w:val="center"/>
          </w:tcPr>
          <w:p w14:paraId="2FE9B227">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0.0587</w:t>
            </w:r>
          </w:p>
        </w:tc>
      </w:tr>
      <w:tr w14:paraId="3ED65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68" w:type="pct"/>
            <w:vAlign w:val="center"/>
          </w:tcPr>
          <w:p w14:paraId="29A3C780">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龙27-5拉油点</w:t>
            </w:r>
          </w:p>
        </w:tc>
        <w:tc>
          <w:tcPr>
            <w:tcW w:w="624" w:type="pct"/>
            <w:vAlign w:val="center"/>
          </w:tcPr>
          <w:p w14:paraId="0B29330C">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8m</w:t>
            </w:r>
          </w:p>
        </w:tc>
        <w:tc>
          <w:tcPr>
            <w:tcW w:w="779" w:type="pct"/>
            <w:vAlign w:val="center"/>
          </w:tcPr>
          <w:p w14:paraId="46981A04">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20951</w:t>
            </w:r>
          </w:p>
        </w:tc>
        <w:tc>
          <w:tcPr>
            <w:tcW w:w="718" w:type="pct"/>
            <w:vAlign w:val="center"/>
          </w:tcPr>
          <w:p w14:paraId="542AF04E">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236536.8</w:t>
            </w:r>
          </w:p>
        </w:tc>
        <w:tc>
          <w:tcPr>
            <w:tcW w:w="546" w:type="pct"/>
            <w:vAlign w:val="center"/>
          </w:tcPr>
          <w:p w14:paraId="0E51CCE9">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0.0024</w:t>
            </w:r>
          </w:p>
        </w:tc>
        <w:tc>
          <w:tcPr>
            <w:tcW w:w="682" w:type="pct"/>
            <w:vAlign w:val="center"/>
          </w:tcPr>
          <w:p w14:paraId="732EC1AF">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0.0204</w:t>
            </w:r>
          </w:p>
        </w:tc>
        <w:tc>
          <w:tcPr>
            <w:tcW w:w="483" w:type="pct"/>
            <w:vAlign w:val="center"/>
          </w:tcPr>
          <w:p w14:paraId="63C95BDF">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0.0054</w:t>
            </w:r>
          </w:p>
        </w:tc>
      </w:tr>
      <w:tr w14:paraId="30801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68" w:type="pct"/>
            <w:vAlign w:val="center"/>
          </w:tcPr>
          <w:p w14:paraId="402A9A8E">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龙26-平54拉油点</w:t>
            </w:r>
          </w:p>
        </w:tc>
        <w:tc>
          <w:tcPr>
            <w:tcW w:w="624" w:type="pct"/>
            <w:vAlign w:val="center"/>
          </w:tcPr>
          <w:p w14:paraId="3D781D2B">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8m</w:t>
            </w:r>
          </w:p>
        </w:tc>
        <w:tc>
          <w:tcPr>
            <w:tcW w:w="779" w:type="pct"/>
            <w:vAlign w:val="center"/>
          </w:tcPr>
          <w:p w14:paraId="4403BD75">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44968</w:t>
            </w:r>
          </w:p>
        </w:tc>
        <w:tc>
          <w:tcPr>
            <w:tcW w:w="718" w:type="pct"/>
            <w:vAlign w:val="center"/>
          </w:tcPr>
          <w:p w14:paraId="5E880C3E">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507688.7</w:t>
            </w:r>
          </w:p>
        </w:tc>
        <w:tc>
          <w:tcPr>
            <w:tcW w:w="546" w:type="pct"/>
            <w:vAlign w:val="center"/>
          </w:tcPr>
          <w:p w14:paraId="244A7F17">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0.0051</w:t>
            </w:r>
          </w:p>
        </w:tc>
        <w:tc>
          <w:tcPr>
            <w:tcW w:w="682" w:type="pct"/>
            <w:vAlign w:val="center"/>
          </w:tcPr>
          <w:p w14:paraId="58FA63A8">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0.0438</w:t>
            </w:r>
          </w:p>
        </w:tc>
        <w:tc>
          <w:tcPr>
            <w:tcW w:w="483" w:type="pct"/>
            <w:vAlign w:val="center"/>
          </w:tcPr>
          <w:p w14:paraId="18CDF6C1">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0.0117</w:t>
            </w:r>
          </w:p>
        </w:tc>
      </w:tr>
      <w:tr w14:paraId="41B3D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68" w:type="pct"/>
            <w:vAlign w:val="center"/>
          </w:tcPr>
          <w:p w14:paraId="3C3E385A">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龙242-1拉油点</w:t>
            </w:r>
          </w:p>
        </w:tc>
        <w:tc>
          <w:tcPr>
            <w:tcW w:w="624" w:type="pct"/>
            <w:vAlign w:val="center"/>
          </w:tcPr>
          <w:p w14:paraId="3A04A5B2">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8m</w:t>
            </w:r>
          </w:p>
        </w:tc>
        <w:tc>
          <w:tcPr>
            <w:tcW w:w="779" w:type="pct"/>
            <w:vAlign w:val="center"/>
          </w:tcPr>
          <w:p w14:paraId="5F555EB3">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75372.5</w:t>
            </w:r>
          </w:p>
        </w:tc>
        <w:tc>
          <w:tcPr>
            <w:tcW w:w="718" w:type="pct"/>
            <w:vAlign w:val="center"/>
          </w:tcPr>
          <w:p w14:paraId="691EEC57">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850955.5</w:t>
            </w:r>
          </w:p>
        </w:tc>
        <w:tc>
          <w:tcPr>
            <w:tcW w:w="546" w:type="pct"/>
            <w:vAlign w:val="center"/>
          </w:tcPr>
          <w:p w14:paraId="625DB459">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0.0086</w:t>
            </w:r>
          </w:p>
        </w:tc>
        <w:tc>
          <w:tcPr>
            <w:tcW w:w="682" w:type="pct"/>
            <w:vAlign w:val="center"/>
          </w:tcPr>
          <w:p w14:paraId="3FDCA601">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0.0734</w:t>
            </w:r>
          </w:p>
        </w:tc>
        <w:tc>
          <w:tcPr>
            <w:tcW w:w="483" w:type="pct"/>
            <w:vAlign w:val="center"/>
          </w:tcPr>
          <w:p w14:paraId="0ED94EE1">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0.0196</w:t>
            </w:r>
          </w:p>
        </w:tc>
      </w:tr>
      <w:tr w14:paraId="4E9E9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68" w:type="pct"/>
            <w:vAlign w:val="center"/>
          </w:tcPr>
          <w:p w14:paraId="2A7510B8">
            <w:pPr>
              <w:spacing w:line="32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17平台拉油点</w:t>
            </w:r>
          </w:p>
        </w:tc>
        <w:tc>
          <w:tcPr>
            <w:tcW w:w="624" w:type="pct"/>
            <w:vAlign w:val="center"/>
          </w:tcPr>
          <w:p w14:paraId="680F3470">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8m</w:t>
            </w:r>
          </w:p>
        </w:tc>
        <w:tc>
          <w:tcPr>
            <w:tcW w:w="779" w:type="pct"/>
            <w:vAlign w:val="center"/>
          </w:tcPr>
          <w:p w14:paraId="2A5BA579">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160454</w:t>
            </w:r>
          </w:p>
        </w:tc>
        <w:tc>
          <w:tcPr>
            <w:tcW w:w="718" w:type="pct"/>
            <w:vAlign w:val="center"/>
          </w:tcPr>
          <w:p w14:paraId="18E7E54E">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1811526</w:t>
            </w:r>
          </w:p>
        </w:tc>
        <w:tc>
          <w:tcPr>
            <w:tcW w:w="546" w:type="pct"/>
            <w:vAlign w:val="center"/>
          </w:tcPr>
          <w:p w14:paraId="1354ACB8">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0.0183</w:t>
            </w:r>
          </w:p>
        </w:tc>
        <w:tc>
          <w:tcPr>
            <w:tcW w:w="682" w:type="pct"/>
            <w:vAlign w:val="center"/>
          </w:tcPr>
          <w:p w14:paraId="3272B7FB">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0.1563</w:t>
            </w:r>
          </w:p>
        </w:tc>
        <w:tc>
          <w:tcPr>
            <w:tcW w:w="483" w:type="pct"/>
            <w:vAlign w:val="center"/>
          </w:tcPr>
          <w:p w14:paraId="7608E74E">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0.0417</w:t>
            </w:r>
          </w:p>
        </w:tc>
      </w:tr>
      <w:tr w14:paraId="25AA1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68" w:type="pct"/>
            <w:vAlign w:val="center"/>
          </w:tcPr>
          <w:p w14:paraId="038BE48D">
            <w:pPr>
              <w:spacing w:line="32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龙一联合站</w:t>
            </w:r>
          </w:p>
        </w:tc>
        <w:tc>
          <w:tcPr>
            <w:tcW w:w="624" w:type="pct"/>
            <w:vAlign w:val="center"/>
          </w:tcPr>
          <w:p w14:paraId="28CBB763">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val="en-US" w:bidi="ar-SA"/>
                <w14:textFill>
                  <w14:solidFill>
                    <w14:schemeClr w14:val="tx1"/>
                  </w14:solidFill>
                </w14:textFill>
              </w:rPr>
              <w:t>1</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6m</w:t>
            </w:r>
          </w:p>
        </w:tc>
        <w:tc>
          <w:tcPr>
            <w:tcW w:w="779" w:type="pct"/>
            <w:vAlign w:val="center"/>
          </w:tcPr>
          <w:p w14:paraId="2A47135A">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val="en-US" w:bidi="ar-SA"/>
                <w14:textFill>
                  <w14:solidFill>
                    <w14:schemeClr w14:val="tx1"/>
                  </w14:solidFill>
                </w14:textFill>
              </w:rPr>
              <w:t>2</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527000</w:t>
            </w:r>
          </w:p>
        </w:tc>
        <w:tc>
          <w:tcPr>
            <w:tcW w:w="718" w:type="pct"/>
            <w:vAlign w:val="center"/>
          </w:tcPr>
          <w:p w14:paraId="03BE3AFE">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28529830</w:t>
            </w:r>
          </w:p>
        </w:tc>
        <w:tc>
          <w:tcPr>
            <w:tcW w:w="546" w:type="pct"/>
            <w:vAlign w:val="center"/>
          </w:tcPr>
          <w:p w14:paraId="33E9C6D7">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val="en-US" w:bidi="ar-SA"/>
                <w14:textFill>
                  <w14:solidFill>
                    <w14:schemeClr w14:val="tx1"/>
                  </w14:solidFill>
                </w14:textFill>
              </w:rPr>
              <w:t>0</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.2853</w:t>
            </w:r>
          </w:p>
        </w:tc>
        <w:tc>
          <w:tcPr>
            <w:tcW w:w="682" w:type="pct"/>
            <w:vAlign w:val="center"/>
          </w:tcPr>
          <w:p w14:paraId="2A7DF229">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val="en-US" w:bidi="ar-SA"/>
                <w14:textFill>
                  <w14:solidFill>
                    <w14:schemeClr w14:val="tx1"/>
                  </w14:solidFill>
                </w14:textFill>
              </w:rPr>
              <w:t>2</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.3737</w:t>
            </w:r>
          </w:p>
        </w:tc>
        <w:tc>
          <w:tcPr>
            <w:tcW w:w="483" w:type="pct"/>
            <w:vAlign w:val="center"/>
          </w:tcPr>
          <w:p w14:paraId="3CBFD062">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val="en-US" w:bidi="ar-SA"/>
                <w14:textFill>
                  <w14:solidFill>
                    <w14:schemeClr w14:val="tx1"/>
                  </w14:solidFill>
                </w14:textFill>
              </w:rPr>
              <w:t>0</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.6705</w:t>
            </w:r>
          </w:p>
        </w:tc>
      </w:tr>
      <w:tr w14:paraId="73266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791" w:type="pct"/>
            <w:gridSpan w:val="2"/>
            <w:vAlign w:val="center"/>
          </w:tcPr>
          <w:p w14:paraId="34ADDB4C">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合计</w:t>
            </w:r>
          </w:p>
        </w:tc>
        <w:tc>
          <w:tcPr>
            <w:tcW w:w="779" w:type="pct"/>
            <w:vAlign w:val="center"/>
          </w:tcPr>
          <w:p w14:paraId="0CC2B899">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1242752</w:t>
            </w:r>
          </w:p>
        </w:tc>
        <w:tc>
          <w:tcPr>
            <w:tcW w:w="718" w:type="pct"/>
            <w:vAlign w:val="center"/>
          </w:tcPr>
          <w:p w14:paraId="25306BB9">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42560501</w:t>
            </w:r>
          </w:p>
        </w:tc>
        <w:tc>
          <w:tcPr>
            <w:tcW w:w="546" w:type="pct"/>
            <w:vAlign w:val="center"/>
          </w:tcPr>
          <w:p w14:paraId="4DA15D24">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0.4271</w:t>
            </w:r>
          </w:p>
        </w:tc>
        <w:tc>
          <w:tcPr>
            <w:tcW w:w="682" w:type="pct"/>
            <w:vAlign w:val="center"/>
          </w:tcPr>
          <w:p w14:paraId="427F0C1D">
            <w:pPr>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3.5845</w:t>
            </w:r>
          </w:p>
        </w:tc>
        <w:tc>
          <w:tcPr>
            <w:tcW w:w="483" w:type="pct"/>
            <w:vAlign w:val="center"/>
          </w:tcPr>
          <w:p w14:paraId="1F008CCE">
            <w:pPr>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0.9932</w:t>
            </w:r>
          </w:p>
        </w:tc>
      </w:tr>
    </w:tbl>
    <w:p w14:paraId="243A868C">
      <w:pPr>
        <w:autoSpaceDE/>
        <w:autoSpaceDN/>
        <w:spacing w:line="440" w:lineRule="exact"/>
        <w:ind w:firstLine="474" w:firstLineChars="200"/>
        <w:jc w:val="both"/>
        <w:rPr>
          <w:rFonts w:ascii="Times New Roman" w:hAnsi="Times New Roman" w:cs="Times New Roman" w:eastAsiaTheme="minorEastAsia"/>
          <w:bCs/>
          <w:color w:val="000000" w:themeColor="text1"/>
          <w:w w:val="99"/>
          <w:kern w:val="2"/>
          <w:sz w:val="24"/>
          <w:szCs w:val="20"/>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4"/>
          <w:szCs w:val="20"/>
          <w:lang w:val="en-US" w:bidi="ar-SA"/>
          <w14:textFill>
            <w14:solidFill>
              <w14:schemeClr w14:val="tx1"/>
            </w14:solidFill>
          </w14:textFill>
        </w:rPr>
        <w:t>由以上分析可知，现有</w:t>
      </w:r>
      <w:r>
        <w:rPr>
          <w:rFonts w:hint="eastAsia" w:ascii="Times New Roman" w:hAnsi="Times New Roman" w:cs="Times New Roman" w:eastAsiaTheme="minorEastAsia"/>
          <w:bCs/>
          <w:color w:val="000000" w:themeColor="text1"/>
          <w:w w:val="99"/>
          <w:kern w:val="2"/>
          <w:sz w:val="24"/>
          <w:szCs w:val="20"/>
          <w:lang w:val="en-US" w:bidi="ar-SA"/>
          <w14:textFill>
            <w14:solidFill>
              <w14:schemeClr w14:val="tx1"/>
            </w14:solidFill>
          </w14:textFill>
        </w:rPr>
        <w:t>区块</w:t>
      </w:r>
      <w:r>
        <w:rPr>
          <w:rFonts w:ascii="Times New Roman" w:hAnsi="Times New Roman" w:cs="Times New Roman" w:eastAsiaTheme="minorEastAsia"/>
          <w:bCs/>
          <w:color w:val="000000" w:themeColor="text1"/>
          <w:w w:val="99"/>
          <w:kern w:val="2"/>
          <w:sz w:val="24"/>
          <w:szCs w:val="20"/>
          <w:lang w:val="en-US" w:bidi="ar-SA"/>
          <w14:textFill>
            <w14:solidFill>
              <w14:schemeClr w14:val="tx1"/>
            </w14:solidFill>
          </w14:textFill>
        </w:rPr>
        <w:t>内</w:t>
      </w:r>
      <w:r>
        <w:rPr>
          <w:rFonts w:hint="eastAsia" w:ascii="Times New Roman" w:hAnsi="Times New Roman" w:cs="Times New Roman" w:eastAsiaTheme="minorEastAsia"/>
          <w:bCs/>
          <w:color w:val="000000" w:themeColor="text1"/>
          <w:w w:val="99"/>
          <w:kern w:val="2"/>
          <w:sz w:val="24"/>
          <w:szCs w:val="20"/>
          <w:lang w:val="en-US" w:bidi="ar-SA"/>
          <w14:textFill>
            <w14:solidFill>
              <w14:schemeClr w14:val="tx1"/>
            </w14:solidFill>
          </w14:textFill>
        </w:rPr>
        <w:t>加热炉</w:t>
      </w:r>
      <w:r>
        <w:rPr>
          <w:rFonts w:ascii="Times New Roman" w:hAnsi="Times New Roman" w:cs="Times New Roman" w:eastAsiaTheme="minorEastAsia"/>
          <w:bCs/>
          <w:color w:val="000000" w:themeColor="text1"/>
          <w:w w:val="99"/>
          <w:kern w:val="2"/>
          <w:sz w:val="24"/>
          <w:szCs w:val="20"/>
          <w:lang w:val="en-US" w:bidi="ar-SA"/>
          <w14:textFill>
            <w14:solidFill>
              <w14:schemeClr w14:val="tx1"/>
            </w14:solidFill>
          </w14:textFill>
        </w:rPr>
        <w:t>烟气中颗粒物排放量为0.4271t/a，NO</w:t>
      </w:r>
      <w:r>
        <w:rPr>
          <w:rFonts w:ascii="Times New Roman" w:hAnsi="Times New Roman" w:cs="Times New Roman" w:eastAsiaTheme="minorEastAsia"/>
          <w:bCs/>
          <w:color w:val="000000" w:themeColor="text1"/>
          <w:w w:val="99"/>
          <w:kern w:val="2"/>
          <w:sz w:val="24"/>
          <w:szCs w:val="20"/>
          <w:vertAlign w:val="subscript"/>
          <w:lang w:val="en-US" w:bidi="ar-SA"/>
          <w14:textFill>
            <w14:solidFill>
              <w14:schemeClr w14:val="tx1"/>
            </w14:solidFill>
          </w14:textFill>
        </w:rPr>
        <w:t>x</w:t>
      </w:r>
      <w:r>
        <w:rPr>
          <w:rFonts w:ascii="Times New Roman" w:hAnsi="Times New Roman" w:cs="Times New Roman" w:eastAsiaTheme="minorEastAsia"/>
          <w:bCs/>
          <w:color w:val="000000" w:themeColor="text1"/>
          <w:w w:val="99"/>
          <w:kern w:val="2"/>
          <w:sz w:val="24"/>
          <w:szCs w:val="20"/>
          <w:lang w:val="en-US" w:bidi="ar-SA"/>
          <w14:textFill>
            <w14:solidFill>
              <w14:schemeClr w14:val="tx1"/>
            </w14:solidFill>
          </w14:textFill>
        </w:rPr>
        <w:t>排放量为3.5845t/a，SO</w:t>
      </w:r>
      <w:r>
        <w:rPr>
          <w:rFonts w:ascii="Times New Roman" w:hAnsi="Times New Roman" w:cs="Times New Roman" w:eastAsiaTheme="minorEastAsia"/>
          <w:bCs/>
          <w:color w:val="000000" w:themeColor="text1"/>
          <w:w w:val="99"/>
          <w:kern w:val="2"/>
          <w:sz w:val="24"/>
          <w:szCs w:val="20"/>
          <w:vertAlign w:val="subscript"/>
          <w:lang w:val="en-US" w:bidi="ar-SA"/>
          <w14:textFill>
            <w14:solidFill>
              <w14:schemeClr w14:val="tx1"/>
            </w14:solidFill>
          </w14:textFill>
        </w:rPr>
        <w:t>2</w:t>
      </w:r>
      <w:r>
        <w:rPr>
          <w:rFonts w:ascii="Times New Roman" w:hAnsi="Times New Roman" w:cs="Times New Roman" w:eastAsiaTheme="minorEastAsia"/>
          <w:bCs/>
          <w:color w:val="000000" w:themeColor="text1"/>
          <w:w w:val="99"/>
          <w:kern w:val="2"/>
          <w:sz w:val="24"/>
          <w:szCs w:val="20"/>
          <w:lang w:val="en-US" w:bidi="ar-SA"/>
          <w14:textFill>
            <w14:solidFill>
              <w14:schemeClr w14:val="tx1"/>
            </w14:solidFill>
          </w14:textFill>
        </w:rPr>
        <w:t>排放量为0.9932t/a，区块内场站加热炉烟气排放满足</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《锅炉大气污染物排放标准》（GB13271-2014）表2中新建燃气锅炉标准限值要求。</w:t>
      </w:r>
    </w:p>
    <w:p w14:paraId="76475492">
      <w:pPr>
        <w:autoSpaceDE/>
        <w:autoSpaceDN/>
        <w:spacing w:line="440" w:lineRule="exact"/>
        <w:ind w:firstLine="474" w:firstLineChars="200"/>
        <w:jc w:val="both"/>
        <w:rPr>
          <w:rFonts w:ascii="Times New Roman" w:hAnsi="Times New Roman" w:cs="Times New Roman"/>
          <w:bCs/>
          <w:color w:val="000000" w:themeColor="text1"/>
          <w:w w:val="99"/>
          <w:kern w:val="2"/>
          <w:sz w:val="24"/>
          <w:szCs w:val="20"/>
          <w:lang w:val="en-US" w:bidi="ar-SA"/>
          <w14:textFill>
            <w14:solidFill>
              <w14:schemeClr w14:val="tx1"/>
            </w14:solidFill>
          </w14:textFill>
        </w:rPr>
      </w:pPr>
      <w:r>
        <w:rPr>
          <w:rFonts w:ascii="Times New Roman" w:hAnsi="Times New Roman" w:cs="Times New Roman"/>
          <w:bCs/>
          <w:color w:val="000000" w:themeColor="text1"/>
          <w:w w:val="99"/>
          <w:kern w:val="2"/>
          <w:sz w:val="24"/>
          <w:szCs w:val="20"/>
          <w:lang w:val="en-US" w:bidi="ar-SA"/>
          <w14:textFill>
            <w14:solidFill>
              <w14:schemeClr w14:val="tx1"/>
            </w14:solidFill>
          </w14:textFill>
        </w:rPr>
        <w:t>（2）废水</w:t>
      </w:r>
    </w:p>
    <w:p w14:paraId="298468B1">
      <w:pPr>
        <w:autoSpaceDE/>
        <w:autoSpaceDN/>
        <w:spacing w:line="440" w:lineRule="exact"/>
        <w:ind w:firstLine="474" w:firstLineChars="200"/>
        <w:jc w:val="both"/>
        <w:rPr>
          <w:rFonts w:ascii="Times New Roman" w:hAnsi="Times New Roman" w:cs="Times New Roman"/>
          <w:bCs/>
          <w:color w:val="000000" w:themeColor="text1"/>
          <w:w w:val="99"/>
          <w:kern w:val="2"/>
          <w:sz w:val="24"/>
          <w:szCs w:val="20"/>
          <w:lang w:val="en-US" w:bidi="ar-SA"/>
          <w14:textFill>
            <w14:solidFill>
              <w14:schemeClr w14:val="tx1"/>
            </w14:solidFill>
          </w14:textFill>
        </w:rPr>
      </w:pPr>
      <w:r>
        <w:rPr>
          <w:rFonts w:ascii="Times New Roman" w:hAnsi="Times New Roman" w:cs="Times New Roman"/>
          <w:bCs/>
          <w:color w:val="000000" w:themeColor="text1"/>
          <w:w w:val="99"/>
          <w:kern w:val="2"/>
          <w:sz w:val="24"/>
          <w:szCs w:val="20"/>
          <w:lang w:val="en-US" w:bidi="ar-SA"/>
          <w14:textFill>
            <w14:solidFill>
              <w14:schemeClr w14:val="tx1"/>
            </w14:solidFill>
          </w14:textFill>
        </w:rPr>
        <w:t>现有区块</w:t>
      </w:r>
      <w:r>
        <w:rPr>
          <w:rFonts w:ascii="Times New Roman" w:hAnsi="Times New Roman" w:cs="Times New Roman"/>
          <w:color w:val="000000" w:themeColor="text1"/>
          <w:w w:val="99"/>
          <w:kern w:val="2"/>
          <w:sz w:val="24"/>
          <w:lang w:val="en-US" w:bidi="ar-SA"/>
          <w14:textFill>
            <w14:solidFill>
              <w14:schemeClr w14:val="tx1"/>
            </w14:solidFill>
          </w14:textFill>
        </w:rPr>
        <w:t>产能</w:t>
      </w:r>
      <w:r>
        <w:rPr>
          <w:rFonts w:ascii="Times New Roman" w:hAnsi="Times New Roman" w:cs="Times New Roman"/>
          <w:bCs/>
          <w:color w:val="000000" w:themeColor="text1"/>
          <w:w w:val="99"/>
          <w:kern w:val="2"/>
          <w:sz w:val="24"/>
          <w:lang w:val="en-US" w:bidi="ar-SA"/>
          <w14:textFill>
            <w14:solidFill>
              <w14:schemeClr w14:val="tx1"/>
            </w14:solidFill>
          </w14:textFill>
        </w:rPr>
        <w:t>5.04×10</w:t>
      </w:r>
      <w:r>
        <w:rPr>
          <w:rFonts w:ascii="Times New Roman" w:hAnsi="Times New Roman" w:cs="Times New Roman"/>
          <w:bCs/>
          <w:color w:val="000000" w:themeColor="text1"/>
          <w:w w:val="99"/>
          <w:kern w:val="2"/>
          <w:sz w:val="24"/>
          <w:vertAlign w:val="superscript"/>
          <w:lang w:val="en-US" w:bidi="ar-SA"/>
          <w14:textFill>
            <w14:solidFill>
              <w14:schemeClr w14:val="tx1"/>
            </w14:solidFill>
          </w14:textFill>
        </w:rPr>
        <w:t>4</w:t>
      </w:r>
      <w:r>
        <w:rPr>
          <w:rFonts w:ascii="Times New Roman" w:hAnsi="Times New Roman" w:cs="Times New Roman"/>
          <w:bCs/>
          <w:color w:val="000000" w:themeColor="text1"/>
          <w:w w:val="99"/>
          <w:kern w:val="2"/>
          <w:sz w:val="24"/>
          <w:lang w:val="en-US" w:bidi="ar-SA"/>
          <w14:textFill>
            <w14:solidFill>
              <w14:schemeClr w14:val="tx1"/>
            </w14:solidFill>
          </w14:textFill>
        </w:rPr>
        <w:t>t/a，</w:t>
      </w:r>
      <w:r>
        <w:rPr>
          <w:rFonts w:ascii="Times New Roman" w:hAnsi="Times New Roman" w:cs="Times New Roman"/>
          <w:color w:val="000000" w:themeColor="text1"/>
          <w:w w:val="99"/>
          <w:kern w:val="2"/>
          <w:sz w:val="24"/>
          <w:lang w:val="en-US" w:bidi="ar-SA"/>
          <w14:textFill>
            <w14:solidFill>
              <w14:schemeClr w14:val="tx1"/>
            </w14:solidFill>
          </w14:textFill>
        </w:rPr>
        <w:t>综合含水60.78%，则现有区块油田采出水量为7.81×10</w:t>
      </w:r>
      <w:r>
        <w:rPr>
          <w:rFonts w:ascii="Times New Roman" w:hAnsi="Times New Roman" w:cs="Times New Roman"/>
          <w:color w:val="000000" w:themeColor="text1"/>
          <w:w w:val="99"/>
          <w:kern w:val="2"/>
          <w:sz w:val="24"/>
          <w:vertAlign w:val="superscript"/>
          <w:lang w:val="en-US" w:bidi="ar-SA"/>
          <w14:textFill>
            <w14:solidFill>
              <w14:schemeClr w14:val="tx1"/>
            </w14:solidFill>
          </w14:textFill>
        </w:rPr>
        <w:t>4</w:t>
      </w:r>
      <w:r>
        <w:rPr>
          <w:rFonts w:ascii="Times New Roman" w:hAnsi="Times New Roman" w:cs="Times New Roman"/>
          <w:color w:val="000000" w:themeColor="text1"/>
          <w:w w:val="99"/>
          <w:kern w:val="2"/>
          <w:sz w:val="24"/>
          <w:lang w:val="en-US" w:bidi="ar-SA"/>
          <w14:textFill>
            <w14:solidFill>
              <w14:schemeClr w14:val="tx1"/>
            </w14:solidFill>
          </w14:textFill>
        </w:rPr>
        <w:t>t/a；</w:t>
      </w:r>
      <w:r>
        <w:rPr>
          <w:rFonts w:ascii="Times New Roman" w:hAnsi="Times New Roman" w:cs="Times New Roman"/>
          <w:bCs/>
          <w:color w:val="000000" w:themeColor="text1"/>
          <w:w w:val="99"/>
          <w:kern w:val="2"/>
          <w:sz w:val="24"/>
          <w:szCs w:val="20"/>
          <w:lang w:val="en-US" w:bidi="ar-SA"/>
          <w14:textFill>
            <w14:solidFill>
              <w14:schemeClr w14:val="tx1"/>
            </w14:solidFill>
          </w14:textFill>
        </w:rPr>
        <w:t>现有区块</w:t>
      </w:r>
      <w:r>
        <w:rPr>
          <w:rFonts w:hint="eastAsia" w:ascii="Times New Roman" w:hAnsi="Times New Roman" w:cs="Times New Roman"/>
          <w:bCs/>
          <w:color w:val="000000" w:themeColor="text1"/>
          <w:w w:val="99"/>
          <w:kern w:val="2"/>
          <w:sz w:val="24"/>
          <w:szCs w:val="20"/>
          <w:lang w:val="en-US" w:bidi="ar-SA"/>
          <w14:textFill>
            <w14:solidFill>
              <w14:schemeClr w14:val="tx1"/>
            </w14:solidFill>
          </w14:textFill>
        </w:rPr>
        <w:t>油水井</w:t>
      </w:r>
      <w:r>
        <w:rPr>
          <w:rFonts w:ascii="Times New Roman" w:hAnsi="Times New Roman" w:cs="Times New Roman"/>
          <w:bCs/>
          <w:color w:val="000000" w:themeColor="text1"/>
          <w:w w:val="99"/>
          <w:kern w:val="2"/>
          <w:sz w:val="24"/>
          <w:szCs w:val="20"/>
          <w:lang w:val="en-US" w:bidi="ar-SA"/>
          <w14:textFill>
            <w14:solidFill>
              <w14:schemeClr w14:val="tx1"/>
            </w14:solidFill>
          </w14:textFill>
        </w:rPr>
        <w:t>作业产生的作业污水共计约802m</w:t>
      </w:r>
      <w:r>
        <w:rPr>
          <w:rFonts w:ascii="Times New Roman" w:hAnsi="Times New Roman" w:cs="Times New Roman"/>
          <w:bCs/>
          <w:color w:val="000000" w:themeColor="text1"/>
          <w:w w:val="99"/>
          <w:kern w:val="2"/>
          <w:sz w:val="24"/>
          <w:szCs w:val="20"/>
          <w:vertAlign w:val="superscript"/>
          <w:lang w:val="en-US" w:bidi="ar-SA"/>
          <w14:textFill>
            <w14:solidFill>
              <w14:schemeClr w14:val="tx1"/>
            </w14:solidFill>
          </w14:textFill>
        </w:rPr>
        <w:t>3</w:t>
      </w:r>
      <w:r>
        <w:rPr>
          <w:rFonts w:ascii="Times New Roman" w:hAnsi="Times New Roman" w:cs="Times New Roman"/>
          <w:bCs/>
          <w:color w:val="000000" w:themeColor="text1"/>
          <w:w w:val="99"/>
          <w:kern w:val="2"/>
          <w:sz w:val="24"/>
          <w:szCs w:val="20"/>
          <w:lang w:val="en-US" w:bidi="ar-SA"/>
          <w14:textFill>
            <w14:solidFill>
              <w14:schemeClr w14:val="tx1"/>
            </w14:solidFill>
          </w14:textFill>
        </w:rPr>
        <w:t>/a；现有区块</w:t>
      </w:r>
      <w:r>
        <w:rPr>
          <w:rFonts w:hint="eastAsia" w:ascii="Times New Roman" w:hAnsi="Times New Roman" w:cs="Times New Roman"/>
          <w:bCs/>
          <w:color w:val="000000" w:themeColor="text1"/>
          <w:w w:val="99"/>
          <w:kern w:val="2"/>
          <w:sz w:val="24"/>
          <w:szCs w:val="20"/>
          <w:lang w:val="en-US" w:bidi="ar-SA"/>
          <w14:textFill>
            <w14:solidFill>
              <w14:schemeClr w14:val="tx1"/>
            </w14:solidFill>
          </w14:textFill>
        </w:rPr>
        <w:t>注水井</w:t>
      </w:r>
      <w:r>
        <w:rPr>
          <w:rFonts w:ascii="Times New Roman" w:hAnsi="Times New Roman" w:cs="Times New Roman"/>
          <w:bCs/>
          <w:color w:val="000000" w:themeColor="text1"/>
          <w:w w:val="99"/>
          <w:kern w:val="2"/>
          <w:sz w:val="24"/>
          <w:szCs w:val="20"/>
          <w:lang w:val="en-US" w:bidi="ar-SA"/>
          <w14:textFill>
            <w14:solidFill>
              <w14:schemeClr w14:val="tx1"/>
            </w14:solidFill>
          </w14:textFill>
        </w:rPr>
        <w:t>洗井产生的洗井污水共计约2280m</w:t>
      </w:r>
      <w:r>
        <w:rPr>
          <w:rFonts w:ascii="Times New Roman" w:hAnsi="Times New Roman" w:cs="Times New Roman"/>
          <w:bCs/>
          <w:color w:val="000000" w:themeColor="text1"/>
          <w:w w:val="99"/>
          <w:kern w:val="2"/>
          <w:sz w:val="24"/>
          <w:szCs w:val="20"/>
          <w:vertAlign w:val="superscript"/>
          <w:lang w:val="en-US" w:bidi="ar-SA"/>
          <w14:textFill>
            <w14:solidFill>
              <w14:schemeClr w14:val="tx1"/>
            </w14:solidFill>
          </w14:textFill>
        </w:rPr>
        <w:t>3</w:t>
      </w:r>
      <w:r>
        <w:rPr>
          <w:rFonts w:ascii="Times New Roman" w:hAnsi="Times New Roman" w:cs="Times New Roman"/>
          <w:bCs/>
          <w:color w:val="000000" w:themeColor="text1"/>
          <w:w w:val="99"/>
          <w:kern w:val="2"/>
          <w:sz w:val="24"/>
          <w:szCs w:val="20"/>
          <w:lang w:val="en-US" w:bidi="ar-SA"/>
          <w14:textFill>
            <w14:solidFill>
              <w14:schemeClr w14:val="tx1"/>
            </w14:solidFill>
          </w14:textFill>
        </w:rPr>
        <w:t>/a。现有区块油田采出水、作业污水、洗井污水均由</w:t>
      </w:r>
      <w:r>
        <w:rPr>
          <w:rFonts w:hint="eastAsia" w:ascii="Times New Roman" w:hAnsi="Times New Roman" w:cs="Times New Roman"/>
          <w:bCs/>
          <w:color w:val="000000" w:themeColor="text1"/>
          <w:w w:val="99"/>
          <w:kern w:val="2"/>
          <w:sz w:val="24"/>
          <w:szCs w:val="20"/>
          <w:lang w:val="en-US" w:bidi="ar-SA"/>
          <w14:textFill>
            <w14:solidFill>
              <w14:schemeClr w14:val="tx1"/>
            </w14:solidFill>
          </w14:textFill>
        </w:rPr>
        <w:t>龙一联</w:t>
      </w:r>
      <w:r>
        <w:rPr>
          <w:rFonts w:ascii="Times New Roman" w:hAnsi="Times New Roman" w:cs="Times New Roman"/>
          <w:bCs/>
          <w:color w:val="000000" w:themeColor="text1"/>
          <w:w w:val="99"/>
          <w:kern w:val="2"/>
          <w:sz w:val="24"/>
          <w:szCs w:val="20"/>
          <w:lang w:val="en-US" w:bidi="ar-SA"/>
          <w14:textFill>
            <w14:solidFill>
              <w14:schemeClr w14:val="tx1"/>
            </w14:solidFill>
          </w14:textFill>
        </w:rPr>
        <w:t>含油污水处理站处理</w:t>
      </w:r>
      <w:r>
        <w:rPr>
          <w:rFonts w:hint="eastAsia" w:ascii="Times New Roman" w:hAnsi="Times New Roman" w:cs="Times New Roman"/>
          <w:bCs/>
          <w:color w:val="000000" w:themeColor="text1"/>
          <w:w w:val="99"/>
          <w:kern w:val="2"/>
          <w:sz w:val="24"/>
          <w:szCs w:val="20"/>
          <w:lang w:val="en-US" w:bidi="ar-SA"/>
          <w14:textFill>
            <w14:solidFill>
              <w14:schemeClr w14:val="tx1"/>
            </w14:solidFill>
          </w14:textFill>
        </w:rPr>
        <w:t>达标</w:t>
      </w:r>
      <w:r>
        <w:rPr>
          <w:rFonts w:ascii="Times New Roman" w:hAnsi="Times New Roman" w:cs="Times New Roman"/>
          <w:bCs/>
          <w:color w:val="000000" w:themeColor="text1"/>
          <w:w w:val="99"/>
          <w:kern w:val="2"/>
          <w:sz w:val="24"/>
          <w:szCs w:val="20"/>
          <w:lang w:val="en-US" w:bidi="ar-SA"/>
          <w14:textFill>
            <w14:solidFill>
              <w14:schemeClr w14:val="tx1"/>
            </w14:solidFill>
          </w14:textFill>
        </w:rPr>
        <w:t>后回注油层，根据</w:t>
      </w:r>
      <w:r>
        <w:rPr>
          <w:rFonts w:hint="eastAsia" w:ascii="Times New Roman" w:hAnsi="Times New Roman" w:cs="Times New Roman"/>
          <w:color w:val="000000" w:themeColor="text1"/>
          <w:w w:val="99"/>
          <w:kern w:val="2"/>
          <w:sz w:val="24"/>
          <w:lang w:val="en-US" w:bidi="ar-SA"/>
          <w14:textFill>
            <w14:solidFill>
              <w14:schemeClr w14:val="tx1"/>
            </w14:solidFill>
          </w14:textFill>
        </w:rPr>
        <w:t>龙一联</w:t>
      </w:r>
      <w:r>
        <w:rPr>
          <w:rFonts w:ascii="Times New Roman" w:hAnsi="Times New Roman" w:cs="Times New Roman"/>
          <w:color w:val="000000" w:themeColor="text1"/>
          <w:w w:val="99"/>
          <w:kern w:val="2"/>
          <w:sz w:val="24"/>
          <w:lang w:val="en-US" w:bidi="ar-SA"/>
          <w14:textFill>
            <w14:solidFill>
              <w14:schemeClr w14:val="tx1"/>
            </w14:solidFill>
          </w14:textFill>
        </w:rPr>
        <w:t>含油污水处理站验收监测结果可知（</w:t>
      </w:r>
      <w:r>
        <w:rPr>
          <w:rFonts w:hint="eastAsia" w:ascii="Times New Roman" w:hAnsi="Times New Roman" w:cs="Times New Roman"/>
          <w:color w:val="000000" w:themeColor="text1"/>
          <w:w w:val="99"/>
          <w:kern w:val="2"/>
          <w:sz w:val="24"/>
          <w:lang w:val="en-US" w:bidi="ar-SA"/>
          <w14:textFill>
            <w14:solidFill>
              <w14:schemeClr w14:val="tx1"/>
            </w14:solidFill>
          </w14:textFill>
        </w:rPr>
        <w:t>验收</w:t>
      </w:r>
      <w:r>
        <w:rPr>
          <w:rFonts w:ascii="Times New Roman" w:hAnsi="Times New Roman" w:cs="Times New Roman"/>
          <w:color w:val="000000" w:themeColor="text1"/>
          <w:w w:val="99"/>
          <w:kern w:val="2"/>
          <w:sz w:val="24"/>
          <w:lang w:val="en-US" w:bidi="ar-SA"/>
          <w14:textFill>
            <w14:solidFill>
              <w14:schemeClr w14:val="tx1"/>
            </w14:solidFill>
          </w14:textFill>
        </w:rPr>
        <w:t>意见见附件</w:t>
      </w:r>
      <w:r>
        <w:rPr>
          <w:rFonts w:hint="eastAsia" w:ascii="Times New Roman" w:hAnsi="Times New Roman" w:cs="Times New Roman"/>
          <w:color w:val="000000" w:themeColor="text1"/>
          <w:w w:val="99"/>
          <w:kern w:val="2"/>
          <w:sz w:val="24"/>
          <w:lang w:val="en-US" w:bidi="ar-SA"/>
          <w14:textFill>
            <w14:solidFill>
              <w14:schemeClr w14:val="tx1"/>
            </w14:solidFill>
          </w14:textFill>
        </w:rPr>
        <w:t>2</w:t>
      </w:r>
      <w:r>
        <w:rPr>
          <w:rFonts w:ascii="Times New Roman" w:hAnsi="Times New Roman" w:cs="Times New Roman"/>
          <w:color w:val="000000" w:themeColor="text1"/>
          <w:w w:val="99"/>
          <w:kern w:val="2"/>
          <w:sz w:val="24"/>
          <w:lang w:val="en-US" w:bidi="ar-SA"/>
          <w14:textFill>
            <w14:solidFill>
              <w14:schemeClr w14:val="tx1"/>
            </w14:solidFill>
          </w14:textFill>
        </w:rPr>
        <w:t>），处理后的污水</w:t>
      </w:r>
      <w:r>
        <w:rPr>
          <w:rFonts w:ascii="Times New Roman" w:hAnsi="Times New Roman" w:cs="Times New Roman"/>
          <w:bCs/>
          <w:color w:val="000000" w:themeColor="text1"/>
          <w:w w:val="99"/>
          <w:kern w:val="2"/>
          <w:sz w:val="24"/>
          <w:szCs w:val="20"/>
          <w:lang w:val="en-US" w:bidi="ar-SA"/>
          <w14:textFill>
            <w14:solidFill>
              <w14:schemeClr w14:val="tx1"/>
            </w14:solidFill>
          </w14:textFill>
        </w:rPr>
        <w:t>满足</w:t>
      </w:r>
      <w:r>
        <w:rPr>
          <w:rFonts w:ascii="Times New Roman" w:hAnsi="Times New Roman" w:cs="Times New Roman"/>
          <w:color w:val="000000" w:themeColor="text1"/>
          <w:w w:val="99"/>
          <w:kern w:val="2"/>
          <w:sz w:val="24"/>
          <w:lang w:val="en-US" w:bidi="ar-SA"/>
          <w14:textFill>
            <w14:solidFill>
              <w14:schemeClr w14:val="tx1"/>
            </w14:solidFill>
          </w14:textFill>
        </w:rPr>
        <w:t>《大庆油田地面工程建设设计规定》（Q/SYDQ0639-2015）中“含油量≤8mg/L、悬浮固体含量≤3mg/L、粒径中值≤2μm”限值要求</w:t>
      </w:r>
      <w:r>
        <w:rPr>
          <w:rFonts w:ascii="Times New Roman" w:hAnsi="Times New Roman" w:cs="Times New Roman"/>
          <w:bCs/>
          <w:color w:val="000000" w:themeColor="text1"/>
          <w:w w:val="99"/>
          <w:kern w:val="2"/>
          <w:sz w:val="24"/>
          <w:szCs w:val="20"/>
          <w:lang w:val="en-US" w:bidi="ar-SA"/>
          <w14:textFill>
            <w14:solidFill>
              <w14:schemeClr w14:val="tx1"/>
            </w14:solidFill>
          </w14:textFill>
        </w:rPr>
        <w:t>。</w:t>
      </w:r>
    </w:p>
    <w:p w14:paraId="7A297809">
      <w:pPr>
        <w:autoSpaceDE/>
        <w:autoSpaceDN/>
        <w:spacing w:line="440" w:lineRule="exact"/>
        <w:ind w:firstLine="474" w:firstLineChars="200"/>
        <w:jc w:val="both"/>
        <w:rPr>
          <w:rFonts w:ascii="Times New Roman" w:hAnsi="Times New Roman" w:cs="Times New Roman"/>
          <w:bCs/>
          <w:color w:val="000000" w:themeColor="text1"/>
          <w:w w:val="99"/>
          <w:kern w:val="2"/>
          <w:sz w:val="24"/>
          <w:szCs w:val="20"/>
          <w:lang w:val="en-US" w:bidi="ar-SA"/>
          <w14:textFill>
            <w14:solidFill>
              <w14:schemeClr w14:val="tx1"/>
            </w14:solidFill>
          </w14:textFill>
        </w:rPr>
      </w:pPr>
      <w:r>
        <w:rPr>
          <w:rFonts w:ascii="Times New Roman" w:hAnsi="Times New Roman" w:cs="Times New Roman"/>
          <w:bCs/>
          <w:color w:val="000000" w:themeColor="text1"/>
          <w:w w:val="99"/>
          <w:kern w:val="2"/>
          <w:sz w:val="24"/>
          <w:szCs w:val="20"/>
          <w:lang w:val="en-US" w:bidi="ar-SA"/>
          <w14:textFill>
            <w14:solidFill>
              <w14:schemeClr w14:val="tx1"/>
            </w14:solidFill>
          </w14:textFill>
        </w:rPr>
        <w:t>现有工程拉油点内值班人员的生活污水产生量约128.5m</w:t>
      </w:r>
      <w:r>
        <w:rPr>
          <w:rFonts w:ascii="Times New Roman" w:hAnsi="Times New Roman" w:cs="Times New Roman"/>
          <w:bCs/>
          <w:color w:val="000000" w:themeColor="text1"/>
          <w:w w:val="99"/>
          <w:kern w:val="2"/>
          <w:sz w:val="24"/>
          <w:szCs w:val="20"/>
          <w:vertAlign w:val="superscript"/>
          <w:lang w:val="en-US" w:bidi="ar-SA"/>
          <w14:textFill>
            <w14:solidFill>
              <w14:schemeClr w14:val="tx1"/>
            </w14:solidFill>
          </w14:textFill>
        </w:rPr>
        <w:t>3</w:t>
      </w:r>
      <w:r>
        <w:rPr>
          <w:rFonts w:ascii="Times New Roman" w:hAnsi="Times New Roman" w:cs="Times New Roman"/>
          <w:bCs/>
          <w:color w:val="000000" w:themeColor="text1"/>
          <w:w w:val="99"/>
          <w:kern w:val="2"/>
          <w:sz w:val="24"/>
          <w:szCs w:val="20"/>
          <w:lang w:val="en-US" w:bidi="ar-SA"/>
          <w14:textFill>
            <w14:solidFill>
              <w14:schemeClr w14:val="tx1"/>
            </w14:solidFill>
          </w14:textFill>
        </w:rPr>
        <w:t>/a，龙一联合站生活污水产生量约175.2m</w:t>
      </w:r>
      <w:r>
        <w:rPr>
          <w:rFonts w:ascii="Times New Roman" w:hAnsi="Times New Roman" w:cs="Times New Roman"/>
          <w:bCs/>
          <w:color w:val="000000" w:themeColor="text1"/>
          <w:w w:val="99"/>
          <w:kern w:val="2"/>
          <w:sz w:val="24"/>
          <w:szCs w:val="20"/>
          <w:vertAlign w:val="superscript"/>
          <w:lang w:val="en-US" w:bidi="ar-SA"/>
          <w14:textFill>
            <w14:solidFill>
              <w14:schemeClr w14:val="tx1"/>
            </w14:solidFill>
          </w14:textFill>
        </w:rPr>
        <w:t>3</w:t>
      </w:r>
      <w:r>
        <w:rPr>
          <w:rFonts w:ascii="Times New Roman" w:hAnsi="Times New Roman" w:cs="Times New Roman"/>
          <w:bCs/>
          <w:color w:val="000000" w:themeColor="text1"/>
          <w:w w:val="99"/>
          <w:kern w:val="2"/>
          <w:sz w:val="24"/>
          <w:szCs w:val="20"/>
          <w:lang w:val="en-US" w:bidi="ar-SA"/>
          <w14:textFill>
            <w14:solidFill>
              <w14:schemeClr w14:val="tx1"/>
            </w14:solidFill>
          </w14:textFill>
        </w:rPr>
        <w:t>/a，现有区块内生活污水合计产生量约</w:t>
      </w:r>
      <w:r>
        <w:rPr>
          <w:rFonts w:hint="eastAsia" w:ascii="Times New Roman" w:hAnsi="Times New Roman" w:cs="Times New Roman"/>
          <w:bCs/>
          <w:color w:val="000000" w:themeColor="text1"/>
          <w:w w:val="99"/>
          <w:kern w:val="2"/>
          <w:sz w:val="24"/>
          <w:szCs w:val="20"/>
          <w:lang w:val="en-US" w:bidi="ar-SA"/>
          <w14:textFill>
            <w14:solidFill>
              <w14:schemeClr w14:val="tx1"/>
            </w14:solidFill>
          </w14:textFill>
        </w:rPr>
        <w:t>3</w:t>
      </w:r>
      <w:r>
        <w:rPr>
          <w:rFonts w:ascii="Times New Roman" w:hAnsi="Times New Roman" w:cs="Times New Roman"/>
          <w:bCs/>
          <w:color w:val="000000" w:themeColor="text1"/>
          <w:w w:val="99"/>
          <w:kern w:val="2"/>
          <w:sz w:val="24"/>
          <w:szCs w:val="20"/>
          <w:lang w:val="en-US" w:bidi="ar-SA"/>
          <w14:textFill>
            <w14:solidFill>
              <w14:schemeClr w14:val="tx1"/>
            </w14:solidFill>
          </w14:textFill>
        </w:rPr>
        <w:t>03.7m</w:t>
      </w:r>
      <w:r>
        <w:rPr>
          <w:rFonts w:ascii="Times New Roman" w:hAnsi="Times New Roman" w:cs="Times New Roman"/>
          <w:bCs/>
          <w:color w:val="000000" w:themeColor="text1"/>
          <w:w w:val="99"/>
          <w:kern w:val="2"/>
          <w:sz w:val="24"/>
          <w:szCs w:val="20"/>
          <w:vertAlign w:val="superscript"/>
          <w:lang w:val="en-US" w:bidi="ar-SA"/>
          <w14:textFill>
            <w14:solidFill>
              <w14:schemeClr w14:val="tx1"/>
            </w14:solidFill>
          </w14:textFill>
        </w:rPr>
        <w:t>3</w:t>
      </w:r>
      <w:r>
        <w:rPr>
          <w:rFonts w:ascii="Times New Roman" w:hAnsi="Times New Roman" w:cs="Times New Roman"/>
          <w:bCs/>
          <w:color w:val="000000" w:themeColor="text1"/>
          <w:w w:val="99"/>
          <w:kern w:val="2"/>
          <w:sz w:val="24"/>
          <w:szCs w:val="20"/>
          <w:lang w:val="en-US" w:bidi="ar-SA"/>
          <w14:textFill>
            <w14:solidFill>
              <w14:schemeClr w14:val="tx1"/>
            </w14:solidFill>
          </w14:textFill>
        </w:rPr>
        <w:t>/a，生活污水生活污水排入</w:t>
      </w:r>
      <w:r>
        <w:rPr>
          <w:rFonts w:hint="eastAsia" w:ascii="Times New Roman" w:hAnsi="Times New Roman" w:cs="Times New Roman"/>
          <w:bCs/>
          <w:color w:val="000000" w:themeColor="text1"/>
          <w:w w:val="99"/>
          <w:kern w:val="2"/>
          <w:sz w:val="24"/>
          <w:szCs w:val="20"/>
          <w:lang w:val="en-US" w:bidi="ar-SA"/>
          <w14:textFill>
            <w14:solidFill>
              <w14:schemeClr w14:val="tx1"/>
            </w14:solidFill>
          </w14:textFill>
        </w:rPr>
        <w:t>站内</w:t>
      </w:r>
      <w:r>
        <w:rPr>
          <w:rFonts w:ascii="Times New Roman" w:hAnsi="Times New Roman" w:cs="Times New Roman"/>
          <w:bCs/>
          <w:color w:val="000000" w:themeColor="text1"/>
          <w:w w:val="99"/>
          <w:kern w:val="2"/>
          <w:sz w:val="24"/>
          <w:szCs w:val="20"/>
          <w:lang w:val="en-US" w:bidi="ar-SA"/>
          <w14:textFill>
            <w14:solidFill>
              <w14:schemeClr w14:val="tx1"/>
            </w14:solidFill>
          </w14:textFill>
        </w:rPr>
        <w:t>已建防渗旱厕，定期清掏外运堆肥处理。</w:t>
      </w:r>
    </w:p>
    <w:p w14:paraId="3D72B765">
      <w:pPr>
        <w:autoSpaceDE/>
        <w:autoSpaceDN/>
        <w:spacing w:line="440" w:lineRule="exact"/>
        <w:ind w:firstLine="474" w:firstLineChars="200"/>
        <w:jc w:val="both"/>
        <w:rPr>
          <w:rFonts w:ascii="Times New Roman" w:hAnsi="Times New Roman" w:cs="Times New Roman"/>
          <w:bCs/>
          <w:color w:val="000000" w:themeColor="text1"/>
          <w:w w:val="99"/>
          <w:sz w:val="24"/>
          <w:szCs w:val="20"/>
          <w:lang w:val="en-US" w:bidi="ar-SA"/>
          <w14:textFill>
            <w14:solidFill>
              <w14:schemeClr w14:val="tx1"/>
            </w14:solidFill>
          </w14:textFill>
        </w:rPr>
      </w:pPr>
      <w:r>
        <w:rPr>
          <w:rFonts w:ascii="Times New Roman" w:hAnsi="Times New Roman" w:cs="Times New Roman"/>
          <w:bCs/>
          <w:color w:val="000000" w:themeColor="text1"/>
          <w:w w:val="99"/>
          <w:sz w:val="24"/>
          <w:szCs w:val="20"/>
          <w:lang w:val="en-US" w:bidi="ar-SA"/>
          <w14:textFill>
            <w14:solidFill>
              <w14:schemeClr w14:val="tx1"/>
            </w14:solidFill>
          </w14:textFill>
        </w:rPr>
        <w:t>（3）噪声</w:t>
      </w:r>
    </w:p>
    <w:p w14:paraId="74F27907">
      <w:pPr>
        <w:autoSpaceDE/>
        <w:autoSpaceDN/>
        <w:spacing w:line="440" w:lineRule="exact"/>
        <w:ind w:firstLine="474" w:firstLineChars="200"/>
        <w:jc w:val="both"/>
        <w:rPr>
          <w:rFonts w:ascii="Times New Roman" w:hAnsi="Times New Roman" w:cs="Times New Roman"/>
          <w:color w:val="000000" w:themeColor="text1"/>
          <w:w w:val="99"/>
          <w:kern w:val="21"/>
          <w:sz w:val="24"/>
          <w:szCs w:val="24"/>
          <w:lang w:val="en-US" w:bidi="ar-SA"/>
          <w14:textFill>
            <w14:solidFill>
              <w14:schemeClr w14:val="tx1"/>
            </w14:solidFill>
          </w14:textFill>
        </w:rPr>
      </w:pPr>
      <w:r>
        <w:rPr>
          <w:rFonts w:ascii="Times New Roman" w:hAnsi="Times New Roman" w:cs="Times New Roman"/>
          <w:bCs/>
          <w:color w:val="000000" w:themeColor="text1"/>
          <w:w w:val="99"/>
          <w:sz w:val="24"/>
          <w:szCs w:val="20"/>
          <w:lang w:val="en-US" w:bidi="ar-SA"/>
          <w14:textFill>
            <w14:solidFill>
              <w14:schemeClr w14:val="tx1"/>
            </w14:solidFill>
          </w14:textFill>
        </w:rPr>
        <w:t>现有区块内噪声源主要来自抽油机、九合一装置及场站，抽油机噪声源强为65~80dB(A)，为连续稳态声源，</w:t>
      </w:r>
      <w:r>
        <w:rPr>
          <w:rFonts w:ascii="Times New Roman" w:hAnsi="Times New Roman" w:cs="Times New Roman"/>
          <w:color w:val="000000" w:themeColor="text1"/>
          <w:w w:val="99"/>
          <w:sz w:val="24"/>
          <w:szCs w:val="24"/>
          <w:lang w:val="en-US" w:bidi="ar-SA"/>
          <w14:textFill>
            <w14:solidFill>
              <w14:schemeClr w14:val="tx1"/>
            </w14:solidFill>
          </w14:textFill>
        </w:rPr>
        <w:t>场站噪声主要为各类机泵噪声，</w:t>
      </w:r>
      <w:r>
        <w:rPr>
          <w:rFonts w:ascii="Times New Roman" w:hAnsi="Times New Roman" w:cs="Times New Roman"/>
          <w:bCs/>
          <w:color w:val="000000" w:themeColor="text1"/>
          <w:w w:val="99"/>
          <w:sz w:val="24"/>
          <w:szCs w:val="20"/>
          <w:lang w:val="en-US" w:bidi="ar-SA"/>
          <w14:textFill>
            <w14:solidFill>
              <w14:schemeClr w14:val="tx1"/>
            </w14:solidFill>
          </w14:textFill>
        </w:rPr>
        <w:t>源强</w:t>
      </w:r>
      <w:r>
        <w:rPr>
          <w:rFonts w:ascii="Times New Roman" w:hAnsi="Times New Roman" w:cs="Times New Roman"/>
          <w:color w:val="000000" w:themeColor="text1"/>
          <w:w w:val="99"/>
          <w:sz w:val="24"/>
          <w:szCs w:val="24"/>
          <w:lang w:val="en-US" w:bidi="ar-SA"/>
          <w14:textFill>
            <w14:solidFill>
              <w14:schemeClr w14:val="tx1"/>
            </w14:solidFill>
          </w14:textFill>
        </w:rPr>
        <w:t>约在 80～85dB(A)之间</w:t>
      </w:r>
      <w:r>
        <w:rPr>
          <w:rFonts w:ascii="Times New Roman" w:hAnsi="Times New Roman" w:cs="Times New Roman"/>
          <w:bCs/>
          <w:color w:val="000000" w:themeColor="text1"/>
          <w:w w:val="99"/>
          <w:sz w:val="24"/>
          <w:szCs w:val="20"/>
          <w:lang w:val="en-US" w:bidi="ar-SA"/>
          <w14:textFill>
            <w14:solidFill>
              <w14:schemeClr w14:val="tx1"/>
            </w14:solidFill>
          </w14:textFill>
        </w:rPr>
        <w:t>。</w:t>
      </w:r>
      <w:r>
        <w:rPr>
          <w:rFonts w:ascii="Times New Roman" w:hAnsi="Times New Roman" w:cs="Times New Roman"/>
          <w:color w:val="000000" w:themeColor="text1"/>
          <w:w w:val="99"/>
          <w:kern w:val="21"/>
          <w:sz w:val="24"/>
          <w:szCs w:val="24"/>
          <w:lang w:val="en-US" w:bidi="ar-SA"/>
          <w14:textFill>
            <w14:solidFill>
              <w14:schemeClr w14:val="tx1"/>
            </w14:solidFill>
          </w14:textFill>
        </w:rPr>
        <w:t>抽油机电机等发声设备选用了低噪声设备，定期对进场设备进行维护和保养；场站机泵均布置在室内，采用隔声门窗及机泵加装减震设施等降低噪声源强，</w:t>
      </w:r>
      <w:r>
        <w:rPr>
          <w:rFonts w:ascii="Times New Roman" w:hAnsi="Times New Roman" w:cs="Times New Roman"/>
          <w:bCs/>
          <w:color w:val="000000" w:themeColor="text1"/>
          <w:w w:val="99"/>
          <w:sz w:val="24"/>
          <w:szCs w:val="20"/>
          <w:lang w:val="en-US" w:bidi="ar-SA"/>
          <w14:textFill>
            <w14:solidFill>
              <w14:schemeClr w14:val="tx1"/>
            </w14:solidFill>
          </w14:textFill>
        </w:rPr>
        <w:t>根据现有工程</w:t>
      </w:r>
      <w:r>
        <w:rPr>
          <w:rFonts w:ascii="Times New Roman" w:hAnsi="Times New Roman" w:cs="Times New Roman"/>
          <w:color w:val="000000" w:themeColor="text1"/>
          <w:w w:val="99"/>
          <w:sz w:val="24"/>
          <w:szCs w:val="24"/>
          <w:lang w:val="en-US" w:bidi="ar-SA"/>
          <w14:textFill>
            <w14:solidFill>
              <w14:schemeClr w14:val="tx1"/>
            </w14:solidFill>
          </w14:textFill>
        </w:rPr>
        <w:t>竣工环境保护验收调查报告中对区域内已建井场及场站的监测结果可知</w:t>
      </w:r>
      <w:r>
        <w:rPr>
          <w:rFonts w:ascii="Times New Roman" w:hAnsi="Times New Roman" w:cs="Times New Roman"/>
          <w:bCs/>
          <w:color w:val="000000" w:themeColor="text1"/>
          <w:w w:val="99"/>
          <w:sz w:val="24"/>
          <w:szCs w:val="24"/>
          <w:lang w:val="en-US" w:bidi="ar-SA"/>
          <w14:textFill>
            <w14:solidFill>
              <w14:schemeClr w14:val="tx1"/>
            </w14:solidFill>
          </w14:textFill>
        </w:rPr>
        <w:t>，</w:t>
      </w:r>
      <w:r>
        <w:rPr>
          <w:rFonts w:ascii="Times New Roman" w:hAnsi="Times New Roman" w:cs="Times New Roman"/>
          <w:color w:val="000000" w:themeColor="text1"/>
          <w:w w:val="99"/>
          <w:kern w:val="21"/>
          <w:sz w:val="24"/>
          <w:szCs w:val="24"/>
          <w:lang w:val="en-US" w:bidi="ar-SA"/>
          <w14:textFill>
            <w14:solidFill>
              <w14:schemeClr w14:val="tx1"/>
            </w14:solidFill>
          </w14:textFill>
        </w:rPr>
        <w:t>现有区块内已建井场、场站厂界噪声满足</w:t>
      </w:r>
      <w:r>
        <w:rPr>
          <w:rFonts w:ascii="Times New Roman" w:hAnsi="Times New Roman" w:cs="Times New Roman"/>
          <w:bCs/>
          <w:color w:val="000000" w:themeColor="text1"/>
          <w:w w:val="99"/>
          <w:sz w:val="24"/>
          <w:szCs w:val="20"/>
          <w:lang w:val="en-US" w:bidi="ar-SA"/>
          <w14:textFill>
            <w14:solidFill>
              <w14:schemeClr w14:val="tx1"/>
            </w14:solidFill>
          </w14:textFill>
        </w:rPr>
        <w:t>《工业企业厂界环境噪声排放标准》（GB12348-2008）2类标准。</w:t>
      </w:r>
    </w:p>
    <w:p w14:paraId="1519EB7F">
      <w:pPr>
        <w:autoSpaceDE/>
        <w:autoSpaceDN/>
        <w:spacing w:line="440" w:lineRule="exact"/>
        <w:ind w:firstLine="474" w:firstLineChars="200"/>
        <w:jc w:val="both"/>
        <w:rPr>
          <w:rFonts w:ascii="Times New Roman" w:hAnsi="Times New Roman" w:cs="Times New Roman"/>
          <w:color w:val="000000" w:themeColor="text1"/>
          <w:w w:val="99"/>
          <w:kern w:val="2"/>
          <w:sz w:val="24"/>
          <w:szCs w:val="24"/>
          <w:lang w:val="en-US" w:bidi="ar-SA"/>
          <w14:textFill>
            <w14:solidFill>
              <w14:schemeClr w14:val="tx1"/>
            </w14:solidFill>
          </w14:textFill>
        </w:rPr>
      </w:pPr>
      <w:r>
        <w:rPr>
          <w:rFonts w:ascii="Times New Roman" w:hAnsi="Times New Roman" w:cs="Times New Roman"/>
          <w:color w:val="000000" w:themeColor="text1"/>
          <w:w w:val="99"/>
          <w:kern w:val="2"/>
          <w:sz w:val="24"/>
          <w:szCs w:val="24"/>
          <w:lang w:val="en-US" w:bidi="ar-SA"/>
          <w14:textFill>
            <w14:solidFill>
              <w14:schemeClr w14:val="tx1"/>
            </w14:solidFill>
          </w14:textFill>
        </w:rPr>
        <w:t>（4）固体废物</w:t>
      </w:r>
    </w:p>
    <w:p w14:paraId="1E6C149F">
      <w:pPr>
        <w:autoSpaceDE/>
        <w:autoSpaceDN/>
        <w:spacing w:line="440" w:lineRule="exact"/>
        <w:ind w:firstLine="474" w:firstLineChars="200"/>
        <w:jc w:val="both"/>
        <w:rPr>
          <w:rFonts w:ascii="Times New Roman" w:hAnsi="Times New Roman" w:cs="Times New Roman"/>
          <w:color w:val="000000" w:themeColor="text1"/>
          <w:w w:val="99"/>
          <w:kern w:val="2"/>
          <w:sz w:val="24"/>
          <w:szCs w:val="24"/>
          <w:lang w:val="en-US" w:bidi="ar-SA"/>
          <w14:textFill>
            <w14:solidFill>
              <w14:schemeClr w14:val="tx1"/>
            </w14:solidFill>
          </w14:textFill>
        </w:rPr>
      </w:pPr>
      <w:r>
        <w:rPr>
          <w:rFonts w:ascii="Times New Roman" w:hAnsi="Times New Roman" w:cs="Times New Roman"/>
          <w:color w:val="000000" w:themeColor="text1"/>
          <w:w w:val="99"/>
          <w:kern w:val="2"/>
          <w:sz w:val="24"/>
          <w:szCs w:val="24"/>
          <w:lang w:val="en-US" w:bidi="ar-SA"/>
          <w14:textFill>
            <w14:solidFill>
              <w14:schemeClr w14:val="tx1"/>
            </w14:solidFill>
          </w14:textFill>
        </w:rPr>
        <w:t>现有工程区块内油井在进行作业过程中产生的含油污泥量约2.9t/a，依托场站</w:t>
      </w:r>
      <w:r>
        <w:rPr>
          <w:rFonts w:ascii="Times New Roman" w:hAnsi="Times New Roman" w:cs="Times New Roman"/>
          <w:bCs/>
          <w:color w:val="000000" w:themeColor="text1"/>
          <w:w w:val="99"/>
          <w:kern w:val="2"/>
          <w:sz w:val="24"/>
          <w:szCs w:val="24"/>
          <w:lang w:val="en-US" w:bidi="ar-SA"/>
          <w14:textFill>
            <w14:solidFill>
              <w14:schemeClr w14:val="tx1"/>
            </w14:solidFill>
          </w14:textFill>
        </w:rPr>
        <w:t>清罐污泥产生量约为1.5t/a，含油污泥由罐车拉运至</w:t>
      </w:r>
      <w:r>
        <w:rPr>
          <w:rFonts w:hint="eastAsia" w:ascii="Times New Roman" w:hAnsi="Times New Roman" w:cs="Times New Roman"/>
          <w:bCs/>
          <w:color w:val="000000" w:themeColor="text1"/>
          <w:w w:val="99"/>
          <w:kern w:val="2"/>
          <w:sz w:val="24"/>
          <w:szCs w:val="24"/>
          <w:lang w:val="en-US" w:eastAsia="zh-CN"/>
          <w14:textFill>
            <w14:solidFill>
              <w14:schemeClr w14:val="tx1"/>
            </w14:solidFill>
          </w14:textFill>
        </w:rPr>
        <w:t>第五采油厂</w:t>
      </w:r>
      <w:r>
        <w:rPr>
          <w:rFonts w:ascii="Times New Roman" w:hAnsi="Times New Roman" w:cs="Times New Roman"/>
          <w:bCs/>
          <w:color w:val="000000" w:themeColor="text1"/>
          <w:w w:val="99"/>
          <w:kern w:val="2"/>
          <w:sz w:val="24"/>
          <w:szCs w:val="24"/>
          <w:lang w:val="en-US"/>
          <w14:textFill>
            <w14:solidFill>
              <w14:schemeClr w14:val="tx1"/>
            </w14:solidFill>
          </w14:textFill>
        </w:rPr>
        <w:t>含油污泥处理站</w:t>
      </w:r>
      <w:r>
        <w:rPr>
          <w:rFonts w:ascii="Times New Roman" w:hAnsi="Times New Roman" w:cs="Times New Roman"/>
          <w:bCs/>
          <w:color w:val="000000" w:themeColor="text1"/>
          <w:w w:val="99"/>
          <w:kern w:val="2"/>
          <w:sz w:val="24"/>
          <w:szCs w:val="24"/>
          <w:lang w:val="en-US" w:bidi="ar-SA"/>
          <w14:textFill>
            <w14:solidFill>
              <w14:schemeClr w14:val="tx1"/>
            </w14:solidFill>
          </w14:textFill>
        </w:rPr>
        <w:t>处理满足《油田含油污泥处置与利用污染控制要求》（DB23/T 3104-2022）表1中油田含油污泥经处置后泥渣利用污染物控制限值后用作油田垫井场和通井路</w:t>
      </w:r>
      <w:r>
        <w:rPr>
          <w:rFonts w:ascii="Times New Roman" w:hAnsi="Times New Roman" w:cs="Times New Roman"/>
          <w:color w:val="000000" w:themeColor="text1"/>
          <w:w w:val="99"/>
          <w:kern w:val="2"/>
          <w:sz w:val="24"/>
          <w:szCs w:val="24"/>
          <w:lang w:val="en-US" w:bidi="ar-SA"/>
          <w14:textFill>
            <w14:solidFill>
              <w14:schemeClr w14:val="tx1"/>
            </w14:solidFill>
          </w14:textFill>
        </w:rPr>
        <w:t>。</w:t>
      </w:r>
    </w:p>
    <w:p w14:paraId="335FD50E">
      <w:pPr>
        <w:autoSpaceDE/>
        <w:autoSpaceDN/>
        <w:spacing w:line="440" w:lineRule="exact"/>
        <w:ind w:firstLine="474" w:firstLineChars="200"/>
        <w:jc w:val="both"/>
        <w:rPr>
          <w:rFonts w:ascii="Times New Roman" w:hAnsi="Times New Roman" w:cs="Times New Roman"/>
          <w:color w:val="000000" w:themeColor="text1"/>
          <w:w w:val="99"/>
          <w:kern w:val="2"/>
          <w:sz w:val="24"/>
          <w:szCs w:val="24"/>
          <w:lang w:val="en-US" w:bidi="ar-SA"/>
          <w14:textFill>
            <w14:solidFill>
              <w14:schemeClr w14:val="tx1"/>
            </w14:solidFill>
          </w14:textFill>
        </w:rPr>
      </w:pPr>
      <w:r>
        <w:rPr>
          <w:rFonts w:ascii="Times New Roman" w:hAnsi="Times New Roman" w:cs="Times New Roman"/>
          <w:color w:val="000000" w:themeColor="text1"/>
          <w:w w:val="99"/>
          <w:kern w:val="2"/>
          <w:sz w:val="24"/>
          <w:szCs w:val="24"/>
          <w:lang w:val="en-US" w:bidi="ar-SA"/>
          <w14:textFill>
            <w14:solidFill>
              <w14:schemeClr w14:val="tx1"/>
            </w14:solidFill>
          </w14:textFill>
        </w:rPr>
        <w:t>现有工程区块内油井在进行作业过程中产生的</w:t>
      </w:r>
      <w:r>
        <w:rPr>
          <w:rFonts w:hint="eastAsia" w:ascii="Times New Roman" w:hAnsi="Times New Roman" w:cs="Times New Roman"/>
          <w:color w:val="000000" w:themeColor="text1"/>
          <w:w w:val="99"/>
          <w:kern w:val="2"/>
          <w:sz w:val="24"/>
          <w:szCs w:val="24"/>
          <w:lang w:val="en-US" w:bidi="ar-SA"/>
          <w14:textFill>
            <w14:solidFill>
              <w14:schemeClr w14:val="tx1"/>
            </w14:solidFill>
          </w14:textFill>
        </w:rPr>
        <w:t>含油废防渗布</w:t>
      </w:r>
      <w:r>
        <w:rPr>
          <w:rFonts w:ascii="Times New Roman" w:hAnsi="Times New Roman" w:cs="Times New Roman"/>
          <w:color w:val="000000" w:themeColor="text1"/>
          <w:w w:val="99"/>
          <w:kern w:val="2"/>
          <w:sz w:val="24"/>
          <w:szCs w:val="24"/>
          <w:lang w:val="en-US" w:bidi="ar-SA"/>
          <w14:textFill>
            <w14:solidFill>
              <w14:schemeClr w14:val="tx1"/>
            </w14:solidFill>
          </w14:textFill>
        </w:rPr>
        <w:t>产生量约为1.45t/a，</w:t>
      </w:r>
      <w:r>
        <w:rPr>
          <w:rFonts w:hint="eastAsia" w:ascii="Times New Roman" w:hAnsi="Times New Roman" w:cs="Times New Roman"/>
          <w:color w:val="000000" w:themeColor="text1"/>
          <w:w w:val="99"/>
          <w:kern w:val="2"/>
          <w:sz w:val="24"/>
          <w:szCs w:val="24"/>
          <w:lang w:val="en-US" w:bidi="ar-SA"/>
          <w14:textFill>
            <w14:solidFill>
              <w14:schemeClr w14:val="tx1"/>
            </w14:solidFill>
          </w14:textFill>
        </w:rPr>
        <w:t>含油废防渗布</w:t>
      </w:r>
      <w:r>
        <w:rPr>
          <w:rFonts w:ascii="Times New Roman" w:hAnsi="Times New Roman" w:cs="Times New Roman"/>
          <w:color w:val="000000" w:themeColor="text1"/>
          <w:w w:val="99"/>
          <w:kern w:val="2"/>
          <w:sz w:val="24"/>
          <w:szCs w:val="24"/>
          <w:lang w:val="en-US" w:bidi="ar-SA"/>
          <w14:textFill>
            <w14:solidFill>
              <w14:schemeClr w14:val="tx1"/>
            </w14:solidFill>
          </w14:textFill>
        </w:rPr>
        <w:t>由建设单位收集后</w:t>
      </w:r>
      <w:r>
        <w:rPr>
          <w:rFonts w:hint="eastAsia" w:ascii="Times New Roman" w:hAnsi="Times New Roman" w:cs="Times New Roman"/>
          <w:color w:val="000000" w:themeColor="text1"/>
          <w:w w:val="99"/>
          <w:kern w:val="2"/>
          <w:sz w:val="24"/>
          <w:szCs w:val="24"/>
          <w:lang w:val="en-US" w:bidi="ar-SA"/>
          <w14:textFill>
            <w14:solidFill>
              <w14:schemeClr w14:val="tx1"/>
            </w14:solidFill>
          </w14:textFill>
        </w:rPr>
        <w:t>定期</w:t>
      </w:r>
      <w:r>
        <w:rPr>
          <w:rFonts w:ascii="Times New Roman" w:hAnsi="Times New Roman" w:cs="Times New Roman"/>
          <w:color w:val="000000" w:themeColor="text1"/>
          <w:w w:val="99"/>
          <w:kern w:val="2"/>
          <w:sz w:val="24"/>
          <w:szCs w:val="24"/>
          <w:lang w:val="en-US" w:bidi="ar-SA"/>
          <w14:textFill>
            <w14:solidFill>
              <w14:schemeClr w14:val="tx1"/>
            </w14:solidFill>
          </w14:textFill>
        </w:rPr>
        <w:t>委托有资质单位处置</w:t>
      </w:r>
      <w:r>
        <w:rPr>
          <w:rFonts w:hint="eastAsia" w:ascii="Times New Roman" w:hAnsi="Times New Roman" w:cs="Times New Roman"/>
          <w:color w:val="000000" w:themeColor="text1"/>
          <w:w w:val="99"/>
          <w:kern w:val="2"/>
          <w:sz w:val="24"/>
          <w:szCs w:val="24"/>
          <w:lang w:val="en-US" w:bidi="ar-SA"/>
          <w14:textFill>
            <w14:solidFill>
              <w14:schemeClr w14:val="tx1"/>
            </w14:solidFill>
          </w14:textFill>
        </w:rPr>
        <w:t>。</w:t>
      </w:r>
    </w:p>
    <w:p w14:paraId="26A25872">
      <w:pPr>
        <w:autoSpaceDE/>
        <w:autoSpaceDN/>
        <w:spacing w:line="440" w:lineRule="exact"/>
        <w:ind w:firstLine="474" w:firstLineChars="200"/>
        <w:jc w:val="both"/>
        <w:rPr>
          <w:rFonts w:ascii="Times New Roman" w:hAnsi="Times New Roman" w:cs="Times New Roman"/>
          <w:bCs/>
          <w:color w:val="000000" w:themeColor="text1"/>
          <w:w w:val="99"/>
          <w:sz w:val="24"/>
          <w:szCs w:val="20"/>
          <w:lang w:val="en-US" w:bidi="ar-SA"/>
          <w14:textFill>
            <w14:solidFill>
              <w14:schemeClr w14:val="tx1"/>
            </w14:solidFill>
          </w14:textFill>
        </w:rPr>
      </w:pPr>
      <w:r>
        <w:rPr>
          <w:rFonts w:ascii="Times New Roman" w:hAnsi="Times New Roman" w:cs="Times New Roman"/>
          <w:color w:val="000000" w:themeColor="text1"/>
          <w:w w:val="99"/>
          <w:kern w:val="2"/>
          <w:sz w:val="24"/>
          <w:szCs w:val="24"/>
          <w:lang w:val="en-US" w:bidi="ar-SA"/>
          <w14:textFill>
            <w14:solidFill>
              <w14:schemeClr w14:val="tx1"/>
            </w14:solidFill>
          </w14:textFill>
        </w:rPr>
        <w:t>工程依托场站及</w:t>
      </w:r>
      <w:r>
        <w:rPr>
          <w:rFonts w:ascii="Times New Roman" w:hAnsi="Times New Roman" w:cs="Times New Roman"/>
          <w:bCs/>
          <w:color w:val="000000" w:themeColor="text1"/>
          <w:w w:val="99"/>
          <w:kern w:val="2"/>
          <w:sz w:val="24"/>
          <w:szCs w:val="24"/>
          <w:lang w:val="en-US" w:bidi="ar-SA"/>
          <w14:textFill>
            <w14:solidFill>
              <w14:schemeClr w14:val="tx1"/>
            </w14:solidFill>
          </w14:textFill>
        </w:rPr>
        <w:t>拉油点内值班人员</w:t>
      </w:r>
      <w:r>
        <w:rPr>
          <w:rFonts w:ascii="Times New Roman" w:hAnsi="Times New Roman" w:cs="Times New Roman"/>
          <w:color w:val="000000" w:themeColor="text1"/>
          <w:w w:val="99"/>
          <w:kern w:val="2"/>
          <w:sz w:val="24"/>
          <w:szCs w:val="24"/>
          <w:lang w:val="en-US" w:bidi="ar-SA"/>
          <w14:textFill>
            <w14:solidFill>
              <w14:schemeClr w14:val="tx1"/>
            </w14:solidFill>
          </w14:textFill>
        </w:rPr>
        <w:t>共产生生活垃圾4.74t/a，产生的</w:t>
      </w:r>
      <w:r>
        <w:rPr>
          <w:rFonts w:ascii="Times New Roman" w:hAnsi="Times New Roman" w:cs="Times New Roman"/>
          <w:bCs/>
          <w:color w:val="000000" w:themeColor="text1"/>
          <w:w w:val="99"/>
          <w:sz w:val="24"/>
          <w:szCs w:val="20"/>
          <w:lang w:val="en-US" w:bidi="ar-SA"/>
          <w14:textFill>
            <w14:solidFill>
              <w14:schemeClr w14:val="tx1"/>
            </w14:solidFill>
          </w14:textFill>
        </w:rPr>
        <w:t>生活垃圾</w:t>
      </w:r>
      <w:r>
        <w:rPr>
          <w:rFonts w:ascii="Times New Roman" w:hAnsi="Times New Roman" w:cs="Times New Roman"/>
          <w:color w:val="000000" w:themeColor="text1"/>
          <w:w w:val="99"/>
          <w:sz w:val="24"/>
          <w:szCs w:val="24"/>
          <w:lang w:val="en-US" w:bidi="ar-SA"/>
          <w14:textFill>
            <w14:solidFill>
              <w14:schemeClr w14:val="tx1"/>
            </w14:solidFill>
          </w14:textFill>
        </w:rPr>
        <w:t>集中收集后拉运至大庆龙清生物科技有限公司进行处</w:t>
      </w:r>
      <w:r>
        <w:rPr>
          <w:rFonts w:ascii="Times New Roman" w:hAnsi="Times New Roman" w:cs="Times New Roman"/>
          <w:bCs/>
          <w:color w:val="000000" w:themeColor="text1"/>
          <w:w w:val="99"/>
          <w:sz w:val="24"/>
          <w:szCs w:val="20"/>
          <w:lang w:val="en-US" w:bidi="ar-SA"/>
          <w14:textFill>
            <w14:solidFill>
              <w14:schemeClr w14:val="tx1"/>
            </w14:solidFill>
          </w14:textFill>
        </w:rPr>
        <w:t>理</w:t>
      </w:r>
      <w:r>
        <w:rPr>
          <w:rFonts w:ascii="Times New Roman" w:hAnsi="Times New Roman" w:cs="Times New Roman"/>
          <w:color w:val="000000" w:themeColor="text1"/>
          <w:w w:val="99"/>
          <w:kern w:val="2"/>
          <w:sz w:val="24"/>
          <w:szCs w:val="24"/>
          <w:lang w:val="en-US" w:bidi="ar-SA"/>
          <w14:textFill>
            <w14:solidFill>
              <w14:schemeClr w14:val="tx1"/>
            </w14:solidFill>
          </w14:textFill>
        </w:rPr>
        <w:t>。</w:t>
      </w:r>
    </w:p>
    <w:p w14:paraId="3D27E65B">
      <w:pPr>
        <w:autoSpaceDE/>
        <w:autoSpaceDN/>
        <w:spacing w:line="440" w:lineRule="exact"/>
        <w:ind w:firstLine="474" w:firstLineChars="200"/>
        <w:jc w:val="both"/>
        <w:rPr>
          <w:rFonts w:ascii="Times New Roman" w:hAnsi="Times New Roman" w:cs="Times New Roman"/>
          <w:color w:val="000000" w:themeColor="text1"/>
          <w:w w:val="99"/>
          <w:kern w:val="2"/>
          <w:sz w:val="24"/>
          <w:szCs w:val="20"/>
          <w:lang w:val="en-US" w:bidi="ar-SA"/>
          <w14:textFill>
            <w14:solidFill>
              <w14:schemeClr w14:val="tx1"/>
            </w14:solidFill>
          </w14:textFill>
        </w:rPr>
      </w:pPr>
      <w:r>
        <w:rPr>
          <w:rFonts w:ascii="Times New Roman" w:hAnsi="Times New Roman" w:cs="Times New Roman"/>
          <w:color w:val="000000" w:themeColor="text1"/>
          <w:w w:val="99"/>
          <w:kern w:val="2"/>
          <w:sz w:val="24"/>
          <w:szCs w:val="24"/>
          <w:lang w:val="en-US" w:bidi="ar-SA"/>
          <w14:textFill>
            <w14:solidFill>
              <w14:schemeClr w14:val="tx1"/>
            </w14:solidFill>
          </w14:textFill>
        </w:rPr>
        <w:t>现有工程污染物产排污情况汇总表见表3.2-4。</w:t>
      </w:r>
    </w:p>
    <w:p w14:paraId="3EBCFBD6">
      <w:pPr>
        <w:autoSpaceDE/>
        <w:autoSpaceDN/>
        <w:spacing w:line="440" w:lineRule="exact"/>
        <w:ind w:firstLine="476" w:firstLineChars="200"/>
        <w:jc w:val="both"/>
        <w:rPr>
          <w:rFonts w:ascii="Times New Roman" w:hAnsi="Times New Roman" w:cs="Times New Roman"/>
          <w:b/>
          <w:color w:val="000000" w:themeColor="text1"/>
          <w:w w:val="99"/>
          <w:kern w:val="2"/>
          <w:sz w:val="24"/>
          <w:szCs w:val="24"/>
          <w:lang w:val="en-US" w:bidi="ar-SA"/>
          <w14:textFill>
            <w14:solidFill>
              <w14:schemeClr w14:val="tx1"/>
            </w14:solidFill>
          </w14:textFill>
        </w:rPr>
      </w:pPr>
      <w:r>
        <w:rPr>
          <w:rFonts w:ascii="Times New Roman" w:hAnsi="Times New Roman" w:cs="Times New Roman"/>
          <w:b/>
          <w:color w:val="000000" w:themeColor="text1"/>
          <w:w w:val="99"/>
          <w:kern w:val="2"/>
          <w:sz w:val="24"/>
          <w:szCs w:val="24"/>
          <w:lang w:val="en-US" w:bidi="ar-SA"/>
          <w14:textFill>
            <w14:solidFill>
              <w14:schemeClr w14:val="tx1"/>
            </w14:solidFill>
          </w14:textFill>
        </w:rPr>
        <w:t>表3.2-4    现有工程污染物产排污情况汇总表</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6"/>
        <w:gridCol w:w="2296"/>
        <w:gridCol w:w="2467"/>
        <w:gridCol w:w="2259"/>
        <w:gridCol w:w="1512"/>
      </w:tblGrid>
      <w:tr w14:paraId="335CD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7" w:type="pct"/>
            <w:vAlign w:val="center"/>
          </w:tcPr>
          <w:p w14:paraId="73162538">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类别</w:t>
            </w:r>
          </w:p>
        </w:tc>
        <w:tc>
          <w:tcPr>
            <w:tcW w:w="1236" w:type="pct"/>
            <w:vAlign w:val="center"/>
          </w:tcPr>
          <w:p w14:paraId="339EC570">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污染物</w:t>
            </w:r>
          </w:p>
        </w:tc>
        <w:tc>
          <w:tcPr>
            <w:tcW w:w="1328" w:type="pct"/>
            <w:vAlign w:val="center"/>
          </w:tcPr>
          <w:p w14:paraId="6D092955">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产生量</w:t>
            </w:r>
          </w:p>
        </w:tc>
        <w:tc>
          <w:tcPr>
            <w:tcW w:w="1216" w:type="pct"/>
            <w:vAlign w:val="center"/>
          </w:tcPr>
          <w:p w14:paraId="1383A54E">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削减量/固废处置量</w:t>
            </w:r>
          </w:p>
        </w:tc>
        <w:tc>
          <w:tcPr>
            <w:tcW w:w="813" w:type="pct"/>
            <w:vAlign w:val="center"/>
          </w:tcPr>
          <w:p w14:paraId="3C696BE4">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排放量</w:t>
            </w:r>
          </w:p>
        </w:tc>
      </w:tr>
      <w:tr w14:paraId="44E2C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7" w:type="pct"/>
            <w:vMerge w:val="restart"/>
            <w:vAlign w:val="center"/>
          </w:tcPr>
          <w:p w14:paraId="0C0D1A84">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废气</w:t>
            </w:r>
          </w:p>
        </w:tc>
        <w:tc>
          <w:tcPr>
            <w:tcW w:w="1236" w:type="pct"/>
            <w:vAlign w:val="center"/>
          </w:tcPr>
          <w:p w14:paraId="6DBEE21D">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非甲烷总烃</w:t>
            </w:r>
          </w:p>
        </w:tc>
        <w:tc>
          <w:tcPr>
            <w:tcW w:w="1328" w:type="pct"/>
            <w:vAlign w:val="center"/>
          </w:tcPr>
          <w:p w14:paraId="4EF55A29">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bCs/>
                <w:color w:val="000000" w:themeColor="text1"/>
                <w:w w:val="99"/>
                <w:sz w:val="21"/>
                <w:szCs w:val="21"/>
                <w:lang w:val="en-US" w:bidi="ar-SA"/>
                <w14:textFill>
                  <w14:solidFill>
                    <w14:schemeClr w14:val="tx1"/>
                  </w14:solidFill>
                </w14:textFill>
              </w:rPr>
              <w:t>454.92t/a</w:t>
            </w:r>
          </w:p>
        </w:tc>
        <w:tc>
          <w:tcPr>
            <w:tcW w:w="1216" w:type="pct"/>
            <w:vAlign w:val="center"/>
          </w:tcPr>
          <w:p w14:paraId="3590B8D4">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0</w:t>
            </w:r>
          </w:p>
        </w:tc>
        <w:tc>
          <w:tcPr>
            <w:tcW w:w="813" w:type="pct"/>
            <w:vAlign w:val="center"/>
          </w:tcPr>
          <w:p w14:paraId="0C0F6001">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bCs/>
                <w:color w:val="000000" w:themeColor="text1"/>
                <w:w w:val="99"/>
                <w:sz w:val="21"/>
                <w:szCs w:val="21"/>
                <w:lang w:val="en-US" w:bidi="ar-SA"/>
                <w14:textFill>
                  <w14:solidFill>
                    <w14:schemeClr w14:val="tx1"/>
                  </w14:solidFill>
                </w14:textFill>
              </w:rPr>
              <w:t>454.92t/a</w:t>
            </w:r>
          </w:p>
        </w:tc>
      </w:tr>
      <w:tr w14:paraId="0C425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7" w:type="pct"/>
            <w:vMerge w:val="continue"/>
            <w:vAlign w:val="center"/>
          </w:tcPr>
          <w:p w14:paraId="4B39652C">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p>
        </w:tc>
        <w:tc>
          <w:tcPr>
            <w:tcW w:w="1236" w:type="pct"/>
            <w:vAlign w:val="center"/>
          </w:tcPr>
          <w:p w14:paraId="73EB1808">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颗粒物</w:t>
            </w:r>
          </w:p>
        </w:tc>
        <w:tc>
          <w:tcPr>
            <w:tcW w:w="1328" w:type="pct"/>
            <w:vAlign w:val="center"/>
          </w:tcPr>
          <w:p w14:paraId="1D05DCF3">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0.4271t/a</w:t>
            </w:r>
          </w:p>
        </w:tc>
        <w:tc>
          <w:tcPr>
            <w:tcW w:w="1216" w:type="pct"/>
            <w:vAlign w:val="center"/>
          </w:tcPr>
          <w:p w14:paraId="04FA1B71">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0</w:t>
            </w:r>
          </w:p>
        </w:tc>
        <w:tc>
          <w:tcPr>
            <w:tcW w:w="813" w:type="pct"/>
            <w:vAlign w:val="center"/>
          </w:tcPr>
          <w:p w14:paraId="09FB6445">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0.4271t/a</w:t>
            </w:r>
          </w:p>
        </w:tc>
      </w:tr>
      <w:tr w14:paraId="404576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7" w:type="pct"/>
            <w:vMerge w:val="continue"/>
            <w:vAlign w:val="center"/>
          </w:tcPr>
          <w:p w14:paraId="671B2438">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p>
        </w:tc>
        <w:tc>
          <w:tcPr>
            <w:tcW w:w="1236" w:type="pct"/>
            <w:vAlign w:val="center"/>
          </w:tcPr>
          <w:p w14:paraId="1749775A">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NO</w:t>
            </w:r>
            <w:r>
              <w:rPr>
                <w:rFonts w:ascii="Times New Roman" w:hAnsi="Times New Roman" w:cs="Times New Roman"/>
                <w:color w:val="000000" w:themeColor="text1"/>
                <w:w w:val="99"/>
                <w:sz w:val="21"/>
                <w:szCs w:val="21"/>
                <w:vertAlign w:val="subscript"/>
                <w:lang w:val="en-US" w:bidi="ar-SA"/>
                <w14:textFill>
                  <w14:solidFill>
                    <w14:schemeClr w14:val="tx1"/>
                  </w14:solidFill>
                </w14:textFill>
              </w:rPr>
              <w:t>x</w:t>
            </w:r>
          </w:p>
        </w:tc>
        <w:tc>
          <w:tcPr>
            <w:tcW w:w="1328" w:type="pct"/>
            <w:vAlign w:val="center"/>
          </w:tcPr>
          <w:p w14:paraId="78746699">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3.5845t/a</w:t>
            </w:r>
          </w:p>
        </w:tc>
        <w:tc>
          <w:tcPr>
            <w:tcW w:w="1216" w:type="pct"/>
            <w:vAlign w:val="center"/>
          </w:tcPr>
          <w:p w14:paraId="2490F08C">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0</w:t>
            </w:r>
          </w:p>
        </w:tc>
        <w:tc>
          <w:tcPr>
            <w:tcW w:w="813" w:type="pct"/>
            <w:vAlign w:val="center"/>
          </w:tcPr>
          <w:p w14:paraId="6768F32A">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3.5845t/a</w:t>
            </w:r>
          </w:p>
        </w:tc>
      </w:tr>
      <w:tr w14:paraId="262CB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7" w:type="pct"/>
            <w:vMerge w:val="continue"/>
            <w:vAlign w:val="center"/>
          </w:tcPr>
          <w:p w14:paraId="43F19A00">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p>
        </w:tc>
        <w:tc>
          <w:tcPr>
            <w:tcW w:w="1236" w:type="pct"/>
            <w:vAlign w:val="center"/>
          </w:tcPr>
          <w:p w14:paraId="26ADDBA7">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SO</w:t>
            </w:r>
            <w:r>
              <w:rPr>
                <w:rFonts w:ascii="Times New Roman" w:hAnsi="Times New Roman" w:cs="Times New Roman"/>
                <w:color w:val="000000" w:themeColor="text1"/>
                <w:w w:val="99"/>
                <w:sz w:val="21"/>
                <w:szCs w:val="21"/>
                <w:vertAlign w:val="subscript"/>
                <w:lang w:val="en-US" w:bidi="ar-SA"/>
                <w14:textFill>
                  <w14:solidFill>
                    <w14:schemeClr w14:val="tx1"/>
                  </w14:solidFill>
                </w14:textFill>
              </w:rPr>
              <w:t>2</w:t>
            </w:r>
          </w:p>
        </w:tc>
        <w:tc>
          <w:tcPr>
            <w:tcW w:w="1328" w:type="pct"/>
            <w:vAlign w:val="center"/>
          </w:tcPr>
          <w:p w14:paraId="76D04D7D">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0.9932t/a</w:t>
            </w:r>
          </w:p>
        </w:tc>
        <w:tc>
          <w:tcPr>
            <w:tcW w:w="1216" w:type="pct"/>
            <w:vAlign w:val="center"/>
          </w:tcPr>
          <w:p w14:paraId="30399A9D">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0</w:t>
            </w:r>
          </w:p>
        </w:tc>
        <w:tc>
          <w:tcPr>
            <w:tcW w:w="813" w:type="pct"/>
            <w:vAlign w:val="center"/>
          </w:tcPr>
          <w:p w14:paraId="2CED4996">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0.9932t/a</w:t>
            </w:r>
          </w:p>
        </w:tc>
      </w:tr>
      <w:tr w14:paraId="3A635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7" w:type="pct"/>
            <w:vMerge w:val="restart"/>
            <w:vAlign w:val="center"/>
          </w:tcPr>
          <w:p w14:paraId="1D5EB44F">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废水</w:t>
            </w:r>
          </w:p>
        </w:tc>
        <w:tc>
          <w:tcPr>
            <w:tcW w:w="1236" w:type="pct"/>
            <w:vAlign w:val="center"/>
          </w:tcPr>
          <w:p w14:paraId="553800D5">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油田采出水</w:t>
            </w:r>
          </w:p>
        </w:tc>
        <w:tc>
          <w:tcPr>
            <w:tcW w:w="1328" w:type="pct"/>
            <w:vAlign w:val="center"/>
          </w:tcPr>
          <w:p w14:paraId="6084C5D1">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7.81×10</w:t>
            </w:r>
            <w:r>
              <w:rPr>
                <w:rFonts w:ascii="Times New Roman" w:hAnsi="Times New Roman" w:cs="Times New Roman"/>
                <w:color w:val="000000" w:themeColor="text1"/>
                <w:w w:val="99"/>
                <w:sz w:val="21"/>
                <w:szCs w:val="21"/>
                <w:vertAlign w:val="superscript"/>
                <w:lang w:val="en-US" w:bidi="ar-SA"/>
                <w14:textFill>
                  <w14:solidFill>
                    <w14:schemeClr w14:val="tx1"/>
                  </w14:solidFill>
                </w14:textFill>
              </w:rPr>
              <w:t>4</w:t>
            </w:r>
            <w:r>
              <w:rPr>
                <w:rFonts w:ascii="Times New Roman" w:hAnsi="Times New Roman" w:cs="Times New Roman"/>
                <w:color w:val="000000" w:themeColor="text1"/>
                <w:w w:val="99"/>
                <w:sz w:val="21"/>
                <w:szCs w:val="21"/>
                <w:lang w:val="en-US" w:bidi="ar-SA"/>
                <w14:textFill>
                  <w14:solidFill>
                    <w14:schemeClr w14:val="tx1"/>
                  </w14:solidFill>
                </w14:textFill>
              </w:rPr>
              <w:t>t/a</w:t>
            </w:r>
          </w:p>
        </w:tc>
        <w:tc>
          <w:tcPr>
            <w:tcW w:w="1216" w:type="pct"/>
            <w:vAlign w:val="center"/>
          </w:tcPr>
          <w:p w14:paraId="60A5C5FB">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7.81×10</w:t>
            </w:r>
            <w:r>
              <w:rPr>
                <w:rFonts w:ascii="Times New Roman" w:hAnsi="Times New Roman" w:cs="Times New Roman"/>
                <w:color w:val="000000" w:themeColor="text1"/>
                <w:w w:val="99"/>
                <w:sz w:val="21"/>
                <w:szCs w:val="21"/>
                <w:vertAlign w:val="superscript"/>
                <w:lang w:val="en-US" w:bidi="ar-SA"/>
                <w14:textFill>
                  <w14:solidFill>
                    <w14:schemeClr w14:val="tx1"/>
                  </w14:solidFill>
                </w14:textFill>
              </w:rPr>
              <w:t>4</w:t>
            </w:r>
            <w:r>
              <w:rPr>
                <w:rFonts w:ascii="Times New Roman" w:hAnsi="Times New Roman" w:cs="Times New Roman"/>
                <w:color w:val="000000" w:themeColor="text1"/>
                <w:w w:val="99"/>
                <w:sz w:val="21"/>
                <w:szCs w:val="21"/>
                <w:lang w:val="en-US" w:bidi="ar-SA"/>
                <w14:textFill>
                  <w14:solidFill>
                    <w14:schemeClr w14:val="tx1"/>
                  </w14:solidFill>
                </w14:textFill>
              </w:rPr>
              <w:t>t/a</w:t>
            </w:r>
          </w:p>
        </w:tc>
        <w:tc>
          <w:tcPr>
            <w:tcW w:w="813" w:type="pct"/>
            <w:vAlign w:val="center"/>
          </w:tcPr>
          <w:p w14:paraId="52A90CF8">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0</w:t>
            </w:r>
          </w:p>
        </w:tc>
      </w:tr>
      <w:tr w14:paraId="1E524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7" w:type="pct"/>
            <w:vMerge w:val="continue"/>
            <w:vAlign w:val="center"/>
          </w:tcPr>
          <w:p w14:paraId="1019945F">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p>
        </w:tc>
        <w:tc>
          <w:tcPr>
            <w:tcW w:w="1236" w:type="pct"/>
            <w:vAlign w:val="center"/>
          </w:tcPr>
          <w:p w14:paraId="405DC11A">
            <w:pPr>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作业污水</w:t>
            </w:r>
          </w:p>
        </w:tc>
        <w:tc>
          <w:tcPr>
            <w:tcW w:w="1328" w:type="pct"/>
            <w:vAlign w:val="center"/>
          </w:tcPr>
          <w:p w14:paraId="67C5CBF3">
            <w:pPr>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bCs/>
                <w:color w:val="000000" w:themeColor="text1"/>
                <w:w w:val="99"/>
                <w:sz w:val="21"/>
                <w:szCs w:val="21"/>
                <w:lang w:val="en-US" w:bidi="ar-SA"/>
                <w14:textFill>
                  <w14:solidFill>
                    <w14:schemeClr w14:val="tx1"/>
                  </w14:solidFill>
                </w14:textFill>
              </w:rPr>
              <w:t>802</w:t>
            </w:r>
            <w:r>
              <w:rPr>
                <w:rFonts w:ascii="Times New Roman" w:hAnsi="Times New Roman" w:cs="Times New Roman"/>
                <w:color w:val="000000" w:themeColor="text1"/>
                <w:w w:val="99"/>
                <w:sz w:val="21"/>
                <w:szCs w:val="21"/>
                <w:lang w:val="en-US" w:bidi="ar-SA"/>
                <w14:textFill>
                  <w14:solidFill>
                    <w14:schemeClr w14:val="tx1"/>
                  </w14:solidFill>
                </w14:textFill>
              </w:rPr>
              <w:t>m</w:t>
            </w:r>
            <w:r>
              <w:rPr>
                <w:rFonts w:ascii="Times New Roman" w:hAnsi="Times New Roman" w:cs="Times New Roman"/>
                <w:color w:val="000000" w:themeColor="text1"/>
                <w:w w:val="99"/>
                <w:sz w:val="21"/>
                <w:szCs w:val="21"/>
                <w:vertAlign w:val="superscript"/>
                <w:lang w:val="en-US" w:bidi="ar-SA"/>
                <w14:textFill>
                  <w14:solidFill>
                    <w14:schemeClr w14:val="tx1"/>
                  </w14:solidFill>
                </w14:textFill>
              </w:rPr>
              <w:t>3</w:t>
            </w:r>
            <w:r>
              <w:rPr>
                <w:rFonts w:ascii="Times New Roman" w:hAnsi="Times New Roman" w:cs="Times New Roman"/>
                <w:color w:val="000000" w:themeColor="text1"/>
                <w:w w:val="99"/>
                <w:sz w:val="21"/>
                <w:szCs w:val="21"/>
                <w:lang w:val="en-US" w:bidi="ar-SA"/>
                <w14:textFill>
                  <w14:solidFill>
                    <w14:schemeClr w14:val="tx1"/>
                  </w14:solidFill>
                </w14:textFill>
              </w:rPr>
              <w:t>/a</w:t>
            </w:r>
          </w:p>
        </w:tc>
        <w:tc>
          <w:tcPr>
            <w:tcW w:w="1216" w:type="pct"/>
            <w:vAlign w:val="center"/>
          </w:tcPr>
          <w:p w14:paraId="2A2E0A63">
            <w:pPr>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bCs/>
                <w:color w:val="000000" w:themeColor="text1"/>
                <w:w w:val="99"/>
                <w:sz w:val="21"/>
                <w:szCs w:val="21"/>
                <w:lang w:val="en-US" w:bidi="ar-SA"/>
                <w14:textFill>
                  <w14:solidFill>
                    <w14:schemeClr w14:val="tx1"/>
                  </w14:solidFill>
                </w14:textFill>
              </w:rPr>
              <w:t>802</w:t>
            </w:r>
            <w:r>
              <w:rPr>
                <w:rFonts w:ascii="Times New Roman" w:hAnsi="Times New Roman" w:cs="Times New Roman"/>
                <w:color w:val="000000" w:themeColor="text1"/>
                <w:w w:val="99"/>
                <w:sz w:val="21"/>
                <w:szCs w:val="21"/>
                <w:lang w:val="en-US" w:bidi="ar-SA"/>
                <w14:textFill>
                  <w14:solidFill>
                    <w14:schemeClr w14:val="tx1"/>
                  </w14:solidFill>
                </w14:textFill>
              </w:rPr>
              <w:t>m</w:t>
            </w:r>
            <w:r>
              <w:rPr>
                <w:rFonts w:ascii="Times New Roman" w:hAnsi="Times New Roman" w:cs="Times New Roman"/>
                <w:color w:val="000000" w:themeColor="text1"/>
                <w:w w:val="99"/>
                <w:sz w:val="21"/>
                <w:szCs w:val="21"/>
                <w:vertAlign w:val="superscript"/>
                <w:lang w:val="en-US" w:bidi="ar-SA"/>
                <w14:textFill>
                  <w14:solidFill>
                    <w14:schemeClr w14:val="tx1"/>
                  </w14:solidFill>
                </w14:textFill>
              </w:rPr>
              <w:t>3</w:t>
            </w:r>
            <w:r>
              <w:rPr>
                <w:rFonts w:ascii="Times New Roman" w:hAnsi="Times New Roman" w:cs="Times New Roman"/>
                <w:color w:val="000000" w:themeColor="text1"/>
                <w:w w:val="99"/>
                <w:sz w:val="21"/>
                <w:szCs w:val="21"/>
                <w:lang w:val="en-US" w:bidi="ar-SA"/>
                <w14:textFill>
                  <w14:solidFill>
                    <w14:schemeClr w14:val="tx1"/>
                  </w14:solidFill>
                </w14:textFill>
              </w:rPr>
              <w:t>/a</w:t>
            </w:r>
          </w:p>
        </w:tc>
        <w:tc>
          <w:tcPr>
            <w:tcW w:w="813" w:type="pct"/>
            <w:vAlign w:val="center"/>
          </w:tcPr>
          <w:p w14:paraId="43513B07">
            <w:pPr>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0</w:t>
            </w:r>
          </w:p>
        </w:tc>
      </w:tr>
      <w:tr w14:paraId="3A3D1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7" w:type="pct"/>
            <w:vMerge w:val="continue"/>
            <w:vAlign w:val="center"/>
          </w:tcPr>
          <w:p w14:paraId="55271EDA">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p>
        </w:tc>
        <w:tc>
          <w:tcPr>
            <w:tcW w:w="1236" w:type="pct"/>
            <w:vAlign w:val="center"/>
          </w:tcPr>
          <w:p w14:paraId="58D786FB">
            <w:pPr>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洗井污水</w:t>
            </w:r>
          </w:p>
        </w:tc>
        <w:tc>
          <w:tcPr>
            <w:tcW w:w="1328" w:type="pct"/>
            <w:vAlign w:val="center"/>
          </w:tcPr>
          <w:p w14:paraId="5F6239B4">
            <w:pPr>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bCs/>
                <w:color w:val="000000" w:themeColor="text1"/>
                <w:w w:val="99"/>
                <w:sz w:val="21"/>
                <w:szCs w:val="21"/>
                <w:lang w:val="en-US" w:bidi="ar-SA"/>
                <w14:textFill>
                  <w14:solidFill>
                    <w14:schemeClr w14:val="tx1"/>
                  </w14:solidFill>
                </w14:textFill>
              </w:rPr>
              <w:t>2280</w:t>
            </w:r>
            <w:r>
              <w:rPr>
                <w:rFonts w:ascii="Times New Roman" w:hAnsi="Times New Roman" w:cs="Times New Roman"/>
                <w:color w:val="000000" w:themeColor="text1"/>
                <w:w w:val="99"/>
                <w:sz w:val="21"/>
                <w:szCs w:val="21"/>
                <w:lang w:val="en-US" w:bidi="ar-SA"/>
                <w14:textFill>
                  <w14:solidFill>
                    <w14:schemeClr w14:val="tx1"/>
                  </w14:solidFill>
                </w14:textFill>
              </w:rPr>
              <w:t>m</w:t>
            </w:r>
            <w:r>
              <w:rPr>
                <w:rFonts w:ascii="Times New Roman" w:hAnsi="Times New Roman" w:cs="Times New Roman"/>
                <w:color w:val="000000" w:themeColor="text1"/>
                <w:w w:val="99"/>
                <w:sz w:val="21"/>
                <w:szCs w:val="21"/>
                <w:vertAlign w:val="superscript"/>
                <w:lang w:val="en-US" w:bidi="ar-SA"/>
                <w14:textFill>
                  <w14:solidFill>
                    <w14:schemeClr w14:val="tx1"/>
                  </w14:solidFill>
                </w14:textFill>
              </w:rPr>
              <w:t>3</w:t>
            </w:r>
            <w:r>
              <w:rPr>
                <w:rFonts w:ascii="Times New Roman" w:hAnsi="Times New Roman" w:cs="Times New Roman"/>
                <w:color w:val="000000" w:themeColor="text1"/>
                <w:w w:val="99"/>
                <w:sz w:val="21"/>
                <w:szCs w:val="21"/>
                <w:lang w:val="en-US" w:bidi="ar-SA"/>
                <w14:textFill>
                  <w14:solidFill>
                    <w14:schemeClr w14:val="tx1"/>
                  </w14:solidFill>
                </w14:textFill>
              </w:rPr>
              <w:t>/a</w:t>
            </w:r>
          </w:p>
        </w:tc>
        <w:tc>
          <w:tcPr>
            <w:tcW w:w="1216" w:type="pct"/>
            <w:vAlign w:val="center"/>
          </w:tcPr>
          <w:p w14:paraId="564C8528">
            <w:pPr>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bCs/>
                <w:color w:val="000000" w:themeColor="text1"/>
                <w:w w:val="99"/>
                <w:sz w:val="21"/>
                <w:szCs w:val="21"/>
                <w:lang w:val="en-US" w:bidi="ar-SA"/>
                <w14:textFill>
                  <w14:solidFill>
                    <w14:schemeClr w14:val="tx1"/>
                  </w14:solidFill>
                </w14:textFill>
              </w:rPr>
              <w:t>2280</w:t>
            </w:r>
            <w:r>
              <w:rPr>
                <w:rFonts w:ascii="Times New Roman" w:hAnsi="Times New Roman" w:cs="Times New Roman"/>
                <w:color w:val="000000" w:themeColor="text1"/>
                <w:w w:val="99"/>
                <w:sz w:val="21"/>
                <w:szCs w:val="21"/>
                <w:lang w:val="en-US" w:bidi="ar-SA"/>
                <w14:textFill>
                  <w14:solidFill>
                    <w14:schemeClr w14:val="tx1"/>
                  </w14:solidFill>
                </w14:textFill>
              </w:rPr>
              <w:t>m</w:t>
            </w:r>
            <w:r>
              <w:rPr>
                <w:rFonts w:ascii="Times New Roman" w:hAnsi="Times New Roman" w:cs="Times New Roman"/>
                <w:color w:val="000000" w:themeColor="text1"/>
                <w:w w:val="99"/>
                <w:sz w:val="21"/>
                <w:szCs w:val="21"/>
                <w:vertAlign w:val="superscript"/>
                <w:lang w:val="en-US" w:bidi="ar-SA"/>
                <w14:textFill>
                  <w14:solidFill>
                    <w14:schemeClr w14:val="tx1"/>
                  </w14:solidFill>
                </w14:textFill>
              </w:rPr>
              <w:t>3</w:t>
            </w:r>
            <w:r>
              <w:rPr>
                <w:rFonts w:ascii="Times New Roman" w:hAnsi="Times New Roman" w:cs="Times New Roman"/>
                <w:color w:val="000000" w:themeColor="text1"/>
                <w:w w:val="99"/>
                <w:sz w:val="21"/>
                <w:szCs w:val="21"/>
                <w:lang w:val="en-US" w:bidi="ar-SA"/>
                <w14:textFill>
                  <w14:solidFill>
                    <w14:schemeClr w14:val="tx1"/>
                  </w14:solidFill>
                </w14:textFill>
              </w:rPr>
              <w:t>/a</w:t>
            </w:r>
          </w:p>
        </w:tc>
        <w:tc>
          <w:tcPr>
            <w:tcW w:w="813" w:type="pct"/>
            <w:vAlign w:val="center"/>
          </w:tcPr>
          <w:p w14:paraId="509D3668">
            <w:pPr>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0</w:t>
            </w:r>
          </w:p>
        </w:tc>
      </w:tr>
      <w:tr w14:paraId="5009B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7" w:type="pct"/>
            <w:vMerge w:val="continue"/>
            <w:vAlign w:val="center"/>
          </w:tcPr>
          <w:p w14:paraId="55822470">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p>
        </w:tc>
        <w:tc>
          <w:tcPr>
            <w:tcW w:w="1236" w:type="pct"/>
            <w:vAlign w:val="center"/>
          </w:tcPr>
          <w:p w14:paraId="7CBCC5BC">
            <w:pPr>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生活污水</w:t>
            </w:r>
          </w:p>
        </w:tc>
        <w:tc>
          <w:tcPr>
            <w:tcW w:w="1328" w:type="pct"/>
            <w:vAlign w:val="center"/>
          </w:tcPr>
          <w:p w14:paraId="70FAB076">
            <w:pPr>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bCs/>
                <w:color w:val="000000" w:themeColor="text1"/>
                <w:w w:val="99"/>
                <w:sz w:val="21"/>
                <w:szCs w:val="21"/>
                <w:lang w:val="en-US" w:bidi="ar-SA"/>
                <w14:textFill>
                  <w14:solidFill>
                    <w14:schemeClr w14:val="tx1"/>
                  </w14:solidFill>
                </w14:textFill>
              </w:rPr>
              <w:t>3</w:t>
            </w:r>
            <w:r>
              <w:rPr>
                <w:rFonts w:ascii="Times New Roman" w:hAnsi="Times New Roman" w:cs="Times New Roman"/>
                <w:bCs/>
                <w:color w:val="000000" w:themeColor="text1"/>
                <w:w w:val="99"/>
                <w:sz w:val="21"/>
                <w:szCs w:val="21"/>
                <w:lang w:val="en-US" w:bidi="ar-SA"/>
                <w14:textFill>
                  <w14:solidFill>
                    <w14:schemeClr w14:val="tx1"/>
                  </w14:solidFill>
                </w14:textFill>
              </w:rPr>
              <w:t>03.7</w:t>
            </w:r>
            <w:r>
              <w:rPr>
                <w:rFonts w:ascii="Times New Roman" w:hAnsi="Times New Roman" w:cs="Times New Roman"/>
                <w:color w:val="000000" w:themeColor="text1"/>
                <w:w w:val="99"/>
                <w:sz w:val="21"/>
                <w:szCs w:val="21"/>
                <w:lang w:val="en-US" w:bidi="ar-SA"/>
                <w14:textFill>
                  <w14:solidFill>
                    <w14:schemeClr w14:val="tx1"/>
                  </w14:solidFill>
                </w14:textFill>
              </w:rPr>
              <w:t>m</w:t>
            </w:r>
            <w:r>
              <w:rPr>
                <w:rFonts w:ascii="Times New Roman" w:hAnsi="Times New Roman" w:cs="Times New Roman"/>
                <w:color w:val="000000" w:themeColor="text1"/>
                <w:w w:val="99"/>
                <w:sz w:val="21"/>
                <w:szCs w:val="21"/>
                <w:vertAlign w:val="superscript"/>
                <w:lang w:val="en-US" w:bidi="ar-SA"/>
                <w14:textFill>
                  <w14:solidFill>
                    <w14:schemeClr w14:val="tx1"/>
                  </w14:solidFill>
                </w14:textFill>
              </w:rPr>
              <w:t>3</w:t>
            </w:r>
            <w:r>
              <w:rPr>
                <w:rFonts w:ascii="Times New Roman" w:hAnsi="Times New Roman" w:cs="Times New Roman"/>
                <w:color w:val="000000" w:themeColor="text1"/>
                <w:w w:val="99"/>
                <w:sz w:val="21"/>
                <w:szCs w:val="21"/>
                <w:lang w:val="en-US" w:bidi="ar-SA"/>
                <w14:textFill>
                  <w14:solidFill>
                    <w14:schemeClr w14:val="tx1"/>
                  </w14:solidFill>
                </w14:textFill>
              </w:rPr>
              <w:t>/a</w:t>
            </w:r>
          </w:p>
        </w:tc>
        <w:tc>
          <w:tcPr>
            <w:tcW w:w="1216" w:type="pct"/>
            <w:vAlign w:val="center"/>
          </w:tcPr>
          <w:p w14:paraId="5C507FC0">
            <w:pPr>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bCs/>
                <w:color w:val="000000" w:themeColor="text1"/>
                <w:w w:val="99"/>
                <w:sz w:val="21"/>
                <w:szCs w:val="21"/>
                <w:lang w:val="en-US" w:bidi="ar-SA"/>
                <w14:textFill>
                  <w14:solidFill>
                    <w14:schemeClr w14:val="tx1"/>
                  </w14:solidFill>
                </w14:textFill>
              </w:rPr>
              <w:t>3</w:t>
            </w:r>
            <w:r>
              <w:rPr>
                <w:rFonts w:ascii="Times New Roman" w:hAnsi="Times New Roman" w:cs="Times New Roman"/>
                <w:bCs/>
                <w:color w:val="000000" w:themeColor="text1"/>
                <w:w w:val="99"/>
                <w:sz w:val="21"/>
                <w:szCs w:val="21"/>
                <w:lang w:val="en-US" w:bidi="ar-SA"/>
                <w14:textFill>
                  <w14:solidFill>
                    <w14:schemeClr w14:val="tx1"/>
                  </w14:solidFill>
                </w14:textFill>
              </w:rPr>
              <w:t>03.7</w:t>
            </w:r>
            <w:r>
              <w:rPr>
                <w:rFonts w:ascii="Times New Roman" w:hAnsi="Times New Roman" w:cs="Times New Roman"/>
                <w:color w:val="000000" w:themeColor="text1"/>
                <w:w w:val="99"/>
                <w:sz w:val="21"/>
                <w:szCs w:val="21"/>
                <w:lang w:val="en-US" w:bidi="ar-SA"/>
                <w14:textFill>
                  <w14:solidFill>
                    <w14:schemeClr w14:val="tx1"/>
                  </w14:solidFill>
                </w14:textFill>
              </w:rPr>
              <w:t>m</w:t>
            </w:r>
            <w:r>
              <w:rPr>
                <w:rFonts w:ascii="Times New Roman" w:hAnsi="Times New Roman" w:cs="Times New Roman"/>
                <w:color w:val="000000" w:themeColor="text1"/>
                <w:w w:val="99"/>
                <w:sz w:val="21"/>
                <w:szCs w:val="21"/>
                <w:vertAlign w:val="superscript"/>
                <w:lang w:val="en-US" w:bidi="ar-SA"/>
                <w14:textFill>
                  <w14:solidFill>
                    <w14:schemeClr w14:val="tx1"/>
                  </w14:solidFill>
                </w14:textFill>
              </w:rPr>
              <w:t>3</w:t>
            </w:r>
            <w:r>
              <w:rPr>
                <w:rFonts w:ascii="Times New Roman" w:hAnsi="Times New Roman" w:cs="Times New Roman"/>
                <w:color w:val="000000" w:themeColor="text1"/>
                <w:w w:val="99"/>
                <w:sz w:val="21"/>
                <w:szCs w:val="21"/>
                <w:lang w:val="en-US" w:bidi="ar-SA"/>
                <w14:textFill>
                  <w14:solidFill>
                    <w14:schemeClr w14:val="tx1"/>
                  </w14:solidFill>
                </w14:textFill>
              </w:rPr>
              <w:t>/a</w:t>
            </w:r>
          </w:p>
        </w:tc>
        <w:tc>
          <w:tcPr>
            <w:tcW w:w="813" w:type="pct"/>
            <w:vAlign w:val="center"/>
          </w:tcPr>
          <w:p w14:paraId="1741BD59">
            <w:pPr>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0</w:t>
            </w:r>
          </w:p>
        </w:tc>
      </w:tr>
      <w:tr w14:paraId="01987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7" w:type="pct"/>
            <w:vMerge w:val="restart"/>
            <w:vAlign w:val="center"/>
          </w:tcPr>
          <w:p w14:paraId="1F87DC17">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固废</w:t>
            </w:r>
          </w:p>
        </w:tc>
        <w:tc>
          <w:tcPr>
            <w:tcW w:w="1236" w:type="pct"/>
            <w:vAlign w:val="center"/>
          </w:tcPr>
          <w:p w14:paraId="3A13125B">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作业含油污泥</w:t>
            </w:r>
          </w:p>
        </w:tc>
        <w:tc>
          <w:tcPr>
            <w:tcW w:w="1328" w:type="pct"/>
            <w:vAlign w:val="center"/>
          </w:tcPr>
          <w:p w14:paraId="08B40926">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2.9t/a</w:t>
            </w:r>
          </w:p>
        </w:tc>
        <w:tc>
          <w:tcPr>
            <w:tcW w:w="1216" w:type="pct"/>
            <w:vAlign w:val="center"/>
          </w:tcPr>
          <w:p w14:paraId="7DCFB358">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2.9t/a</w:t>
            </w:r>
          </w:p>
        </w:tc>
        <w:tc>
          <w:tcPr>
            <w:tcW w:w="813" w:type="pct"/>
            <w:vAlign w:val="center"/>
          </w:tcPr>
          <w:p w14:paraId="24202E2F">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0</w:t>
            </w:r>
          </w:p>
        </w:tc>
      </w:tr>
      <w:tr w14:paraId="27F2E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7" w:type="pct"/>
            <w:vMerge w:val="continue"/>
            <w:vAlign w:val="center"/>
          </w:tcPr>
          <w:p w14:paraId="50B09769">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p>
        </w:tc>
        <w:tc>
          <w:tcPr>
            <w:tcW w:w="1236" w:type="pct"/>
            <w:vAlign w:val="center"/>
          </w:tcPr>
          <w:p w14:paraId="21AD8106">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场站清罐污泥</w:t>
            </w:r>
          </w:p>
        </w:tc>
        <w:tc>
          <w:tcPr>
            <w:tcW w:w="1328" w:type="pct"/>
            <w:vAlign w:val="center"/>
          </w:tcPr>
          <w:p w14:paraId="183B7502">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bCs/>
                <w:color w:val="000000" w:themeColor="text1"/>
                <w:w w:val="99"/>
                <w:sz w:val="21"/>
                <w:szCs w:val="21"/>
                <w:lang w:val="en-US" w:bidi="ar-SA"/>
                <w14:textFill>
                  <w14:solidFill>
                    <w14:schemeClr w14:val="tx1"/>
                  </w14:solidFill>
                </w14:textFill>
              </w:rPr>
              <w:t>1.5</w:t>
            </w:r>
            <w:r>
              <w:rPr>
                <w:rFonts w:ascii="Times New Roman" w:hAnsi="Times New Roman" w:cs="Times New Roman"/>
                <w:color w:val="000000" w:themeColor="text1"/>
                <w:w w:val="99"/>
                <w:sz w:val="21"/>
                <w:szCs w:val="21"/>
                <w:lang w:val="en-US" w:bidi="ar-SA"/>
                <w14:textFill>
                  <w14:solidFill>
                    <w14:schemeClr w14:val="tx1"/>
                  </w14:solidFill>
                </w14:textFill>
              </w:rPr>
              <w:t>t/a</w:t>
            </w:r>
          </w:p>
        </w:tc>
        <w:tc>
          <w:tcPr>
            <w:tcW w:w="1216" w:type="pct"/>
            <w:vAlign w:val="center"/>
          </w:tcPr>
          <w:p w14:paraId="3C049F8C">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bCs/>
                <w:color w:val="000000" w:themeColor="text1"/>
                <w:w w:val="99"/>
                <w:sz w:val="21"/>
                <w:szCs w:val="21"/>
                <w:lang w:val="en-US" w:bidi="ar-SA"/>
                <w14:textFill>
                  <w14:solidFill>
                    <w14:schemeClr w14:val="tx1"/>
                  </w14:solidFill>
                </w14:textFill>
              </w:rPr>
              <w:t>1.5</w:t>
            </w:r>
            <w:r>
              <w:rPr>
                <w:rFonts w:ascii="Times New Roman" w:hAnsi="Times New Roman" w:cs="Times New Roman"/>
                <w:color w:val="000000" w:themeColor="text1"/>
                <w:w w:val="99"/>
                <w:sz w:val="21"/>
                <w:szCs w:val="21"/>
                <w:lang w:val="en-US" w:bidi="ar-SA"/>
                <w14:textFill>
                  <w14:solidFill>
                    <w14:schemeClr w14:val="tx1"/>
                  </w14:solidFill>
                </w14:textFill>
              </w:rPr>
              <w:t>t/a</w:t>
            </w:r>
          </w:p>
        </w:tc>
        <w:tc>
          <w:tcPr>
            <w:tcW w:w="813" w:type="pct"/>
            <w:vAlign w:val="center"/>
          </w:tcPr>
          <w:p w14:paraId="1869A530">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0</w:t>
            </w:r>
          </w:p>
        </w:tc>
      </w:tr>
      <w:tr w14:paraId="3BEF7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7" w:type="pct"/>
            <w:vMerge w:val="continue"/>
            <w:vAlign w:val="center"/>
          </w:tcPr>
          <w:p w14:paraId="2CCB43BD">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p>
        </w:tc>
        <w:tc>
          <w:tcPr>
            <w:tcW w:w="1236" w:type="pct"/>
            <w:vAlign w:val="center"/>
          </w:tcPr>
          <w:p w14:paraId="0CF26E99">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含油</w:t>
            </w:r>
            <w:r>
              <w:rPr>
                <w:rFonts w:ascii="Times New Roman" w:hAnsi="Times New Roman" w:cs="Times New Roman"/>
                <w:color w:val="000000" w:themeColor="text1"/>
                <w:w w:val="99"/>
                <w:sz w:val="21"/>
                <w:szCs w:val="21"/>
                <w:lang w:val="en-US" w:bidi="ar-SA"/>
                <w14:textFill>
                  <w14:solidFill>
                    <w14:schemeClr w14:val="tx1"/>
                  </w14:solidFill>
                </w14:textFill>
              </w:rPr>
              <w:t>废防渗布</w:t>
            </w:r>
          </w:p>
        </w:tc>
        <w:tc>
          <w:tcPr>
            <w:tcW w:w="1328" w:type="pct"/>
            <w:vAlign w:val="center"/>
          </w:tcPr>
          <w:p w14:paraId="4B899B41">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1.45t/a</w:t>
            </w:r>
          </w:p>
        </w:tc>
        <w:tc>
          <w:tcPr>
            <w:tcW w:w="1216" w:type="pct"/>
            <w:vAlign w:val="center"/>
          </w:tcPr>
          <w:p w14:paraId="7915E4E0">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1.45t/a</w:t>
            </w:r>
          </w:p>
        </w:tc>
        <w:tc>
          <w:tcPr>
            <w:tcW w:w="813" w:type="pct"/>
            <w:vAlign w:val="center"/>
          </w:tcPr>
          <w:p w14:paraId="57FA6487">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hint="eastAsia" w:ascii="Times New Roman" w:hAnsi="Times New Roman" w:cs="Times New Roman"/>
                <w:color w:val="000000" w:themeColor="text1"/>
                <w:w w:val="99"/>
                <w:sz w:val="21"/>
                <w:szCs w:val="21"/>
                <w:lang w:val="en-US" w:bidi="ar-SA"/>
                <w14:textFill>
                  <w14:solidFill>
                    <w14:schemeClr w14:val="tx1"/>
                  </w14:solidFill>
                </w14:textFill>
              </w:rPr>
              <w:t>0</w:t>
            </w:r>
          </w:p>
        </w:tc>
      </w:tr>
      <w:tr w14:paraId="0AC3D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7" w:type="pct"/>
            <w:vMerge w:val="continue"/>
            <w:vAlign w:val="center"/>
          </w:tcPr>
          <w:p w14:paraId="414979A0">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p>
        </w:tc>
        <w:tc>
          <w:tcPr>
            <w:tcW w:w="1236" w:type="pct"/>
            <w:vAlign w:val="center"/>
          </w:tcPr>
          <w:p w14:paraId="3ACBC7FE">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生活垃圾</w:t>
            </w:r>
          </w:p>
        </w:tc>
        <w:tc>
          <w:tcPr>
            <w:tcW w:w="1328" w:type="pct"/>
            <w:vAlign w:val="center"/>
          </w:tcPr>
          <w:p w14:paraId="36C41F16">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4.74t/a</w:t>
            </w:r>
          </w:p>
        </w:tc>
        <w:tc>
          <w:tcPr>
            <w:tcW w:w="1216" w:type="pct"/>
            <w:vAlign w:val="center"/>
          </w:tcPr>
          <w:p w14:paraId="1CE9513B">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4.74t/a</w:t>
            </w:r>
          </w:p>
        </w:tc>
        <w:tc>
          <w:tcPr>
            <w:tcW w:w="813" w:type="pct"/>
            <w:vAlign w:val="center"/>
          </w:tcPr>
          <w:p w14:paraId="3DDE0DCA">
            <w:pPr>
              <w:widowControl/>
              <w:autoSpaceDE/>
              <w:autoSpaceDN/>
              <w:spacing w:line="320" w:lineRule="exact"/>
              <w:jc w:val="center"/>
              <w:rPr>
                <w:rFonts w:ascii="Times New Roman" w:hAnsi="Times New Roman" w:cs="Times New Roman"/>
                <w:color w:val="000000" w:themeColor="text1"/>
                <w:w w:val="99"/>
                <w:sz w:val="21"/>
                <w:szCs w:val="21"/>
                <w:lang w:val="en-US" w:bidi="ar-SA"/>
                <w14:textFill>
                  <w14:solidFill>
                    <w14:schemeClr w14:val="tx1"/>
                  </w14:solidFill>
                </w14:textFill>
              </w:rPr>
            </w:pPr>
            <w:r>
              <w:rPr>
                <w:rFonts w:ascii="Times New Roman" w:hAnsi="Times New Roman" w:cs="Times New Roman"/>
                <w:color w:val="000000" w:themeColor="text1"/>
                <w:w w:val="99"/>
                <w:sz w:val="21"/>
                <w:szCs w:val="21"/>
                <w:lang w:val="en-US" w:bidi="ar-SA"/>
                <w14:textFill>
                  <w14:solidFill>
                    <w14:schemeClr w14:val="tx1"/>
                  </w14:solidFill>
                </w14:textFill>
              </w:rPr>
              <w:t>0</w:t>
            </w:r>
          </w:p>
        </w:tc>
      </w:tr>
    </w:tbl>
    <w:p w14:paraId="154AFFE4">
      <w:pPr>
        <w:autoSpaceDE/>
        <w:autoSpaceDN/>
        <w:spacing w:before="60" w:after="60" w:line="440" w:lineRule="exact"/>
        <w:jc w:val="both"/>
        <w:outlineLvl w:val="2"/>
        <w:rPr>
          <w:rFonts w:ascii="Times New Roman" w:hAnsi="Times New Roman" w:cs="Times New Roman"/>
          <w:b/>
          <w:bCs/>
          <w:color w:val="000000" w:themeColor="text1"/>
          <w:w w:val="99"/>
          <w:kern w:val="2"/>
          <w:sz w:val="24"/>
          <w:szCs w:val="24"/>
          <w:lang w:val="en-US" w:bidi="ar-SA"/>
          <w14:textFill>
            <w14:solidFill>
              <w14:schemeClr w14:val="tx1"/>
            </w14:solidFill>
          </w14:textFill>
        </w:rPr>
      </w:pPr>
      <w:r>
        <w:rPr>
          <w:rFonts w:ascii="Times New Roman" w:hAnsi="Times New Roman" w:cs="Times New Roman"/>
          <w:b/>
          <w:bCs/>
          <w:color w:val="000000" w:themeColor="text1"/>
          <w:w w:val="99"/>
          <w:kern w:val="2"/>
          <w:sz w:val="24"/>
          <w:szCs w:val="24"/>
          <w:lang w:val="en-US" w:bidi="ar-SA"/>
          <w14:textFill>
            <w14:solidFill>
              <w14:schemeClr w14:val="tx1"/>
            </w14:solidFill>
          </w14:textFill>
        </w:rPr>
        <w:t>3.2.4现有工程存在的环境问题</w:t>
      </w:r>
    </w:p>
    <w:p w14:paraId="4A601AAB">
      <w:pPr>
        <w:autoSpaceDE/>
        <w:autoSpaceDN/>
        <w:spacing w:line="440" w:lineRule="exact"/>
        <w:ind w:firstLine="474" w:firstLineChars="200"/>
        <w:jc w:val="both"/>
        <w:rPr>
          <w:rFonts w:ascii="Times New Roman" w:hAnsi="Times New Roman" w:cs="Times New Roman"/>
          <w:bCs/>
          <w:color w:val="000000" w:themeColor="text1"/>
          <w:w w:val="99"/>
          <w:kern w:val="2"/>
          <w:sz w:val="24"/>
          <w:szCs w:val="20"/>
          <w:lang w:val="en-US" w:bidi="ar-SA"/>
          <w14:textFill>
            <w14:solidFill>
              <w14:schemeClr w14:val="tx1"/>
            </w14:solidFill>
          </w14:textFill>
        </w:rPr>
      </w:pPr>
      <w:r>
        <w:rPr>
          <w:rFonts w:ascii="Times New Roman" w:hAnsi="Times New Roman" w:cs="Times New Roman"/>
          <w:bCs/>
          <w:color w:val="000000" w:themeColor="text1"/>
          <w:w w:val="99"/>
          <w:kern w:val="2"/>
          <w:sz w:val="24"/>
          <w:szCs w:val="20"/>
          <w:lang w:val="en-US" w:bidi="ar-SA"/>
          <w14:textFill>
            <w14:solidFill>
              <w14:schemeClr w14:val="tx1"/>
            </w14:solidFill>
          </w14:textFill>
        </w:rPr>
        <w:t>通过现场调查可知，区块内拉油点内九合一装置处理后的油田伴生气无法完全利用，部分石油气需放空处理，不仅浪费油气资源，长期放空会破坏大气环境，对环境有很大污染隐患。</w:t>
      </w:r>
    </w:p>
    <w:p w14:paraId="6BA89AF8">
      <w:pPr>
        <w:autoSpaceDE/>
        <w:autoSpaceDN/>
        <w:spacing w:line="440" w:lineRule="exact"/>
        <w:ind w:firstLine="474" w:firstLineChars="200"/>
        <w:jc w:val="both"/>
        <w:rPr>
          <w:rFonts w:ascii="Times New Roman" w:hAnsi="Times New Roman" w:cs="Times New Roman"/>
          <w:bCs/>
          <w:color w:val="000000" w:themeColor="text1"/>
          <w:w w:val="99"/>
          <w:kern w:val="2"/>
          <w:sz w:val="24"/>
          <w:szCs w:val="20"/>
          <w:lang w:val="en-US" w:bidi="ar-SA"/>
          <w14:textFill>
            <w14:solidFill>
              <w14:schemeClr w14:val="tx1"/>
            </w14:solidFill>
          </w14:textFill>
        </w:rPr>
      </w:pPr>
      <w:r>
        <w:rPr>
          <w:rFonts w:ascii="Times New Roman" w:hAnsi="Times New Roman" w:cs="Times New Roman"/>
          <w:bCs/>
          <w:color w:val="000000" w:themeColor="text1"/>
          <w:w w:val="99"/>
          <w:kern w:val="2"/>
          <w:sz w:val="24"/>
          <w:szCs w:val="20"/>
          <w:lang w:val="en-US" w:bidi="ar-SA"/>
          <w14:textFill>
            <w14:solidFill>
              <w14:schemeClr w14:val="tx1"/>
            </w14:solidFill>
          </w14:textFill>
        </w:rPr>
        <w:t>本工程区域内已建井的井场永久性占地面积符合要求，井场地面均进行了平整，无油污。站场环境清洁，地面未发现污油，站内道路两侧和厂区院墙内外均已绿化，生态恢复较好。井场永久性占地面积符合设计要求，井场地面均进行了平整，在临时性占地范围内，地表基本进行了平整，并已完成了生态恢复。</w:t>
      </w:r>
    </w:p>
    <w:p w14:paraId="5413B334">
      <w:pPr>
        <w:autoSpaceDE/>
        <w:autoSpaceDN/>
        <w:spacing w:line="440" w:lineRule="exact"/>
        <w:ind w:firstLine="474" w:firstLineChars="200"/>
        <w:jc w:val="both"/>
        <w:rPr>
          <w:rFonts w:ascii="Times New Roman" w:hAnsi="Times New Roman" w:cs="Times New Roman"/>
          <w:bCs/>
          <w:color w:val="000000" w:themeColor="text1"/>
          <w:w w:val="99"/>
          <w:kern w:val="2"/>
          <w:sz w:val="24"/>
          <w:szCs w:val="20"/>
          <w:lang w:val="en-US" w:bidi="ar-SA"/>
          <w14:textFill>
            <w14:solidFill>
              <w14:schemeClr w14:val="tx1"/>
            </w14:solidFill>
          </w14:textFill>
        </w:rPr>
      </w:pPr>
      <w:r>
        <w:rPr>
          <w:rFonts w:ascii="Times New Roman" w:hAnsi="Times New Roman" w:cs="Times New Roman"/>
          <w:bCs/>
          <w:color w:val="000000" w:themeColor="text1"/>
          <w:w w:val="99"/>
          <w:kern w:val="2"/>
          <w:sz w:val="24"/>
          <w:szCs w:val="20"/>
          <w:lang w:val="en-US" w:bidi="ar-SA"/>
          <w14:textFill>
            <w14:solidFill>
              <w14:schemeClr w14:val="tx1"/>
            </w14:solidFill>
          </w14:textFill>
        </w:rPr>
        <w:t>现有区块内拉油点</w:t>
      </w:r>
      <w:r>
        <w:rPr>
          <w:rFonts w:hint="eastAsia" w:ascii="Times New Roman" w:hAnsi="Times New Roman" w:cs="Times New Roman"/>
          <w:bCs/>
          <w:color w:val="000000" w:themeColor="text1"/>
          <w:w w:val="99"/>
          <w:kern w:val="2"/>
          <w:sz w:val="24"/>
          <w:szCs w:val="20"/>
          <w:lang w:val="en-US" w:bidi="ar-SA"/>
          <w14:textFill>
            <w14:solidFill>
              <w14:schemeClr w14:val="tx1"/>
            </w14:solidFill>
          </w14:textFill>
        </w:rPr>
        <w:t>九合一装置</w:t>
      </w:r>
      <w:r>
        <w:rPr>
          <w:rFonts w:ascii="Times New Roman" w:hAnsi="Times New Roman" w:cs="Times New Roman"/>
          <w:bCs/>
          <w:color w:val="000000" w:themeColor="text1"/>
          <w:w w:val="99"/>
          <w:kern w:val="2"/>
          <w:sz w:val="24"/>
          <w:szCs w:val="20"/>
          <w:lang w:val="en-US" w:bidi="ar-SA"/>
          <w14:textFill>
            <w14:solidFill>
              <w14:schemeClr w14:val="tx1"/>
            </w14:solidFill>
          </w14:textFill>
        </w:rPr>
        <w:t>及龙一联合站加热炉排放的烟气能够达到《锅炉大气污染物排放标准》（GB13271-2014）表2新建燃气锅炉排放浓度限值要求；油气集输采用密闭流程，可有效控制烃类物质的排放，目前现有区块内井场、拉油点、龙一联合站排放的非甲烷总烃厂界能够满足《陆上石油天然气开采工业大气污染物排放标准》（GB39728-2020）5.9中规定要求。通过已建场站的</w:t>
      </w:r>
      <w:r>
        <w:rPr>
          <w:rFonts w:hint="eastAsia" w:ascii="Times New Roman" w:hAnsi="Times New Roman" w:cs="Times New Roman"/>
          <w:bCs/>
          <w:color w:val="000000" w:themeColor="text1"/>
          <w:w w:val="99"/>
          <w:kern w:val="2"/>
          <w:sz w:val="24"/>
          <w:szCs w:val="20"/>
          <w:lang w:val="en-US" w:bidi="ar-SA"/>
          <w14:textFill>
            <w14:solidFill>
              <w14:schemeClr w14:val="tx1"/>
            </w14:solidFill>
          </w14:textFill>
        </w:rPr>
        <w:t>验收</w:t>
      </w:r>
      <w:r>
        <w:rPr>
          <w:rFonts w:ascii="Times New Roman" w:hAnsi="Times New Roman" w:cs="Times New Roman"/>
          <w:bCs/>
          <w:color w:val="000000" w:themeColor="text1"/>
          <w:w w:val="99"/>
          <w:kern w:val="2"/>
          <w:sz w:val="24"/>
          <w:szCs w:val="20"/>
          <w:lang w:val="en-US" w:bidi="ar-SA"/>
          <w14:textFill>
            <w14:solidFill>
              <w14:schemeClr w14:val="tx1"/>
            </w14:solidFill>
          </w14:textFill>
        </w:rPr>
        <w:t>验收监测结果，现有区块内场站厂界满足《工业企业厂界环境噪声排放标准》（GB12348-2008）2类标准。油田采出水、作业污水、洗井污水进入龙一联含油污水处理站处理满足《大庆油田地面工程建设设计规定》（Q/SYDQ0639-2015）中“含油量≤8mg/L、悬浮固体含量≤3mg/L、粒径中值≤2μm”限值要求后回注油层，均不外排；作业和清罐产生的含油污泥由罐车拉运至</w:t>
      </w:r>
      <w:r>
        <w:rPr>
          <w:rFonts w:hint="eastAsia" w:ascii="Times New Roman" w:hAnsi="Times New Roman" w:cs="Times New Roman"/>
          <w:bCs/>
          <w:color w:val="000000" w:themeColor="text1"/>
          <w:w w:val="99"/>
          <w:kern w:val="2"/>
          <w:sz w:val="24"/>
          <w:szCs w:val="20"/>
          <w:lang w:val="en-US" w:eastAsia="zh-CN" w:bidi="ar-SA"/>
          <w14:textFill>
            <w14:solidFill>
              <w14:schemeClr w14:val="tx1"/>
            </w14:solidFill>
          </w14:textFill>
        </w:rPr>
        <w:t>第五采油厂</w:t>
      </w:r>
      <w:r>
        <w:rPr>
          <w:rFonts w:ascii="Times New Roman" w:hAnsi="Times New Roman" w:cs="Times New Roman"/>
          <w:bCs/>
          <w:color w:val="000000" w:themeColor="text1"/>
          <w:w w:val="99"/>
          <w:kern w:val="2"/>
          <w:sz w:val="24"/>
          <w:szCs w:val="20"/>
          <w:lang w:val="en-US" w:bidi="ar-SA"/>
          <w14:textFill>
            <w14:solidFill>
              <w14:schemeClr w14:val="tx1"/>
            </w14:solidFill>
          </w14:textFill>
        </w:rPr>
        <w:t>含油污泥处理站处理满足《油田含油污泥处置与利用污染控制要求》（DB23/T 3104-2022）表1中油田含油污泥经处置后泥渣利用污染物控制限值后用作油田垫井场和通井路。</w:t>
      </w:r>
    </w:p>
    <w:p w14:paraId="7207AB17">
      <w:pPr>
        <w:autoSpaceDE/>
        <w:autoSpaceDN/>
        <w:spacing w:line="440" w:lineRule="exact"/>
        <w:ind w:firstLine="474" w:firstLineChars="200"/>
        <w:jc w:val="both"/>
        <w:rPr>
          <w:rFonts w:ascii="Times New Roman" w:hAnsi="Times New Roman" w:cs="Times New Roman"/>
          <w:bCs/>
          <w:color w:val="000000" w:themeColor="text1"/>
          <w:w w:val="99"/>
          <w:kern w:val="2"/>
          <w:sz w:val="24"/>
          <w:szCs w:val="20"/>
          <w:lang w:val="en-US" w:bidi="ar-SA"/>
          <w14:textFill>
            <w14:solidFill>
              <w14:schemeClr w14:val="tx1"/>
            </w14:solidFill>
          </w14:textFill>
        </w:rPr>
      </w:pPr>
      <w:r>
        <w:rPr>
          <w:rFonts w:ascii="Times New Roman" w:hAnsi="Times New Roman" w:cs="Times New Roman"/>
          <w:bCs/>
          <w:color w:val="000000" w:themeColor="text1"/>
          <w:w w:val="99"/>
          <w:kern w:val="2"/>
          <w:sz w:val="24"/>
          <w:szCs w:val="20"/>
          <w:lang w:val="en-US" w:bidi="ar-SA"/>
          <w14:textFill>
            <w14:solidFill>
              <w14:schemeClr w14:val="tx1"/>
            </w14:solidFill>
          </w14:textFill>
        </w:rPr>
        <w:t>目前，</w:t>
      </w:r>
      <w:r>
        <w:rPr>
          <w:rFonts w:hint="eastAsia" w:ascii="Times New Roman" w:hAnsi="Times New Roman" w:cs="Times New Roman"/>
          <w:bCs/>
          <w:color w:val="000000" w:themeColor="text1"/>
          <w:w w:val="99"/>
          <w:kern w:val="2"/>
          <w:sz w:val="24"/>
          <w:szCs w:val="20"/>
          <w:lang w:val="en-US" w:eastAsia="zh-CN" w:bidi="ar-SA"/>
          <w14:textFill>
            <w14:solidFill>
              <w14:schemeClr w14:val="tx1"/>
            </w14:solidFill>
          </w14:textFill>
        </w:rPr>
        <w:t>第五采油厂</w:t>
      </w:r>
      <w:r>
        <w:rPr>
          <w:rFonts w:ascii="Times New Roman" w:hAnsi="Times New Roman" w:cs="Times New Roman"/>
          <w:bCs/>
          <w:color w:val="000000" w:themeColor="text1"/>
          <w:w w:val="99"/>
          <w:kern w:val="2"/>
          <w:sz w:val="24"/>
          <w:szCs w:val="20"/>
          <w:lang w:val="en-US" w:bidi="ar-SA"/>
          <w14:textFill>
            <w14:solidFill>
              <w14:schemeClr w14:val="tx1"/>
            </w14:solidFill>
          </w14:textFill>
        </w:rPr>
        <w:t>已取得排污许可证，该许可证已经包含区块内已建油水井、场站、拉油点排放的相关污染物。许可证编号为91230607716675409L005Y。</w:t>
      </w:r>
    </w:p>
    <w:p w14:paraId="1D9656FF">
      <w:pPr>
        <w:autoSpaceDE/>
        <w:autoSpaceDN/>
        <w:spacing w:line="440" w:lineRule="exact"/>
        <w:ind w:firstLine="474" w:firstLineChars="200"/>
        <w:jc w:val="both"/>
        <w:rPr>
          <w:rFonts w:ascii="Times New Roman" w:hAnsi="Times New Roman" w:cs="Times New Roman"/>
          <w:bCs/>
          <w:color w:val="000000" w:themeColor="text1"/>
          <w:w w:val="99"/>
          <w:kern w:val="2"/>
          <w:sz w:val="24"/>
          <w:szCs w:val="20"/>
          <w:lang w:val="en-US" w:bidi="ar-SA"/>
          <w14:textFill>
            <w14:solidFill>
              <w14:schemeClr w14:val="tx1"/>
            </w14:solidFill>
          </w14:textFill>
        </w:rPr>
      </w:pPr>
      <w:r>
        <w:rPr>
          <w:rFonts w:ascii="Times New Roman" w:hAnsi="Times New Roman" w:cs="Times New Roman"/>
          <w:bCs/>
          <w:color w:val="000000" w:themeColor="text1"/>
          <w:w w:val="99"/>
          <w:kern w:val="2"/>
          <w:sz w:val="24"/>
          <w:szCs w:val="20"/>
          <w:lang w:val="en-US" w:bidi="ar-SA"/>
          <w14:textFill>
            <w14:solidFill>
              <w14:schemeClr w14:val="tx1"/>
            </w14:solidFill>
          </w14:textFill>
        </w:rPr>
        <w:t>现有工程严格实施HSE环境管理体系，</w:t>
      </w:r>
      <w:r>
        <w:rPr>
          <w:rFonts w:hint="eastAsia" w:ascii="Times New Roman" w:hAnsi="Times New Roman" w:cs="Times New Roman"/>
          <w:bCs/>
          <w:color w:val="000000" w:themeColor="text1"/>
          <w:w w:val="99"/>
          <w:kern w:val="2"/>
          <w:sz w:val="24"/>
          <w:szCs w:val="20"/>
          <w:lang w:val="en-US" w:eastAsia="zh-CN" w:bidi="ar-SA"/>
          <w14:textFill>
            <w14:solidFill>
              <w14:schemeClr w14:val="tx1"/>
            </w14:solidFill>
          </w14:textFill>
        </w:rPr>
        <w:t>第五采油厂</w:t>
      </w:r>
      <w:r>
        <w:rPr>
          <w:rFonts w:ascii="Times New Roman" w:hAnsi="Times New Roman" w:cs="Times New Roman"/>
          <w:bCs/>
          <w:color w:val="000000" w:themeColor="text1"/>
          <w:w w:val="99"/>
          <w:kern w:val="2"/>
          <w:sz w:val="24"/>
          <w:szCs w:val="20"/>
          <w:lang w:val="en-US" w:bidi="ar-SA"/>
          <w14:textFill>
            <w14:solidFill>
              <w14:schemeClr w14:val="tx1"/>
            </w14:solidFill>
          </w14:textFill>
        </w:rPr>
        <w:t>逐级落实岗位责任制；各工区小队或联合站设专职环保员一名，相应采油工区队长及联合站站长为HSE管理体系的第一负责人，对单位日常生产过程中的相关环境工作进行管理。</w:t>
      </w:r>
    </w:p>
    <w:p w14:paraId="38727D1F">
      <w:pPr>
        <w:autoSpaceDE/>
        <w:autoSpaceDN/>
        <w:spacing w:line="440" w:lineRule="exact"/>
        <w:ind w:firstLine="474" w:firstLineChars="200"/>
        <w:jc w:val="both"/>
        <w:rPr>
          <w:rFonts w:ascii="Times New Roman" w:hAnsi="Times New Roman" w:cs="Times New Roman"/>
          <w:bCs/>
          <w:color w:val="000000" w:themeColor="text1"/>
          <w:w w:val="99"/>
          <w:kern w:val="2"/>
          <w:sz w:val="24"/>
          <w:szCs w:val="20"/>
          <w:lang w:val="en-US" w:bidi="ar-SA"/>
          <w14:textFill>
            <w14:solidFill>
              <w14:schemeClr w14:val="tx1"/>
            </w14:solidFill>
          </w14:textFill>
        </w:rPr>
      </w:pPr>
      <w:r>
        <w:rPr>
          <w:rFonts w:ascii="Times New Roman" w:hAnsi="Times New Roman" w:cs="Times New Roman"/>
          <w:bCs/>
          <w:color w:val="000000" w:themeColor="text1"/>
          <w:w w:val="99"/>
          <w:kern w:val="2"/>
          <w:sz w:val="24"/>
          <w:szCs w:val="20"/>
          <w:lang w:val="en-US" w:bidi="ar-SA"/>
          <w14:textFill>
            <w14:solidFill>
              <w14:schemeClr w14:val="tx1"/>
            </w14:solidFill>
          </w14:textFill>
        </w:rPr>
        <w:t>环境风险相关措施：经调查，</w:t>
      </w:r>
      <w:r>
        <w:rPr>
          <w:rFonts w:hint="eastAsia" w:ascii="Times New Roman" w:hAnsi="Times New Roman" w:cs="Times New Roman"/>
          <w:bCs/>
          <w:color w:val="000000" w:themeColor="text1"/>
          <w:w w:val="99"/>
          <w:kern w:val="2"/>
          <w:sz w:val="24"/>
          <w:szCs w:val="20"/>
          <w:lang w:val="en-US" w:eastAsia="zh-CN" w:bidi="ar-SA"/>
          <w14:textFill>
            <w14:solidFill>
              <w14:schemeClr w14:val="tx1"/>
            </w14:solidFill>
          </w14:textFill>
        </w:rPr>
        <w:t>第五采油厂</w:t>
      </w:r>
      <w:r>
        <w:rPr>
          <w:rFonts w:hint="eastAsia" w:ascii="Times New Roman" w:hAnsi="Times New Roman" w:cs="Times New Roman"/>
          <w:bCs/>
          <w:color w:val="000000" w:themeColor="text1"/>
          <w:w w:val="99"/>
          <w:kern w:val="2"/>
          <w:sz w:val="24"/>
          <w:szCs w:val="20"/>
          <w:lang w:val="en-US" w:bidi="ar-SA"/>
          <w14:textFill>
            <w14:solidFill>
              <w14:schemeClr w14:val="tx1"/>
            </w14:solidFill>
          </w14:textFill>
        </w:rPr>
        <w:t>龙虎泡油田</w:t>
      </w:r>
      <w:r>
        <w:rPr>
          <w:rFonts w:ascii="Times New Roman" w:hAnsi="Times New Roman" w:cs="Times New Roman"/>
          <w:bCs/>
          <w:color w:val="000000" w:themeColor="text1"/>
          <w:w w:val="99"/>
          <w:kern w:val="2"/>
          <w:sz w:val="24"/>
          <w:szCs w:val="20"/>
          <w:lang w:val="en-US" w:bidi="ar-SA"/>
          <w14:textFill>
            <w14:solidFill>
              <w14:schemeClr w14:val="tx1"/>
            </w14:solidFill>
          </w14:textFill>
        </w:rPr>
        <w:t>龙</w:t>
      </w:r>
      <w:r>
        <w:rPr>
          <w:rFonts w:hint="eastAsia" w:ascii="Times New Roman" w:hAnsi="Times New Roman" w:cs="Times New Roman"/>
          <w:bCs/>
          <w:color w:val="000000" w:themeColor="text1"/>
          <w:w w:val="99"/>
          <w:kern w:val="2"/>
          <w:sz w:val="24"/>
          <w:szCs w:val="20"/>
          <w:lang w:val="en-US" w:bidi="ar-SA"/>
          <w14:textFill>
            <w14:solidFill>
              <w14:schemeClr w14:val="tx1"/>
            </w14:solidFill>
          </w14:textFill>
        </w:rPr>
        <w:t>2</w:t>
      </w:r>
      <w:r>
        <w:rPr>
          <w:rFonts w:ascii="Times New Roman" w:hAnsi="Times New Roman" w:cs="Times New Roman"/>
          <w:bCs/>
          <w:color w:val="000000" w:themeColor="text1"/>
          <w:w w:val="99"/>
          <w:kern w:val="2"/>
          <w:sz w:val="24"/>
          <w:szCs w:val="20"/>
          <w:lang w:val="en-US" w:bidi="ar-SA"/>
          <w14:textFill>
            <w14:solidFill>
              <w14:schemeClr w14:val="tx1"/>
            </w14:solidFill>
          </w14:textFill>
        </w:rPr>
        <w:t>6区块未发生过环境风险事故。</w:t>
      </w:r>
      <w:r>
        <w:rPr>
          <w:rFonts w:hint="eastAsia" w:ascii="Times New Roman" w:hAnsi="Times New Roman" w:cs="Times New Roman"/>
          <w:bCs/>
          <w:color w:val="000000" w:themeColor="text1"/>
          <w:w w:val="99"/>
          <w:kern w:val="2"/>
          <w:sz w:val="24"/>
          <w:szCs w:val="20"/>
          <w:lang w:val="en-US" w:eastAsia="zh-CN" w:bidi="ar-SA"/>
          <w14:textFill>
            <w14:solidFill>
              <w14:schemeClr w14:val="tx1"/>
            </w14:solidFill>
          </w14:textFill>
        </w:rPr>
        <w:t>第五采油厂</w:t>
      </w:r>
      <w:r>
        <w:rPr>
          <w:rFonts w:ascii="Times New Roman" w:hAnsi="Times New Roman" w:cs="Times New Roman"/>
          <w:bCs/>
          <w:color w:val="000000" w:themeColor="text1"/>
          <w:w w:val="99"/>
          <w:kern w:val="2"/>
          <w:sz w:val="24"/>
          <w:szCs w:val="20"/>
          <w:lang w:val="en-US" w:bidi="ar-SA"/>
          <w14:textFill>
            <w14:solidFill>
              <w14:schemeClr w14:val="tx1"/>
            </w14:solidFill>
          </w14:textFill>
        </w:rPr>
        <w:t>已建立较完善的应急预案体系，综合性预案为《</w:t>
      </w:r>
      <w:r>
        <w:rPr>
          <w:rFonts w:hint="eastAsia" w:ascii="Times New Roman" w:hAnsi="Times New Roman" w:cs="Times New Roman"/>
          <w:bCs/>
          <w:color w:val="000000" w:themeColor="text1"/>
          <w:w w:val="99"/>
          <w:kern w:val="2"/>
          <w:sz w:val="24"/>
          <w:szCs w:val="20"/>
          <w:lang w:val="en-US" w:eastAsia="zh-CN" w:bidi="ar-SA"/>
          <w14:textFill>
            <w14:solidFill>
              <w14:schemeClr w14:val="tx1"/>
            </w14:solidFill>
          </w14:textFill>
        </w:rPr>
        <w:t>第五采油厂</w:t>
      </w:r>
      <w:r>
        <w:rPr>
          <w:rFonts w:ascii="Times New Roman" w:hAnsi="Times New Roman" w:cs="Times New Roman"/>
          <w:bCs/>
          <w:color w:val="000000" w:themeColor="text1"/>
          <w:w w:val="99"/>
          <w:kern w:val="2"/>
          <w:sz w:val="24"/>
          <w:szCs w:val="20"/>
          <w:lang w:val="en-US" w:bidi="ar-SA"/>
          <w14:textFill>
            <w14:solidFill>
              <w14:schemeClr w14:val="tx1"/>
            </w14:solidFill>
          </w14:textFill>
        </w:rPr>
        <w:t>突发事件总体应急预案》，还针对不同的事故分别编制了《环境突发事件专项应急预案》、《井喷突发事件专项应急预案》、《油气泄漏事件专项应急预案》、《输油系统突发事件专项预案》等专项应急预案并定期开展应急演练。建议增加事故应急监测及事故评估等规定内容并定期演习，避免重大污染事故的发生。</w:t>
      </w:r>
    </w:p>
    <w:p w14:paraId="599EE483">
      <w:pPr>
        <w:pStyle w:val="101"/>
        <w:spacing w:before="120" w:after="48"/>
        <w:rPr>
          <w:bCs/>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758440" cy="1551305"/>
            <wp:effectExtent l="19050" t="19050" r="22860" b="10795"/>
            <wp:docPr id="1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8727" cy="1551783"/>
                    </a:xfrm>
                    <a:prstGeom prst="rect">
                      <a:avLst/>
                    </a:prstGeom>
                    <a:noFill/>
                    <a:ln w="9525">
                      <a:solidFill>
                        <a:sysClr val="windowText" lastClr="000000"/>
                      </a:solidFill>
                      <a:miter lim="800000"/>
                      <a:headEnd/>
                      <a:tailEnd/>
                    </a:ln>
                  </pic:spPr>
                </pic:pic>
              </a:graphicData>
            </a:graphic>
          </wp:inline>
        </w:drawing>
      </w:r>
      <w:r>
        <w:rPr>
          <w:bCs/>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2795270" cy="1572260"/>
            <wp:effectExtent l="19050" t="19050" r="24130" b="27940"/>
            <wp:docPr id="1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5527" cy="1572483"/>
                    </a:xfrm>
                    <a:prstGeom prst="rect">
                      <a:avLst/>
                    </a:prstGeom>
                    <a:noFill/>
                    <a:ln w="9525">
                      <a:solidFill>
                        <a:sysClr val="windowText" lastClr="000000"/>
                      </a:solidFill>
                      <a:miter lim="800000"/>
                      <a:headEnd/>
                      <a:tailEnd/>
                    </a:ln>
                  </pic:spPr>
                </pic:pic>
              </a:graphicData>
            </a:graphic>
          </wp:inline>
        </w:drawing>
      </w:r>
    </w:p>
    <w:p w14:paraId="3FB16B01">
      <w:pPr>
        <w:pStyle w:val="101"/>
        <w:spacing w:before="120" w:after="48"/>
        <w:rPr>
          <w:bCs/>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781935" cy="1564640"/>
            <wp:effectExtent l="19050" t="19050" r="18415" b="16510"/>
            <wp:docPr id="1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2531" cy="1565173"/>
                    </a:xfrm>
                    <a:prstGeom prst="rect">
                      <a:avLst/>
                    </a:prstGeom>
                    <a:noFill/>
                    <a:ln w="9525">
                      <a:solidFill>
                        <a:sysClr val="windowText" lastClr="000000"/>
                      </a:solidFill>
                      <a:miter lim="800000"/>
                      <a:headEnd/>
                      <a:tailEnd/>
                    </a:ln>
                  </pic:spPr>
                </pic:pic>
              </a:graphicData>
            </a:graphic>
          </wp:inline>
        </w:drawing>
      </w:r>
      <w:r>
        <w:rPr>
          <w:bCs/>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2787650" cy="1567815"/>
            <wp:effectExtent l="19050" t="19050" r="12700" b="13335"/>
            <wp:docPr id="1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7657" cy="1568057"/>
                    </a:xfrm>
                    <a:prstGeom prst="rect">
                      <a:avLst/>
                    </a:prstGeom>
                    <a:noFill/>
                    <a:ln w="9525">
                      <a:solidFill>
                        <a:sysClr val="windowText" lastClr="000000"/>
                      </a:solidFill>
                      <a:miter lim="800000"/>
                      <a:headEnd/>
                      <a:tailEnd/>
                    </a:ln>
                  </pic:spPr>
                </pic:pic>
              </a:graphicData>
            </a:graphic>
          </wp:inline>
        </w:drawing>
      </w:r>
    </w:p>
    <w:p w14:paraId="7CD057A9">
      <w:pPr>
        <w:pStyle w:val="101"/>
        <w:spacing w:before="120" w:after="48"/>
        <w:rPr>
          <w:bCs/>
          <w:color w:val="000000" w:themeColor="text1"/>
          <w14:textFill>
            <w14:solidFill>
              <w14:schemeClr w14:val="tx1"/>
            </w14:solidFill>
          </w14:textFill>
        </w:rPr>
      </w:pPr>
      <w:r>
        <w:rPr>
          <w:color w:val="000000" w:themeColor="text1"/>
          <w14:textFill>
            <w14:solidFill>
              <w14:schemeClr w14:val="tx1"/>
            </w14:solidFill>
          </w14:textFill>
        </w:rPr>
        <w:t>图3.2-2</w:t>
      </w:r>
      <w:r>
        <w:rPr>
          <w:color w:val="000000" w:themeColor="text1"/>
          <w:lang w:val="de-DE"/>
          <w14:textFill>
            <w14:solidFill>
              <w14:schemeClr w14:val="tx1"/>
            </w14:solidFill>
          </w14:textFill>
        </w:rPr>
        <w:t xml:space="preserve">    </w:t>
      </w:r>
      <w:r>
        <w:rPr>
          <w:rFonts w:hint="eastAsia"/>
          <w:bCs/>
          <w:color w:val="000000" w:themeColor="text1"/>
          <w14:textFill>
            <w14:solidFill>
              <w14:schemeClr w14:val="tx1"/>
            </w14:solidFill>
          </w14:textFill>
        </w:rPr>
        <w:t>区块</w:t>
      </w:r>
      <w:r>
        <w:rPr>
          <w:bCs/>
          <w:color w:val="000000" w:themeColor="text1"/>
          <w14:textFill>
            <w14:solidFill>
              <w14:schemeClr w14:val="tx1"/>
            </w14:solidFill>
          </w14:textFill>
        </w:rPr>
        <w:t>内拉油点建设情况</w:t>
      </w:r>
    </w:p>
    <w:p w14:paraId="6C789709">
      <w:pPr>
        <w:pStyle w:val="101"/>
        <w:spacing w:before="120" w:after="48"/>
        <w:jc w:val="left"/>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832100" cy="1663700"/>
            <wp:effectExtent l="0" t="0" r="6350" b="0"/>
            <wp:docPr id="19" name="图片 19" descr="E:\1E盘\1待写报告\9.九厂项目\2019年验收\111我的项目\20191030九厂验收现场勘查\龙一联\2019103009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1E盘\1待写报告\9.九厂项目\2019年验收\111我的项目\20191030九厂验收现场勘查\龙一联\201910300909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61779" cy="1680961"/>
                    </a:xfrm>
                    <a:prstGeom prst="rect">
                      <a:avLst/>
                    </a:prstGeom>
                    <a:noFill/>
                    <a:ln>
                      <a:noFill/>
                    </a:ln>
                  </pic:spPr>
                </pic:pic>
              </a:graphicData>
            </a:graphic>
          </wp:inline>
        </w:drawing>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pict>
          <v:shape id="_x0000_i1026" o:spt="75" type="#_x0000_t75" style="height:129.5pt;width:216pt;" filled="f" o:preferrelative="t" stroked="f" coordsize="21600,21600">
            <v:path/>
            <v:fill on="f" focussize="0,0"/>
            <v:stroke on="f" joinstyle="miter"/>
            <v:imagedata r:id="rId27" o:title="龙一联卸油点"/>
            <o:lock v:ext="edit" aspectratio="t"/>
            <w10:wrap type="none"/>
            <w10:anchorlock/>
          </v:shape>
        </w:pict>
      </w:r>
    </w:p>
    <w:p w14:paraId="3159F9EF">
      <w:pPr>
        <w:pStyle w:val="101"/>
        <w:spacing w:before="120" w:after="48"/>
        <w:rPr>
          <w:bCs/>
          <w:color w:val="000000" w:themeColor="text1"/>
          <w14:textFill>
            <w14:solidFill>
              <w14:schemeClr w14:val="tx1"/>
            </w14:solidFill>
          </w14:textFill>
        </w:rPr>
      </w:pPr>
      <w:r>
        <w:rPr>
          <w:color w:val="000000" w:themeColor="text1"/>
          <w14:textFill>
            <w14:solidFill>
              <w14:schemeClr w14:val="tx1"/>
            </w14:solidFill>
          </w14:textFill>
        </w:rPr>
        <w:t>图3.2-3</w:t>
      </w:r>
      <w:r>
        <w:rPr>
          <w:color w:val="000000" w:themeColor="text1"/>
          <w:lang w:val="de-DE"/>
          <w14:textFill>
            <w14:solidFill>
              <w14:schemeClr w14:val="tx1"/>
            </w14:solidFill>
          </w14:textFill>
        </w:rPr>
        <w:t xml:space="preserve">    </w:t>
      </w:r>
      <w:r>
        <w:rPr>
          <w:rFonts w:hint="eastAsia"/>
          <w:bCs/>
          <w:color w:val="000000" w:themeColor="text1"/>
          <w14:textFill>
            <w14:solidFill>
              <w14:schemeClr w14:val="tx1"/>
            </w14:solidFill>
          </w14:textFill>
        </w:rPr>
        <w:t>龙一联合站</w:t>
      </w:r>
      <w:r>
        <w:rPr>
          <w:bCs/>
          <w:color w:val="000000" w:themeColor="text1"/>
          <w14:textFill>
            <w14:solidFill>
              <w14:schemeClr w14:val="tx1"/>
            </w14:solidFill>
          </w14:textFill>
        </w:rPr>
        <w:t>建设情况</w:t>
      </w:r>
    </w:p>
    <w:p w14:paraId="3DD66B71">
      <w:pPr>
        <w:pStyle w:val="101"/>
        <w:spacing w:before="120" w:after="48"/>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613660" cy="1639570"/>
            <wp:effectExtent l="19050" t="19050" r="15240"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642375" cy="1658110"/>
                    </a:xfrm>
                    <a:prstGeom prst="rect">
                      <a:avLst/>
                    </a:prstGeom>
                    <a:ln w="6350">
                      <a:solidFill>
                        <a:schemeClr val="tx1"/>
                      </a:solidFill>
                    </a:ln>
                  </pic:spPr>
                </pic:pic>
              </a:graphicData>
            </a:graphic>
          </wp:inline>
        </w:drawing>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2820670" cy="1649095"/>
            <wp:effectExtent l="19050" t="19050" r="17780" b="273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54000" cy="1668870"/>
                    </a:xfrm>
                    <a:prstGeom prst="rect">
                      <a:avLst/>
                    </a:prstGeom>
                    <a:ln w="6350">
                      <a:solidFill>
                        <a:schemeClr val="tx1"/>
                      </a:solidFill>
                    </a:ln>
                  </pic:spPr>
                </pic:pic>
              </a:graphicData>
            </a:graphic>
          </wp:inline>
        </w:drawing>
      </w:r>
    </w:p>
    <w:p w14:paraId="101526FC">
      <w:pPr>
        <w:pStyle w:val="101"/>
        <w:spacing w:before="120" w:after="48"/>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628900" cy="1663065"/>
            <wp:effectExtent l="19050" t="19050" r="19050" b="133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638900" cy="1669597"/>
                    </a:xfrm>
                    <a:prstGeom prst="rect">
                      <a:avLst/>
                    </a:prstGeom>
                    <a:ln w="6350">
                      <a:solidFill>
                        <a:schemeClr val="tx1"/>
                      </a:solidFill>
                    </a:ln>
                  </pic:spPr>
                </pic:pic>
              </a:graphicData>
            </a:graphic>
          </wp:inline>
        </w:drawing>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2871470" cy="1661160"/>
            <wp:effectExtent l="19050" t="19050" r="24130" b="152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4" cstate="print">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905208" cy="1681001"/>
                    </a:xfrm>
                    <a:prstGeom prst="rect">
                      <a:avLst/>
                    </a:prstGeom>
                    <a:ln w="6350">
                      <a:solidFill>
                        <a:schemeClr val="tx1"/>
                      </a:solidFill>
                    </a:ln>
                  </pic:spPr>
                </pic:pic>
              </a:graphicData>
            </a:graphic>
          </wp:inline>
        </w:drawing>
      </w:r>
    </w:p>
    <w:p w14:paraId="1462D10B">
      <w:pPr>
        <w:pStyle w:val="101"/>
        <w:spacing w:before="120" w:after="48"/>
        <w:rPr>
          <w:bCs/>
          <w:color w:val="000000" w:themeColor="text1"/>
          <w14:textFill>
            <w14:solidFill>
              <w14:schemeClr w14:val="tx1"/>
            </w14:solidFill>
          </w14:textFill>
        </w:rPr>
      </w:pPr>
      <w:r>
        <w:rPr>
          <w:color w:val="000000" w:themeColor="text1"/>
          <w14:textFill>
            <w14:solidFill>
              <w14:schemeClr w14:val="tx1"/>
            </w14:solidFill>
          </w14:textFill>
        </w:rPr>
        <w:t>图3.2-4</w:t>
      </w:r>
      <w:r>
        <w:rPr>
          <w:color w:val="000000" w:themeColor="text1"/>
          <w:lang w:val="de-DE"/>
          <w14:textFill>
            <w14:solidFill>
              <w14:schemeClr w14:val="tx1"/>
            </w14:solidFill>
          </w14:textFill>
        </w:rPr>
        <w:t xml:space="preserve">    </w:t>
      </w:r>
      <w:r>
        <w:rPr>
          <w:rFonts w:hint="eastAsia"/>
          <w:bCs/>
          <w:color w:val="000000" w:themeColor="text1"/>
          <w14:textFill>
            <w14:solidFill>
              <w14:schemeClr w14:val="tx1"/>
            </w14:solidFill>
          </w14:textFill>
        </w:rPr>
        <w:t>区块内</w:t>
      </w:r>
      <w:r>
        <w:rPr>
          <w:bCs/>
          <w:color w:val="000000" w:themeColor="text1"/>
          <w14:textFill>
            <w14:solidFill>
              <w14:schemeClr w14:val="tx1"/>
            </w14:solidFill>
          </w14:textFill>
        </w:rPr>
        <w:t>已建井场建设情况及周边生态恢复情况</w:t>
      </w:r>
    </w:p>
    <w:p w14:paraId="57FD8316">
      <w:pPr>
        <w:autoSpaceDE/>
        <w:autoSpaceDN/>
        <w:spacing w:before="60" w:after="60" w:line="440" w:lineRule="exact"/>
        <w:jc w:val="both"/>
        <w:outlineLvl w:val="2"/>
        <w:rPr>
          <w:rFonts w:ascii="Times New Roman" w:hAnsi="Times New Roman" w:cs="Times New Roman"/>
          <w:b/>
          <w:bCs/>
          <w:color w:val="000000" w:themeColor="text1"/>
          <w:w w:val="99"/>
          <w:kern w:val="2"/>
          <w:sz w:val="24"/>
          <w:szCs w:val="24"/>
          <w:lang w:val="en-US" w:bidi="ar-SA"/>
          <w14:textFill>
            <w14:solidFill>
              <w14:schemeClr w14:val="tx1"/>
            </w14:solidFill>
          </w14:textFill>
        </w:rPr>
      </w:pPr>
      <w:r>
        <w:rPr>
          <w:rFonts w:ascii="Times New Roman" w:hAnsi="Times New Roman" w:cs="Times New Roman"/>
          <w:b/>
          <w:bCs/>
          <w:color w:val="000000" w:themeColor="text1"/>
          <w:w w:val="99"/>
          <w:kern w:val="2"/>
          <w:sz w:val="24"/>
          <w:szCs w:val="24"/>
          <w:lang w:val="en-US" w:bidi="ar-SA"/>
          <w14:textFill>
            <w14:solidFill>
              <w14:schemeClr w14:val="tx1"/>
            </w14:solidFill>
          </w14:textFill>
        </w:rPr>
        <w:t>3.2.5</w:t>
      </w:r>
      <w:r>
        <w:rPr>
          <w:rFonts w:hint="eastAsia" w:ascii="Times New Roman" w:hAnsi="Times New Roman" w:cs="Times New Roman"/>
          <w:b/>
          <w:bCs/>
          <w:color w:val="000000" w:themeColor="text1"/>
          <w:w w:val="99"/>
          <w:kern w:val="2"/>
          <w:sz w:val="24"/>
          <w:szCs w:val="24"/>
          <w:lang w:val="en-US" w:bidi="ar-SA"/>
          <w14:textFill>
            <w14:solidFill>
              <w14:schemeClr w14:val="tx1"/>
            </w14:solidFill>
          </w14:textFill>
        </w:rPr>
        <w:t>整改</w:t>
      </w:r>
      <w:r>
        <w:rPr>
          <w:rFonts w:ascii="Times New Roman" w:hAnsi="Times New Roman" w:cs="Times New Roman"/>
          <w:b/>
          <w:bCs/>
          <w:color w:val="000000" w:themeColor="text1"/>
          <w:w w:val="99"/>
          <w:kern w:val="2"/>
          <w:sz w:val="24"/>
          <w:szCs w:val="24"/>
          <w:lang w:val="en-US" w:bidi="ar-SA"/>
          <w14:textFill>
            <w14:solidFill>
              <w14:schemeClr w14:val="tx1"/>
            </w14:solidFill>
          </w14:textFill>
        </w:rPr>
        <w:t>措施</w:t>
      </w:r>
    </w:p>
    <w:p w14:paraId="339AD93B">
      <w:pPr>
        <w:autoSpaceDE/>
        <w:autoSpaceDN/>
        <w:spacing w:line="440" w:lineRule="exact"/>
        <w:ind w:firstLine="474" w:firstLineChars="200"/>
        <w:jc w:val="both"/>
        <w:rPr>
          <w:rFonts w:ascii="Times New Roman" w:hAnsi="Times New Roman" w:cs="Times New Roman"/>
          <w:bCs/>
          <w:color w:val="000000" w:themeColor="text1"/>
          <w:w w:val="99"/>
          <w:kern w:val="2"/>
          <w:sz w:val="24"/>
          <w:szCs w:val="20"/>
          <w:lang w:val="en-US" w:bidi="ar-SA"/>
          <w14:textFill>
            <w14:solidFill>
              <w14:schemeClr w14:val="tx1"/>
            </w14:solidFill>
          </w14:textFill>
        </w:rPr>
      </w:pPr>
      <w:r>
        <w:rPr>
          <w:rFonts w:ascii="Times New Roman" w:hAnsi="Times New Roman" w:cs="Times New Roman"/>
          <w:bCs/>
          <w:color w:val="000000" w:themeColor="text1"/>
          <w:w w:val="99"/>
          <w:kern w:val="2"/>
          <w:sz w:val="24"/>
          <w:szCs w:val="20"/>
          <w:lang w:val="en-US" w:bidi="ar-SA"/>
          <w14:textFill>
            <w14:solidFill>
              <w14:schemeClr w14:val="tx1"/>
            </w14:solidFill>
          </w14:textFill>
        </w:rPr>
        <w:t>为防治环境污染，改善环境质量，避免资源浪费，促进陆上石油天然气开采工业的技术进步和可持续发展，本项目拟拆除11座拉油点内</w:t>
      </w:r>
      <w:r>
        <w:rPr>
          <w:rFonts w:hint="eastAsia" w:ascii="Times New Roman" w:hAnsi="Times New Roman" w:cs="Times New Roman"/>
          <w:bCs/>
          <w:color w:val="000000" w:themeColor="text1"/>
          <w:w w:val="99"/>
          <w:kern w:val="2"/>
          <w:sz w:val="24"/>
          <w:szCs w:val="20"/>
          <w:lang w:val="en-US" w:bidi="ar-SA"/>
          <w14:textFill>
            <w14:solidFill>
              <w14:schemeClr w14:val="tx1"/>
            </w14:solidFill>
          </w14:textFill>
        </w:rPr>
        <w:t>九合一装置</w:t>
      </w:r>
      <w:r>
        <w:rPr>
          <w:rFonts w:ascii="Times New Roman" w:hAnsi="Times New Roman" w:cs="Times New Roman"/>
          <w:bCs/>
          <w:color w:val="000000" w:themeColor="text1"/>
          <w:w w:val="99"/>
          <w:kern w:val="2"/>
          <w:sz w:val="24"/>
          <w:szCs w:val="20"/>
          <w:lang w:val="en-US" w:bidi="ar-SA"/>
          <w14:textFill>
            <w14:solidFill>
              <w14:schemeClr w14:val="tx1"/>
            </w14:solidFill>
          </w14:textFill>
        </w:rPr>
        <w:t>30座，并新建电加热管道将原拉油点产液集中输送至新建混输阀组间，再增压混输至龙一联合站内。管线建设完成后，加强环境管理，定期巡线，避免管线泄漏污染环境。</w:t>
      </w:r>
    </w:p>
    <w:bookmarkEnd w:id="105"/>
    <w:p w14:paraId="41BEECE8">
      <w:pPr>
        <w:tabs>
          <w:tab w:val="left" w:pos="751"/>
        </w:tabs>
        <w:spacing w:before="120" w:after="120" w:line="440" w:lineRule="exact"/>
        <w:jc w:val="both"/>
        <w:outlineLvl w:val="1"/>
        <w:rPr>
          <w:rFonts w:ascii="Times New Roman" w:hAnsi="Times New Roman" w:cs="Times New Roman" w:eastAsiaTheme="minorEastAsia"/>
          <w:b/>
          <w:bCs/>
          <w:color w:val="000000" w:themeColor="text1"/>
          <w:w w:val="99"/>
          <w:sz w:val="28"/>
          <w:szCs w:val="28"/>
          <w:lang w:val="en-US"/>
          <w14:textFill>
            <w14:solidFill>
              <w14:schemeClr w14:val="tx1"/>
            </w14:solidFill>
          </w14:textFill>
        </w:rPr>
      </w:pPr>
      <w:bookmarkStart w:id="106" w:name="_Toc117794556"/>
      <w:r>
        <w:rPr>
          <w:rFonts w:ascii="Times New Roman" w:hAnsi="Times New Roman" w:cs="Times New Roman" w:eastAsiaTheme="minorEastAsia"/>
          <w:b/>
          <w:bCs/>
          <w:color w:val="000000" w:themeColor="text1"/>
          <w:w w:val="99"/>
          <w:sz w:val="28"/>
          <w:szCs w:val="28"/>
          <w:lang w:val="en-US"/>
          <w14:textFill>
            <w14:solidFill>
              <w14:schemeClr w14:val="tx1"/>
            </w14:solidFill>
          </w14:textFill>
        </w:rPr>
        <w:t>3.3 依托工程分析</w:t>
      </w:r>
      <w:bookmarkEnd w:id="106"/>
    </w:p>
    <w:p w14:paraId="549358EC">
      <w:pPr>
        <w:pStyle w:val="107"/>
        <w:tabs>
          <w:tab w:val="left" w:pos="930"/>
        </w:tabs>
        <w:spacing w:before="60" w:after="60" w:line="440" w:lineRule="exact"/>
        <w:ind w:left="0" w:firstLine="0"/>
        <w:jc w:val="both"/>
        <w:outlineLvl w:val="2"/>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bookmarkStart w:id="107" w:name="_Toc117794557"/>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3.3.1 依托工程能力核实及运行现状分析</w:t>
      </w:r>
      <w:bookmarkEnd w:id="107"/>
    </w:p>
    <w:p w14:paraId="33C72B01">
      <w:pPr>
        <w:pStyle w:val="6"/>
        <w:spacing w:before="0" w:after="0" w:line="440" w:lineRule="exact"/>
        <w:rPr>
          <w:rFonts w:ascii="Times New Roman" w:hAnsi="Times New Roman" w:eastAsiaTheme="minorEastAsia"/>
          <w:color w:val="000000" w:themeColor="text1"/>
          <w:w w:val="99"/>
          <w:sz w:val="24"/>
          <w:szCs w:val="24"/>
          <w14:textFill>
            <w14:solidFill>
              <w14:schemeClr w14:val="tx1"/>
            </w14:solidFill>
          </w14:textFill>
        </w:rPr>
      </w:pPr>
      <w:r>
        <w:rPr>
          <w:rFonts w:ascii="Times New Roman" w:hAnsi="Times New Roman" w:eastAsiaTheme="minorEastAsia"/>
          <w:color w:val="000000" w:themeColor="text1"/>
          <w:w w:val="99"/>
          <w:sz w:val="24"/>
          <w:szCs w:val="24"/>
          <w14:textFill>
            <w14:solidFill>
              <w14:schemeClr w14:val="tx1"/>
            </w14:solidFill>
          </w14:textFill>
        </w:rPr>
        <w:t>3.3.1.1龙一联含油污水处理站</w:t>
      </w:r>
    </w:p>
    <w:p w14:paraId="7AC993F6">
      <w:pPr>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本项目管道试压废水依托龙一联含油污水处理站处理，</w:t>
      </w:r>
      <w:r>
        <w:rPr>
          <w:rFonts w:ascii="Times New Roman" w:hAnsi="Times New Roman" w:cs="Times New Roman" w:eastAsiaTheme="minorEastAsia"/>
          <w:bCs/>
          <w:color w:val="000000" w:themeColor="text1"/>
          <w:w w:val="99"/>
          <w:kern w:val="2"/>
          <w:sz w:val="24"/>
          <w:szCs w:val="24"/>
          <w:lang w:val="de-DE" w:bidi="ar-SA"/>
          <w14:textFill>
            <w14:solidFill>
              <w14:schemeClr w14:val="tx1"/>
            </w14:solidFill>
          </w14:textFill>
        </w:rPr>
        <w:t>龙一联含油污水处理站2000年投产运行，采用自然沉降、混凝沉降、两级压力过滤处理工艺，一级过滤罐为核桃壳过滤罐，二级过滤罐为石英砂、磁铁矿双层滤料过滤罐。</w:t>
      </w:r>
      <w:r>
        <w:rPr>
          <w:rFonts w:ascii="Times New Roman" w:hAnsi="Times New Roman" w:cs="Times New Roman" w:eastAsiaTheme="minorEastAsia"/>
          <w:color w:val="000000" w:themeColor="text1"/>
          <w:w w:val="99"/>
          <w:kern w:val="2"/>
          <w:sz w:val="24"/>
          <w:szCs w:val="24"/>
          <w:lang w:val="de-DE" w:bidi="ar-SA"/>
          <w14:textFill>
            <w14:solidFill>
              <w14:schemeClr w14:val="tx1"/>
            </w14:solidFill>
          </w14:textFill>
        </w:rPr>
        <w:t>设计出水水质指标为</w:t>
      </w:r>
      <w:r>
        <w:rPr>
          <w:rFonts w:hint="eastAsia" w:ascii="Times New Roman" w:hAnsi="Times New Roman" w:cs="Times New Roman" w:eastAsiaTheme="minorEastAsia"/>
          <w:color w:val="000000" w:themeColor="text1"/>
          <w:w w:val="99"/>
          <w:kern w:val="2"/>
          <w:sz w:val="24"/>
          <w:szCs w:val="24"/>
          <w:lang w:val="de-DE" w:bidi="ar-SA"/>
          <w14:textFill>
            <w14:solidFill>
              <w14:schemeClr w14:val="tx1"/>
            </w14:solidFill>
          </w14:textFill>
        </w:rPr>
        <w:t>《大庆油田地面工程建设设计规定》（</w:t>
      </w:r>
      <w:r>
        <w:rPr>
          <w:rFonts w:ascii="Times New Roman" w:hAnsi="Times New Roman" w:cs="Times New Roman" w:eastAsiaTheme="minorEastAsia"/>
          <w:color w:val="000000" w:themeColor="text1"/>
          <w:w w:val="99"/>
          <w:kern w:val="2"/>
          <w:sz w:val="24"/>
          <w:szCs w:val="24"/>
          <w:lang w:val="de-DE" w:bidi="ar-SA"/>
          <w14:textFill>
            <w14:solidFill>
              <w14:schemeClr w14:val="tx1"/>
            </w14:solidFill>
          </w14:textFill>
        </w:rPr>
        <w:t>Q/SYDQ0639-2015）表3中的“含油量≤8mg/L、悬浮固体≤3mg/L、粒径中值≤2μm”规定，设计污水处理量为</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7500m</w:t>
      </w:r>
      <w:r>
        <w:rPr>
          <w:rFonts w:ascii="Times New Roman" w:hAnsi="Times New Roman" w:cs="Times New Roman" w:eastAsiaTheme="minorEastAsia"/>
          <w:color w:val="000000" w:themeColor="text1"/>
          <w:w w:val="99"/>
          <w:kern w:val="2"/>
          <w:sz w:val="24"/>
          <w:szCs w:val="24"/>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/d。</w:t>
      </w:r>
      <w:r>
        <w:rPr>
          <w:rFonts w:ascii="Times New Roman" w:hAnsi="Times New Roman" w:cs="Times New Roman" w:eastAsiaTheme="minorEastAsia"/>
          <w:color w:val="000000" w:themeColor="text1"/>
          <w:w w:val="99"/>
          <w:kern w:val="2"/>
          <w:sz w:val="24"/>
          <w:szCs w:val="24"/>
          <w:lang w:val="de-DE" w:bidi="ar-SA"/>
          <w14:textFill>
            <w14:solidFill>
              <w14:schemeClr w14:val="tx1"/>
            </w14:solidFill>
          </w14:textFill>
        </w:rPr>
        <w:t>目前实际污水处理量为</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5970</w:t>
      </w:r>
      <w:r>
        <w:rPr>
          <w:rFonts w:ascii="Times New Roman" w:hAnsi="Times New Roman" w:cs="Times New Roman" w:eastAsiaTheme="minorEastAsia"/>
          <w:color w:val="000000" w:themeColor="text1"/>
          <w:w w:val="99"/>
          <w:kern w:val="2"/>
          <w:sz w:val="24"/>
          <w:szCs w:val="24"/>
          <w:lang w:val="de-DE" w:bidi="ar-SA"/>
          <w14:textFill>
            <w14:solidFill>
              <w14:schemeClr w14:val="tx1"/>
            </w14:solidFill>
          </w14:textFill>
        </w:rPr>
        <w:t>m</w:t>
      </w:r>
      <w:r>
        <w:rPr>
          <w:rFonts w:ascii="Times New Roman" w:hAnsi="Times New Roman" w:cs="Times New Roman" w:eastAsiaTheme="minorEastAsia"/>
          <w:color w:val="000000" w:themeColor="text1"/>
          <w:w w:val="99"/>
          <w:kern w:val="2"/>
          <w:sz w:val="24"/>
          <w:szCs w:val="24"/>
          <w:vertAlign w:val="superscript"/>
          <w:lang w:val="de-DE" w:bidi="ar-SA"/>
          <w14:textFill>
            <w14:solidFill>
              <w14:schemeClr w14:val="tx1"/>
            </w14:solidFill>
          </w14:textFill>
        </w:rPr>
        <w:t>3</w:t>
      </w:r>
      <w:r>
        <w:rPr>
          <w:rFonts w:ascii="Times New Roman" w:hAnsi="Times New Roman" w:cs="Times New Roman" w:eastAsiaTheme="minorEastAsia"/>
          <w:color w:val="000000" w:themeColor="text1"/>
          <w:w w:val="99"/>
          <w:kern w:val="2"/>
          <w:sz w:val="24"/>
          <w:szCs w:val="24"/>
          <w:lang w:val="de-DE" w:bidi="ar-SA"/>
          <w14:textFill>
            <w14:solidFill>
              <w14:schemeClr w14:val="tx1"/>
            </w14:solidFill>
          </w14:textFill>
        </w:rPr>
        <w:t>/d，本项目</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试压废水产生</w:t>
      </w:r>
      <w:r>
        <w:rPr>
          <w:rFonts w:ascii="Times New Roman" w:hAnsi="Times New Roman" w:cs="Times New Roman" w:eastAsiaTheme="minorEastAsia"/>
          <w:color w:val="000000" w:themeColor="text1"/>
          <w:w w:val="99"/>
          <w:kern w:val="2"/>
          <w:sz w:val="24"/>
          <w:szCs w:val="24"/>
          <w:lang w:val="de-DE" w:bidi="ar-SA"/>
          <w14:textFill>
            <w14:solidFill>
              <w14:schemeClr w14:val="tx1"/>
            </w14:solidFill>
          </w14:textFill>
        </w:rPr>
        <w:t>量为</w:t>
      </w:r>
      <w:r>
        <w:rPr>
          <w:rFonts w:ascii="Times New Roman" w:hAnsi="Times New Roman" w:cs="Times New Roman" w:eastAsiaTheme="minorEastAsia"/>
          <w:bCs/>
          <w:color w:val="000000" w:themeColor="text1"/>
          <w:w w:val="99"/>
          <w:kern w:val="2"/>
          <w:sz w:val="24"/>
          <w:szCs w:val="24"/>
          <w:lang w:val="de-DE" w:bidi="ar-SA"/>
          <w14:textFill>
            <w14:solidFill>
              <w14:schemeClr w14:val="tx1"/>
            </w14:solidFill>
          </w14:textFill>
        </w:rPr>
        <w:t>225.5</w:t>
      </w:r>
      <w:r>
        <w:rPr>
          <w:rFonts w:ascii="Times New Roman" w:hAnsi="Times New Roman" w:cs="Times New Roman" w:eastAsiaTheme="minorEastAsia"/>
          <w:color w:val="000000" w:themeColor="text1"/>
          <w:w w:val="99"/>
          <w:kern w:val="2"/>
          <w:sz w:val="24"/>
          <w:szCs w:val="24"/>
          <w:lang w:val="de-DE" w:bidi="ar-SA"/>
          <w14:textFill>
            <w14:solidFill>
              <w14:schemeClr w14:val="tx1"/>
            </w14:solidFill>
          </w14:textFill>
        </w:rPr>
        <w:t>m</w:t>
      </w:r>
      <w:r>
        <w:rPr>
          <w:rFonts w:ascii="Times New Roman" w:hAnsi="Times New Roman" w:cs="Times New Roman" w:eastAsiaTheme="minorEastAsia"/>
          <w:color w:val="000000" w:themeColor="text1"/>
          <w:w w:val="99"/>
          <w:kern w:val="2"/>
          <w:sz w:val="24"/>
          <w:szCs w:val="24"/>
          <w:vertAlign w:val="superscript"/>
          <w:lang w:val="de-DE" w:bidi="ar-SA"/>
          <w14:textFill>
            <w14:solidFill>
              <w14:schemeClr w14:val="tx1"/>
            </w14:solidFill>
          </w14:textFill>
        </w:rPr>
        <w:t>3</w:t>
      </w:r>
      <w:r>
        <w:rPr>
          <w:rFonts w:ascii="Times New Roman" w:hAnsi="Times New Roman" w:cs="Times New Roman" w:eastAsiaTheme="minorEastAsia"/>
          <w:color w:val="000000" w:themeColor="text1"/>
          <w:w w:val="99"/>
          <w:kern w:val="2"/>
          <w:sz w:val="24"/>
          <w:szCs w:val="24"/>
          <w:lang w:val="de-DE" w:bidi="ar-SA"/>
          <w14:textFill>
            <w14:solidFill>
              <w14:schemeClr w14:val="tx1"/>
            </w14:solidFill>
          </w14:textFill>
        </w:rPr>
        <w:t>，增加本项目废水后，该站负荷率为</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82.6</w:t>
      </w:r>
      <w:r>
        <w:rPr>
          <w:rFonts w:ascii="Times New Roman" w:hAnsi="Times New Roman" w:cs="Times New Roman" w:eastAsiaTheme="minorEastAsia"/>
          <w:color w:val="000000" w:themeColor="text1"/>
          <w:w w:val="99"/>
          <w:kern w:val="2"/>
          <w:sz w:val="24"/>
          <w:szCs w:val="24"/>
          <w:lang w:val="de-DE" w:bidi="ar-SA"/>
          <w14:textFill>
            <w14:solidFill>
              <w14:schemeClr w14:val="tx1"/>
            </w14:solidFill>
          </w14:textFill>
        </w:rPr>
        <w:t>%，满足本项目需求</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。龙一联含油污水处理站工艺流程见图3.3-1。</w:t>
      </w:r>
      <w:r>
        <w:rPr>
          <w:rFonts w:ascii="Times New Roman" w:hAnsi="Times New Roman" w:cs="Times New Roman" w:eastAsiaTheme="minorEastAsia"/>
          <w:bCs/>
          <w:color w:val="000000" w:themeColor="text1"/>
          <w:w w:val="99"/>
          <w:kern w:val="2"/>
          <w:sz w:val="24"/>
          <w:szCs w:val="24"/>
          <w:lang w:val="en-US" w:bidi="ar-SA"/>
          <w14:textFill>
            <w14:solidFill>
              <w14:schemeClr w14:val="tx1"/>
            </w14:solidFill>
          </w14:textFill>
        </w:rPr>
        <w:t>根据现场调查，龙一联含油污水处理站正常运行，根据《龙一联污水处理系统改造工程竣工环境保护验收监测报告表》中对龙一联含油污水处理站的监测结果可知（验收意见见附件</w:t>
      </w:r>
      <w:r>
        <w:rPr>
          <w:rFonts w:hint="eastAsia" w:ascii="Times New Roman" w:hAnsi="Times New Roman" w:cs="Times New Roman" w:eastAsiaTheme="minorEastAsia"/>
          <w:bCs/>
          <w:color w:val="000000" w:themeColor="text1"/>
          <w:w w:val="99"/>
          <w:kern w:val="2"/>
          <w:sz w:val="24"/>
          <w:szCs w:val="24"/>
          <w:lang w:val="en-US" w:bidi="ar-SA"/>
          <w14:textFill>
            <w14:solidFill>
              <w14:schemeClr w14:val="tx1"/>
            </w14:solidFill>
          </w14:textFill>
        </w:rPr>
        <w:t>3</w:t>
      </w:r>
      <w:r>
        <w:rPr>
          <w:rFonts w:ascii="Times New Roman" w:hAnsi="Times New Roman" w:cs="Times New Roman" w:eastAsiaTheme="minorEastAsia"/>
          <w:bCs/>
          <w:color w:val="000000" w:themeColor="text1"/>
          <w:w w:val="99"/>
          <w:kern w:val="2"/>
          <w:sz w:val="24"/>
          <w:szCs w:val="24"/>
          <w:lang w:val="en-US" w:bidi="ar-SA"/>
          <w14:textFill>
            <w14:solidFill>
              <w14:schemeClr w14:val="tx1"/>
            </w14:solidFill>
          </w14:textFill>
        </w:rPr>
        <w:t>），处理后的污水中石油类1.24-2.22mg/L、悬浮固体2-3mg/L，满足《大庆油田地面工程建设设计规定》（Q/SYDQ0639-2015）中“含油量≤8mg/L、悬浮固体含量≤3mg/L、粒径中值≤2μm”限值要求后回注油层，不外排。</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本项目依托可行。</w:t>
      </w:r>
    </w:p>
    <w:p w14:paraId="223E32F7">
      <w:pPr>
        <w:jc w:val="center"/>
        <w:rPr>
          <w:rFonts w:ascii="Times New Roman" w:hAnsi="Times New Roman" w:cs="Times New Roman" w:eastAsiaTheme="minorEastAsia"/>
          <w:color w:val="000000" w:themeColor="text1"/>
          <w:w w:val="99"/>
          <w14:textFill>
            <w14:solidFill>
              <w14:schemeClr w14:val="tx1"/>
            </w14:solidFill>
          </w14:textFill>
        </w:rPr>
      </w:pPr>
      <w:bookmarkStart w:id="108" w:name="_Toc12375"/>
      <w:r>
        <w:rPr>
          <w:rFonts w:ascii="Times New Roman" w:hAnsi="Times New Roman" w:cs="Times New Roman" w:eastAsiaTheme="minorEastAsia"/>
          <w:color w:val="000000" w:themeColor="text1"/>
          <w:w w:val="99"/>
          <w:lang w:val="en-US" w:bidi="ar-SA"/>
          <w14:textFill>
            <w14:solidFill>
              <w14:schemeClr w14:val="tx1"/>
            </w14:solidFill>
          </w14:textFill>
        </w:rPr>
        <w:drawing>
          <wp:inline distT="0" distB="0" distL="0" distR="0">
            <wp:extent cx="5753100" cy="15335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753100" cy="1533525"/>
                    </a:xfrm>
                    <a:prstGeom prst="rect">
                      <a:avLst/>
                    </a:prstGeom>
                    <a:noFill/>
                    <a:ln>
                      <a:noFill/>
                    </a:ln>
                  </pic:spPr>
                </pic:pic>
              </a:graphicData>
            </a:graphic>
          </wp:inline>
        </w:drawing>
      </w:r>
      <w:bookmarkEnd w:id="108"/>
    </w:p>
    <w:p w14:paraId="4735E51A">
      <w:pPr>
        <w:autoSpaceDE/>
        <w:autoSpaceDN/>
        <w:spacing w:line="440" w:lineRule="exact"/>
        <w:jc w:val="center"/>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t>图3.3-1    龙一联含油污水处理站工艺流程</w:t>
      </w:r>
    </w:p>
    <w:p w14:paraId="79A2F933">
      <w:pPr>
        <w:spacing w:line="440" w:lineRule="exact"/>
        <w:outlineLvl w:val="3"/>
        <w:rPr>
          <w:rFonts w:ascii="Times New Roman" w:hAnsi="Times New Roman" w:cs="Times New Roman" w:eastAsiaTheme="minorEastAsia"/>
          <w:b/>
          <w:color w:val="000000" w:themeColor="text1"/>
          <w:w w:val="99"/>
          <w14:textFill>
            <w14:solidFill>
              <w14:schemeClr w14:val="tx1"/>
            </w14:solidFill>
          </w14:textFill>
        </w:rPr>
      </w:pPr>
      <w:r>
        <w:rPr>
          <w:rFonts w:ascii="Times New Roman" w:hAnsi="Times New Roman" w:cs="Times New Roman" w:eastAsiaTheme="minorEastAsia"/>
          <w:b/>
          <w:color w:val="000000" w:themeColor="text1"/>
          <w:w w:val="99"/>
          <w14:textFill>
            <w14:solidFill>
              <w14:schemeClr w14:val="tx1"/>
            </w14:solidFill>
          </w14:textFill>
        </w:rPr>
        <w:t>3.3.1.2</w:t>
      </w:r>
      <w:r>
        <w:rPr>
          <w:rFonts w:hint="eastAsia" w:ascii="Times New Roman" w:hAnsi="Times New Roman" w:cs="Times New Roman" w:eastAsiaTheme="minorEastAsia"/>
          <w:b/>
          <w:bCs/>
          <w:color w:val="000000" w:themeColor="text1"/>
          <w:w w:val="99"/>
          <w:lang w:eastAsia="zh-CN"/>
          <w14:textFill>
            <w14:solidFill>
              <w14:schemeClr w14:val="tx1"/>
            </w14:solidFill>
          </w14:textFill>
        </w:rPr>
        <w:t>第五采油厂</w:t>
      </w:r>
      <w:r>
        <w:rPr>
          <w:rFonts w:ascii="Times New Roman" w:hAnsi="Times New Roman" w:cs="Times New Roman" w:eastAsiaTheme="minorEastAsia"/>
          <w:b/>
          <w:bCs/>
          <w:color w:val="000000" w:themeColor="text1"/>
          <w:w w:val="99"/>
          <w14:textFill>
            <w14:solidFill>
              <w14:schemeClr w14:val="tx1"/>
            </w14:solidFill>
          </w14:textFill>
        </w:rPr>
        <w:t>含油污泥处理站</w:t>
      </w:r>
    </w:p>
    <w:p w14:paraId="7C3F02CC">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项目施工期产生的清淤油泥依托</w:t>
      </w:r>
      <w:r>
        <w:rPr>
          <w:rFonts w:hint="eastAsia" w:ascii="Times New Roman" w:hAnsi="Times New Roman" w:cs="Times New Roman" w:eastAsiaTheme="minorEastAsia"/>
          <w:color w:val="000000" w:themeColor="text1"/>
          <w:w w:val="99"/>
          <w:sz w:val="24"/>
          <w:szCs w:val="24"/>
          <w:lang w:eastAsia="zh-CN"/>
          <w14:textFill>
            <w14:solidFill>
              <w14:schemeClr w14:val="tx1"/>
            </w14:solidFill>
          </w14:textFill>
        </w:rPr>
        <w:t>第五采油厂</w:t>
      </w:r>
      <w:r>
        <w:rPr>
          <w:rFonts w:ascii="Times New Roman" w:hAnsi="Times New Roman" w:cs="Times New Roman" w:eastAsiaTheme="minorEastAsia"/>
          <w:color w:val="000000" w:themeColor="text1"/>
          <w:w w:val="99"/>
          <w:sz w:val="24"/>
          <w:szCs w:val="24"/>
          <w14:textFill>
            <w14:solidFill>
              <w14:schemeClr w14:val="tx1"/>
            </w14:solidFill>
          </w14:textFill>
        </w:rPr>
        <w:t>含油污泥处理站进行处理。污泥站环保手续已在《</w:t>
      </w:r>
      <w:r>
        <w:rPr>
          <w:rFonts w:hint="eastAsia" w:ascii="Times New Roman" w:hAnsi="Times New Roman" w:cs="Times New Roman" w:eastAsiaTheme="minorEastAsia"/>
          <w:color w:val="000000" w:themeColor="text1"/>
          <w:w w:val="99"/>
          <w:sz w:val="24"/>
          <w:szCs w:val="24"/>
          <w:lang w:eastAsia="zh-CN"/>
          <w14:textFill>
            <w14:solidFill>
              <w14:schemeClr w14:val="tx1"/>
            </w14:solidFill>
          </w14:textFill>
        </w:rPr>
        <w:t>第五采油厂</w:t>
      </w:r>
      <w:r>
        <w:rPr>
          <w:rFonts w:ascii="Times New Roman" w:hAnsi="Times New Roman" w:cs="Times New Roman" w:eastAsiaTheme="minorEastAsia"/>
          <w:color w:val="000000" w:themeColor="text1"/>
          <w:w w:val="99"/>
          <w:sz w:val="24"/>
          <w:szCs w:val="24"/>
          <w14:textFill>
            <w14:solidFill>
              <w14:schemeClr w14:val="tx1"/>
            </w14:solidFill>
          </w14:textFill>
        </w:rPr>
        <w:t>含油污泥处理站建设工程环境影响报告书》项目中进行了环境影响评价，批复文号为庆环审〔2020〕170号，该站已建设完成，正在组织验收中，目前该站未运行，</w:t>
      </w:r>
      <w:r>
        <w:rPr>
          <w:rFonts w:hint="eastAsia" w:ascii="Times New Roman" w:hAnsi="Times New Roman" w:cs="Times New Roman" w:eastAsiaTheme="minorEastAsia"/>
          <w:color w:val="000000" w:themeColor="text1"/>
          <w:w w:val="99"/>
          <w:sz w:val="24"/>
          <w:szCs w:val="24"/>
          <w:lang w:eastAsia="zh-CN"/>
          <w14:textFill>
            <w14:solidFill>
              <w14:schemeClr w14:val="tx1"/>
            </w14:solidFill>
          </w14:textFill>
        </w:rPr>
        <w:t>第五采油厂</w:t>
      </w:r>
      <w:r>
        <w:rPr>
          <w:rFonts w:ascii="Times New Roman" w:hAnsi="Times New Roman" w:cs="Times New Roman" w:eastAsiaTheme="minorEastAsia"/>
          <w:color w:val="000000" w:themeColor="text1"/>
          <w:w w:val="99"/>
          <w:sz w:val="24"/>
          <w:szCs w:val="24"/>
          <w14:textFill>
            <w14:solidFill>
              <w14:schemeClr w14:val="tx1"/>
            </w14:solidFill>
          </w14:textFill>
        </w:rPr>
        <w:t>产生的含油污泥暂存于站内的含油污泥池内，待该站验收完成后正式启用。站内主要工艺采用“预处理-热解工艺”的处理工艺，设计处理量为120t/d、3.3万t/a，经过处理后的污泥含油＜0.3%，符合《油田含油污泥处置与利用污染控制要求》（DB23/T 3104-2022）</w:t>
      </w:r>
      <w:r>
        <w:rPr>
          <w:rFonts w:ascii="Times New Roman" w:hAnsi="Times New Roman" w:cs="Times New Roman" w:eastAsiaTheme="minorEastAsia"/>
          <w:bCs/>
          <w:color w:val="000000" w:themeColor="text1"/>
          <w:w w:val="99"/>
          <w:sz w:val="24"/>
          <w:szCs w:val="24"/>
          <w14:textFill>
            <w14:solidFill>
              <w14:schemeClr w14:val="tx1"/>
            </w14:solidFill>
          </w14:textFill>
        </w:rPr>
        <w:t>表1限值</w:t>
      </w:r>
      <w:r>
        <w:rPr>
          <w:rFonts w:ascii="Times New Roman" w:hAnsi="Times New Roman" w:cs="Times New Roman" w:eastAsiaTheme="minorEastAsia"/>
          <w:color w:val="000000" w:themeColor="text1"/>
          <w:w w:val="99"/>
          <w:sz w:val="24"/>
          <w:szCs w:val="24"/>
          <w14:textFill>
            <w14:solidFill>
              <w14:schemeClr w14:val="tx1"/>
            </w14:solidFill>
          </w14:textFill>
        </w:rPr>
        <w:t>，处理后泥渣用于采油九厂油田作业区域内通井路和井场建设、筑路和铺路、作业场地地面覆盖、围堰等材料。全站含油污泥设计最大暂存能力7500m</w:t>
      </w:r>
      <w:r>
        <w:rPr>
          <w:rFonts w:ascii="Times New Roman" w:hAnsi="Times New Roman" w:cs="Times New Roman" w:eastAsiaTheme="minorEastAsia"/>
          <w:color w:val="000000" w:themeColor="text1"/>
          <w:w w:val="99"/>
          <w:sz w:val="24"/>
          <w:szCs w:val="24"/>
          <w:vertAlign w:val="superscript"/>
          <w14:textFill>
            <w14:solidFill>
              <w14:schemeClr w14:val="tx1"/>
            </w14:solidFill>
          </w14:textFill>
        </w:rPr>
        <w:t>3</w:t>
      </w:r>
      <w:r>
        <w:rPr>
          <w:rFonts w:ascii="Times New Roman" w:hAnsi="Times New Roman" w:cs="Times New Roman" w:eastAsiaTheme="minorEastAsia"/>
          <w:color w:val="000000" w:themeColor="text1"/>
          <w:w w:val="99"/>
          <w:sz w:val="24"/>
          <w:szCs w:val="24"/>
          <w14:textFill>
            <w14:solidFill>
              <w14:schemeClr w14:val="tx1"/>
            </w14:solidFill>
          </w14:textFill>
        </w:rPr>
        <w:t>，目前现存量4568.356m</w:t>
      </w:r>
      <w:r>
        <w:rPr>
          <w:rFonts w:ascii="Times New Roman" w:hAnsi="Times New Roman" w:cs="Times New Roman" w:eastAsiaTheme="minorEastAsia"/>
          <w:color w:val="000000" w:themeColor="text1"/>
          <w:w w:val="99"/>
          <w:sz w:val="24"/>
          <w:szCs w:val="24"/>
          <w:vertAlign w:val="superscript"/>
          <w14:textFill>
            <w14:solidFill>
              <w14:schemeClr w14:val="tx1"/>
            </w14:solidFill>
          </w14:textFill>
        </w:rPr>
        <w:t>3</w:t>
      </w:r>
      <w:r>
        <w:rPr>
          <w:rFonts w:ascii="Times New Roman" w:hAnsi="Times New Roman" w:cs="Times New Roman" w:eastAsiaTheme="minorEastAsia"/>
          <w:color w:val="000000" w:themeColor="text1"/>
          <w:w w:val="99"/>
          <w:sz w:val="24"/>
          <w:szCs w:val="24"/>
          <w14:textFill>
            <w14:solidFill>
              <w14:schemeClr w14:val="tx1"/>
            </w14:solidFill>
          </w14:textFill>
        </w:rPr>
        <w:t>，剩余储存能力为2931.644m</w:t>
      </w:r>
      <w:r>
        <w:rPr>
          <w:rFonts w:ascii="Times New Roman" w:hAnsi="Times New Roman" w:cs="Times New Roman" w:eastAsiaTheme="minorEastAsia"/>
          <w:color w:val="000000" w:themeColor="text1"/>
          <w:w w:val="99"/>
          <w:sz w:val="24"/>
          <w:szCs w:val="24"/>
          <w:vertAlign w:val="superscript"/>
          <w14:textFill>
            <w14:solidFill>
              <w14:schemeClr w14:val="tx1"/>
            </w14:solidFill>
          </w14:textFill>
        </w:rPr>
        <w:t>3</w:t>
      </w:r>
      <w:r>
        <w:rPr>
          <w:rFonts w:ascii="Times New Roman" w:hAnsi="Times New Roman" w:cs="Times New Roman" w:eastAsiaTheme="minorEastAsia"/>
          <w:color w:val="000000" w:themeColor="text1"/>
          <w:w w:val="99"/>
          <w:sz w:val="24"/>
          <w:szCs w:val="24"/>
          <w14:textFill>
            <w14:solidFill>
              <w14:schemeClr w14:val="tx1"/>
            </w14:solidFill>
          </w14:textFill>
        </w:rPr>
        <w:t>，截止目前本年度处理污泥量为297t，本项目清淤油泥产生量为4.5t，</w:t>
      </w:r>
      <w:r>
        <w:rPr>
          <w:rFonts w:hint="eastAsia" w:ascii="Times New Roman" w:hAnsi="Times New Roman" w:cs="Times New Roman" w:eastAsiaTheme="minorEastAsia"/>
          <w:color w:val="000000" w:themeColor="text1"/>
          <w:w w:val="99"/>
          <w:sz w:val="24"/>
          <w:szCs w:val="24"/>
          <w:lang w:eastAsia="zh-CN"/>
          <w14:textFill>
            <w14:solidFill>
              <w14:schemeClr w14:val="tx1"/>
            </w14:solidFill>
          </w14:textFill>
        </w:rPr>
        <w:t>第五采油厂</w:t>
      </w:r>
      <w:r>
        <w:rPr>
          <w:rFonts w:ascii="Times New Roman" w:hAnsi="Times New Roman" w:cs="Times New Roman" w:eastAsiaTheme="minorEastAsia"/>
          <w:color w:val="000000" w:themeColor="text1"/>
          <w:w w:val="99"/>
          <w:sz w:val="24"/>
          <w:szCs w:val="24"/>
          <w14:textFill>
            <w14:solidFill>
              <w14:schemeClr w14:val="tx1"/>
            </w14:solidFill>
          </w14:textFill>
        </w:rPr>
        <w:t>含油污泥处理站可满足本项目依托需要。含油污泥处理站</w:t>
      </w:r>
      <w:r>
        <w:rPr>
          <w:rFonts w:ascii="Times New Roman" w:hAnsi="Times New Roman" w:cs="Times New Roman" w:eastAsiaTheme="minorEastAsia"/>
          <w:color w:val="000000" w:themeColor="text1"/>
          <w:w w:val="99"/>
          <w:kern w:val="2"/>
          <w:sz w:val="24"/>
          <w:szCs w:val="24"/>
          <w:lang w:val="de-DE"/>
          <w14:textFill>
            <w14:solidFill>
              <w14:schemeClr w14:val="tx1"/>
            </w14:solidFill>
          </w14:textFill>
        </w:rPr>
        <w:t>工艺流程见</w:t>
      </w:r>
      <w:r>
        <w:rPr>
          <w:rFonts w:ascii="Times New Roman" w:hAnsi="Times New Roman" w:cs="Times New Roman" w:eastAsiaTheme="minorEastAsia"/>
          <w:color w:val="000000" w:themeColor="text1"/>
          <w:w w:val="99"/>
          <w:kern w:val="2"/>
          <w:sz w:val="24"/>
          <w:szCs w:val="24"/>
          <w14:textFill>
            <w14:solidFill>
              <w14:schemeClr w14:val="tx1"/>
            </w14:solidFill>
          </w14:textFill>
        </w:rPr>
        <w:t>图3.3-2。</w:t>
      </w:r>
    </w:p>
    <w:p w14:paraId="185B5442">
      <w:pPr>
        <w:jc w:val="center"/>
        <w:rPr>
          <w:rFonts w:ascii="Times New Roman" w:hAnsi="Times New Roman" w:cs="Times New Roman" w:eastAsiaTheme="minorEastAsia"/>
          <w:color w:val="000000" w:themeColor="text1"/>
          <w:w w:val="99"/>
          <w:kern w:val="2"/>
          <w14:textFill>
            <w14:solidFill>
              <w14:schemeClr w14:val="tx1"/>
            </w14:solidFill>
          </w14:textFill>
        </w:rPr>
      </w:pPr>
      <w:r>
        <w:rPr>
          <w:rFonts w:ascii="Times New Roman" w:hAnsi="Times New Roman" w:cs="Times New Roman" w:eastAsiaTheme="minorEastAsia"/>
          <w:color w:val="000000" w:themeColor="text1"/>
          <w:w w:val="99"/>
          <w:lang w:val="en-US" w:bidi="ar-SA"/>
          <w14:textFill>
            <w14:solidFill>
              <w14:schemeClr w14:val="tx1"/>
            </w14:solidFill>
          </w14:textFill>
        </w:rPr>
        <w:drawing>
          <wp:inline distT="0" distB="0" distL="0" distR="0">
            <wp:extent cx="5662930" cy="2961640"/>
            <wp:effectExtent l="19050" t="19050" r="13970" b="1016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689280" cy="2975755"/>
                    </a:xfrm>
                    <a:prstGeom prst="rect">
                      <a:avLst/>
                    </a:prstGeom>
                    <a:noFill/>
                    <a:ln w="6350">
                      <a:solidFill>
                        <a:schemeClr val="tx1"/>
                      </a:solidFill>
                    </a:ln>
                  </pic:spPr>
                </pic:pic>
              </a:graphicData>
            </a:graphic>
          </wp:inline>
        </w:drawing>
      </w:r>
    </w:p>
    <w:p w14:paraId="02BC1D1B">
      <w:pPr>
        <w:autoSpaceDE/>
        <w:autoSpaceDN/>
        <w:spacing w:line="440" w:lineRule="exact"/>
        <w:jc w:val="center"/>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t xml:space="preserve">图3.3-2    </w:t>
      </w:r>
      <w:r>
        <w:rPr>
          <w:rFonts w:hint="eastAsia" w:ascii="Times New Roman" w:hAnsi="Times New Roman" w:cs="Times New Roman" w:eastAsiaTheme="minorEastAsia"/>
          <w:b/>
          <w:color w:val="000000" w:themeColor="text1"/>
          <w:w w:val="99"/>
          <w:sz w:val="24"/>
          <w:szCs w:val="24"/>
          <w:lang w:val="en-US" w:eastAsia="zh-CN" w:bidi="ar-SA"/>
          <w14:textFill>
            <w14:solidFill>
              <w14:schemeClr w14:val="tx1"/>
            </w14:solidFill>
          </w14:textFill>
        </w:rPr>
        <w:t>第五采油厂</w:t>
      </w:r>
      <w:r>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t>含油污泥处理站工艺流程图</w:t>
      </w:r>
    </w:p>
    <w:p w14:paraId="1563D88D">
      <w:pPr>
        <w:pStyle w:val="6"/>
        <w:spacing w:before="0" w:after="0" w:line="440" w:lineRule="exact"/>
        <w:rPr>
          <w:rFonts w:ascii="Times New Roman" w:hAnsi="Times New Roman" w:eastAsiaTheme="minorEastAsia"/>
          <w:color w:val="000000" w:themeColor="text1"/>
          <w:w w:val="99"/>
          <w:sz w:val="24"/>
          <w:szCs w:val="24"/>
          <w14:textFill>
            <w14:solidFill>
              <w14:schemeClr w14:val="tx1"/>
            </w14:solidFill>
          </w14:textFill>
        </w:rPr>
      </w:pPr>
      <w:r>
        <w:rPr>
          <w:rFonts w:ascii="Times New Roman" w:hAnsi="Times New Roman" w:eastAsiaTheme="minorEastAsia"/>
          <w:color w:val="000000" w:themeColor="text1"/>
          <w:w w:val="99"/>
          <w:sz w:val="24"/>
          <w:szCs w:val="24"/>
          <w14:textFill>
            <w14:solidFill>
              <w14:schemeClr w14:val="tx1"/>
            </w14:solidFill>
          </w14:textFill>
        </w:rPr>
        <w:t>3.3.1.3</w:t>
      </w:r>
      <w:r>
        <w:rPr>
          <w:rFonts w:ascii="Times New Roman" w:hAnsi="Times New Roman" w:eastAsiaTheme="minorEastAsia"/>
          <w:color w:val="000000" w:themeColor="text1"/>
          <w:w w:val="99"/>
          <w:sz w:val="24"/>
          <w:szCs w:val="24"/>
          <w:lang w:bidi="zh-CN"/>
          <w14:textFill>
            <w14:solidFill>
              <w14:schemeClr w14:val="tx1"/>
            </w14:solidFill>
          </w14:textFill>
        </w:rPr>
        <w:t>第八采油厂工业固废填埋场</w:t>
      </w:r>
    </w:p>
    <w:p w14:paraId="32776052">
      <w:pPr>
        <w:pStyle w:val="101"/>
        <w:spacing w:before="120" w:after="48" w:line="440" w:lineRule="exact"/>
        <w:ind w:firstLine="474" w:firstLineChars="200"/>
        <w:jc w:val="both"/>
        <w:rPr>
          <w:rFonts w:ascii="Times New Roman" w:cs="Times New Roman" w:eastAsiaTheme="minorEastAsia"/>
          <w:b w:val="0"/>
          <w:color w:val="000000" w:themeColor="text1"/>
          <w:w w:val="99"/>
          <w:sz w:val="24"/>
          <w:szCs w:val="24"/>
          <w:lang w:bidi="zh-CN"/>
          <w14:textFill>
            <w14:solidFill>
              <w14:schemeClr w14:val="tx1"/>
            </w14:solidFill>
          </w14:textFill>
        </w:rPr>
      </w:pPr>
      <w:r>
        <w:rPr>
          <w:rFonts w:ascii="Times New Roman" w:cs="Times New Roman" w:eastAsiaTheme="minorEastAsia"/>
          <w:b w:val="0"/>
          <w:bCs/>
          <w:color w:val="000000" w:themeColor="text1"/>
          <w:w w:val="99"/>
          <w:sz w:val="24"/>
          <w:szCs w:val="24"/>
          <w:lang w:bidi="zh-CN"/>
          <w14:textFill>
            <w14:solidFill>
              <w14:schemeClr w14:val="tx1"/>
            </w14:solidFill>
          </w14:textFill>
        </w:rPr>
        <w:t>第八采油厂工业固废填埋场位于大庆市肇州县新福乡双龙山北侧1.8km、乐业村东南1.05km处，占地面积1.91hm</w:t>
      </w:r>
      <w:r>
        <w:rPr>
          <w:rFonts w:ascii="Times New Roman" w:cs="Times New Roman" w:eastAsiaTheme="minorEastAsia"/>
          <w:b w:val="0"/>
          <w:bCs/>
          <w:color w:val="000000" w:themeColor="text1"/>
          <w:w w:val="99"/>
          <w:sz w:val="24"/>
          <w:szCs w:val="24"/>
          <w:vertAlign w:val="superscript"/>
          <w:lang w:bidi="zh-CN"/>
          <w14:textFill>
            <w14:solidFill>
              <w14:schemeClr w14:val="tx1"/>
            </w14:solidFill>
          </w14:textFill>
        </w:rPr>
        <w:t>2</w:t>
      </w:r>
      <w:r>
        <w:rPr>
          <w:rFonts w:ascii="Times New Roman" w:cs="Times New Roman" w:eastAsiaTheme="minorEastAsia"/>
          <w:b w:val="0"/>
          <w:bCs/>
          <w:color w:val="000000" w:themeColor="text1"/>
          <w:w w:val="99"/>
          <w:sz w:val="24"/>
          <w:szCs w:val="24"/>
          <w:lang w:bidi="zh-CN"/>
          <w14:textFill>
            <w14:solidFill>
              <w14:schemeClr w14:val="tx1"/>
            </w14:solidFill>
          </w14:textFill>
        </w:rPr>
        <w:t>。第八采油厂工业固废填埋场现阶段运行稳定，总容量为11624m</w:t>
      </w:r>
      <w:r>
        <w:rPr>
          <w:rFonts w:ascii="Times New Roman" w:cs="Times New Roman" w:eastAsiaTheme="minorEastAsia"/>
          <w:b w:val="0"/>
          <w:bCs/>
          <w:color w:val="000000" w:themeColor="text1"/>
          <w:w w:val="99"/>
          <w:sz w:val="24"/>
          <w:szCs w:val="24"/>
          <w:vertAlign w:val="superscript"/>
          <w:lang w:bidi="zh-CN"/>
          <w14:textFill>
            <w14:solidFill>
              <w14:schemeClr w14:val="tx1"/>
            </w14:solidFill>
          </w14:textFill>
        </w:rPr>
        <w:t>3</w:t>
      </w:r>
      <w:r>
        <w:rPr>
          <w:rFonts w:ascii="Times New Roman" w:cs="Times New Roman" w:eastAsiaTheme="minorEastAsia"/>
          <w:b w:val="0"/>
          <w:bCs/>
          <w:color w:val="000000" w:themeColor="text1"/>
          <w:w w:val="99"/>
          <w:sz w:val="24"/>
          <w:szCs w:val="24"/>
          <w:lang w:bidi="zh-CN"/>
          <w14:textFill>
            <w14:solidFill>
              <w14:schemeClr w14:val="tx1"/>
            </w14:solidFill>
          </w14:textFill>
        </w:rPr>
        <w:t>，目前实际容纳约8800m</w:t>
      </w:r>
      <w:r>
        <w:rPr>
          <w:rFonts w:ascii="Times New Roman" w:cs="Times New Roman" w:eastAsiaTheme="minorEastAsia"/>
          <w:b w:val="0"/>
          <w:bCs/>
          <w:color w:val="000000" w:themeColor="text1"/>
          <w:w w:val="99"/>
          <w:sz w:val="24"/>
          <w:szCs w:val="24"/>
          <w:vertAlign w:val="superscript"/>
          <w:lang w:bidi="zh-CN"/>
          <w14:textFill>
            <w14:solidFill>
              <w14:schemeClr w14:val="tx1"/>
            </w14:solidFill>
          </w14:textFill>
        </w:rPr>
        <w:t>3</w:t>
      </w:r>
      <w:r>
        <w:rPr>
          <w:rFonts w:ascii="Times New Roman" w:cs="Times New Roman" w:eastAsiaTheme="minorEastAsia"/>
          <w:b w:val="0"/>
          <w:bCs/>
          <w:color w:val="000000" w:themeColor="text1"/>
          <w:w w:val="99"/>
          <w:sz w:val="24"/>
          <w:szCs w:val="24"/>
          <w:lang w:bidi="zh-CN"/>
          <w14:textFill>
            <w14:solidFill>
              <w14:schemeClr w14:val="tx1"/>
            </w14:solidFill>
          </w14:textFill>
        </w:rPr>
        <w:t>，剩余能力为2824m</w:t>
      </w:r>
      <w:r>
        <w:rPr>
          <w:rFonts w:ascii="Times New Roman" w:cs="Times New Roman" w:eastAsiaTheme="minorEastAsia"/>
          <w:b w:val="0"/>
          <w:bCs/>
          <w:color w:val="000000" w:themeColor="text1"/>
          <w:w w:val="99"/>
          <w:sz w:val="24"/>
          <w:szCs w:val="24"/>
          <w:vertAlign w:val="superscript"/>
          <w:lang w:bidi="zh-CN"/>
          <w14:textFill>
            <w14:solidFill>
              <w14:schemeClr w14:val="tx1"/>
            </w14:solidFill>
          </w14:textFill>
        </w:rPr>
        <w:t>3</w:t>
      </w:r>
      <w:r>
        <w:rPr>
          <w:rFonts w:ascii="Times New Roman" w:cs="Times New Roman" w:eastAsiaTheme="minorEastAsia"/>
          <w:b w:val="0"/>
          <w:bCs/>
          <w:color w:val="000000" w:themeColor="text1"/>
          <w:w w:val="99"/>
          <w:sz w:val="24"/>
          <w:szCs w:val="24"/>
          <w:lang w:bidi="zh-CN"/>
          <w14:textFill>
            <w14:solidFill>
              <w14:schemeClr w14:val="tx1"/>
            </w14:solidFill>
          </w14:textFill>
        </w:rPr>
        <w:t>/a，本项目产生施工废料约</w:t>
      </w:r>
      <w:r>
        <w:rPr>
          <w:rFonts w:ascii="Times New Roman" w:cs="Times New Roman" w:eastAsiaTheme="minorEastAsia"/>
          <w:b w:val="0"/>
          <w:bCs/>
          <w:color w:val="000000" w:themeColor="text1"/>
          <w:w w:val="99"/>
          <w:sz w:val="24"/>
          <w:szCs w:val="24"/>
          <w:lang w:val="zh-CN" w:bidi="zh-CN"/>
          <w14:textFill>
            <w14:solidFill>
              <w14:schemeClr w14:val="tx1"/>
            </w14:solidFill>
          </w14:textFill>
        </w:rPr>
        <w:t>0.467</w:t>
      </w:r>
      <w:r>
        <w:rPr>
          <w:rFonts w:ascii="Times New Roman" w:cs="Times New Roman" w:eastAsiaTheme="minorEastAsia"/>
          <w:b w:val="0"/>
          <w:bCs/>
          <w:color w:val="000000" w:themeColor="text1"/>
          <w:w w:val="99"/>
          <w:sz w:val="24"/>
          <w:szCs w:val="24"/>
          <w:lang w:bidi="zh-CN"/>
          <w14:textFill>
            <w14:solidFill>
              <w14:schemeClr w14:val="tx1"/>
            </w14:solidFill>
          </w14:textFill>
        </w:rPr>
        <w:t>t，填埋场剩余容量能够容纳本项目产生的固体废物，本项目依托可行。</w:t>
      </w:r>
    </w:p>
    <w:p w14:paraId="28B702D8">
      <w:pPr>
        <w:pStyle w:val="107"/>
        <w:tabs>
          <w:tab w:val="left" w:pos="930"/>
        </w:tabs>
        <w:spacing w:before="60" w:after="60" w:line="440" w:lineRule="exact"/>
        <w:ind w:left="0" w:firstLine="0"/>
        <w:jc w:val="both"/>
        <w:outlineLvl w:val="2"/>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bookmarkStart w:id="109" w:name="_Toc117794558"/>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3.3.2 依托工程环境影响评价及竣工验收情况</w:t>
      </w:r>
      <w:bookmarkEnd w:id="109"/>
    </w:p>
    <w:p w14:paraId="0FF4DA85">
      <w:pPr>
        <w:spacing w:line="440" w:lineRule="exact"/>
        <w:ind w:firstLine="474" w:firstLineChars="200"/>
        <w:jc w:val="both"/>
        <w:rPr>
          <w:rFonts w:ascii="Times New Roman" w:hAnsi="Times New Roman" w:cs="Times New Roman" w:eastAsiaTheme="minorEastAsia"/>
          <w:bCs/>
          <w:color w:val="000000" w:themeColor="text1"/>
          <w:w w:val="99"/>
          <w:sz w:val="24"/>
          <w:szCs w:val="20"/>
          <w:lang w:val="en-US"/>
          <w14:textFill>
            <w14:solidFill>
              <w14:schemeClr w14:val="tx1"/>
            </w14:solidFill>
          </w14:textFill>
        </w:rPr>
      </w:pPr>
      <w:r>
        <w:rPr>
          <w:rFonts w:ascii="Times New Roman" w:hAnsi="Times New Roman" w:cs="Times New Roman" w:eastAsiaTheme="minorEastAsia"/>
          <w:bCs/>
          <w:color w:val="000000" w:themeColor="text1"/>
          <w:w w:val="99"/>
          <w:sz w:val="24"/>
          <w:szCs w:val="20"/>
          <w:lang w:val="en-US"/>
          <w14:textFill>
            <w14:solidFill>
              <w14:schemeClr w14:val="tx1"/>
            </w14:solidFill>
          </w14:textFill>
        </w:rPr>
        <w:t>本项目依托场站环保手续详见表3.3-1。</w:t>
      </w:r>
    </w:p>
    <w:p w14:paraId="3F6FEB6F">
      <w:pPr>
        <w:spacing w:line="440" w:lineRule="exact"/>
        <w:ind w:firstLine="476" w:firstLineChars="200"/>
        <w:jc w:val="both"/>
        <w:rPr>
          <w:rFonts w:ascii="Times New Roman" w:hAnsi="Times New Roman" w:cs="Times New Roman" w:eastAsiaTheme="minorEastAsia"/>
          <w:b/>
          <w:color w:val="000000" w:themeColor="text1"/>
          <w:w w:val="99"/>
          <w:sz w:val="24"/>
          <w:szCs w:val="20"/>
          <w:lang w:val="en-US"/>
          <w14:textFill>
            <w14:solidFill>
              <w14:schemeClr w14:val="tx1"/>
            </w14:solidFill>
          </w14:textFill>
        </w:rPr>
      </w:pPr>
      <w:r>
        <w:rPr>
          <w:rFonts w:ascii="Times New Roman" w:hAnsi="Times New Roman" w:cs="Times New Roman" w:eastAsiaTheme="minorEastAsia"/>
          <w:b/>
          <w:color w:val="000000" w:themeColor="text1"/>
          <w:w w:val="99"/>
          <w:sz w:val="24"/>
          <w:szCs w:val="20"/>
          <w:lang w:val="en-US"/>
          <w14:textFill>
            <w14:solidFill>
              <w14:schemeClr w14:val="tx1"/>
            </w14:solidFill>
          </w14:textFill>
        </w:rPr>
        <w:t>表3.3-1        本项目依托场站环保验收手续</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2008"/>
        <w:gridCol w:w="3051"/>
        <w:gridCol w:w="1704"/>
        <w:gridCol w:w="1778"/>
      </w:tblGrid>
      <w:tr w14:paraId="330D0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3" w:type="pct"/>
            <w:tcBorders>
              <w:tl2br w:val="nil"/>
              <w:tr2bl w:val="nil"/>
            </w:tcBorders>
            <w:vAlign w:val="center"/>
          </w:tcPr>
          <w:p w14:paraId="43A7CB9E">
            <w:pPr>
              <w:spacing w:line="360" w:lineRule="atLeast"/>
              <w:jc w:val="center"/>
              <w:rPr>
                <w:rFonts w:ascii="Times New Roman" w:hAnsi="Times New Roman" w:cs="Times New Roman" w:eastAsiaTheme="minorEastAsia"/>
                <w:color w:val="000000" w:themeColor="text1"/>
                <w:w w:val="99"/>
                <w:sz w:val="21"/>
                <w:szCs w:val="21"/>
                <w14:textFill>
                  <w14:solidFill>
                    <w14:schemeClr w14:val="tx1"/>
                  </w14:solidFill>
                </w14:textFill>
              </w:rPr>
            </w:pPr>
            <w:bookmarkStart w:id="110" w:name="_Toc2107"/>
            <w:bookmarkStart w:id="111" w:name="_Toc260"/>
            <w:bookmarkStart w:id="112" w:name="_Toc19752"/>
            <w:r>
              <w:rPr>
                <w:rFonts w:ascii="Times New Roman" w:hAnsi="Times New Roman" w:cs="Times New Roman" w:eastAsiaTheme="minorEastAsia"/>
                <w:color w:val="000000" w:themeColor="text1"/>
                <w:w w:val="99"/>
                <w:sz w:val="21"/>
                <w:szCs w:val="21"/>
                <w14:textFill>
                  <w14:solidFill>
                    <w14:schemeClr w14:val="tx1"/>
                  </w14:solidFill>
                </w14:textFill>
              </w:rPr>
              <w:t>序号</w:t>
            </w:r>
            <w:bookmarkEnd w:id="110"/>
            <w:bookmarkEnd w:id="111"/>
            <w:bookmarkEnd w:id="112"/>
          </w:p>
        </w:tc>
        <w:tc>
          <w:tcPr>
            <w:tcW w:w="1081" w:type="pct"/>
            <w:tcBorders>
              <w:tl2br w:val="nil"/>
              <w:tr2bl w:val="nil"/>
            </w:tcBorders>
            <w:vAlign w:val="center"/>
          </w:tcPr>
          <w:p w14:paraId="173B36BB">
            <w:pPr>
              <w:spacing w:line="360" w:lineRule="atLeast"/>
              <w:jc w:val="center"/>
              <w:rPr>
                <w:rFonts w:ascii="Times New Roman" w:hAnsi="Times New Roman" w:cs="Times New Roman" w:eastAsiaTheme="minorEastAsia"/>
                <w:color w:val="000000" w:themeColor="text1"/>
                <w:w w:val="99"/>
                <w:sz w:val="21"/>
                <w:szCs w:val="21"/>
                <w14:textFill>
                  <w14:solidFill>
                    <w14:schemeClr w14:val="tx1"/>
                  </w14:solidFill>
                </w14:textFill>
              </w:rPr>
            </w:pPr>
            <w:bookmarkStart w:id="113" w:name="_Toc9665"/>
            <w:bookmarkStart w:id="114" w:name="_Toc26249"/>
            <w:bookmarkStart w:id="115" w:name="_Toc26506"/>
            <w:r>
              <w:rPr>
                <w:rFonts w:ascii="Times New Roman" w:hAnsi="Times New Roman" w:cs="Times New Roman" w:eastAsiaTheme="minorEastAsia"/>
                <w:color w:val="000000" w:themeColor="text1"/>
                <w:w w:val="99"/>
                <w:sz w:val="21"/>
                <w:szCs w:val="21"/>
                <w14:textFill>
                  <w14:solidFill>
                    <w14:schemeClr w14:val="tx1"/>
                  </w14:solidFill>
                </w14:textFill>
              </w:rPr>
              <w:t>名称</w:t>
            </w:r>
            <w:bookmarkEnd w:id="113"/>
            <w:bookmarkEnd w:id="114"/>
            <w:bookmarkEnd w:id="115"/>
          </w:p>
        </w:tc>
        <w:tc>
          <w:tcPr>
            <w:tcW w:w="1642" w:type="pct"/>
            <w:tcBorders>
              <w:tl2br w:val="nil"/>
              <w:tr2bl w:val="nil"/>
            </w:tcBorders>
            <w:vAlign w:val="center"/>
          </w:tcPr>
          <w:p w14:paraId="55AF5E9A">
            <w:pPr>
              <w:spacing w:line="360" w:lineRule="atLeast"/>
              <w:jc w:val="center"/>
              <w:rPr>
                <w:rFonts w:ascii="Times New Roman" w:hAnsi="Times New Roman" w:cs="Times New Roman" w:eastAsiaTheme="minorEastAsia"/>
                <w:color w:val="000000" w:themeColor="text1"/>
                <w:w w:val="99"/>
                <w:sz w:val="21"/>
                <w:szCs w:val="21"/>
                <w14:textFill>
                  <w14:solidFill>
                    <w14:schemeClr w14:val="tx1"/>
                  </w14:solidFill>
                </w14:textFill>
              </w:rPr>
            </w:pPr>
            <w:bookmarkStart w:id="116" w:name="_Toc13811"/>
            <w:bookmarkStart w:id="117" w:name="_Toc18713"/>
            <w:bookmarkStart w:id="118" w:name="_Toc24152"/>
            <w:r>
              <w:rPr>
                <w:rFonts w:ascii="Times New Roman" w:hAnsi="Times New Roman" w:cs="Times New Roman" w:eastAsiaTheme="minorEastAsia"/>
                <w:color w:val="000000" w:themeColor="text1"/>
                <w:w w:val="99"/>
                <w:sz w:val="21"/>
                <w:szCs w:val="21"/>
                <w14:textFill>
                  <w14:solidFill>
                    <w14:schemeClr w14:val="tx1"/>
                  </w14:solidFill>
                </w14:textFill>
              </w:rPr>
              <w:t>环评文件名称</w:t>
            </w:r>
            <w:bookmarkEnd w:id="116"/>
            <w:bookmarkEnd w:id="117"/>
            <w:bookmarkEnd w:id="118"/>
          </w:p>
        </w:tc>
        <w:tc>
          <w:tcPr>
            <w:tcW w:w="917" w:type="pct"/>
            <w:tcBorders>
              <w:tl2br w:val="nil"/>
              <w:tr2bl w:val="nil"/>
            </w:tcBorders>
            <w:vAlign w:val="center"/>
          </w:tcPr>
          <w:p w14:paraId="43CD1C67">
            <w:pPr>
              <w:spacing w:line="360" w:lineRule="atLeast"/>
              <w:jc w:val="center"/>
              <w:rPr>
                <w:rFonts w:ascii="Times New Roman" w:hAnsi="Times New Roman" w:cs="Times New Roman" w:eastAsiaTheme="minorEastAsia"/>
                <w:color w:val="000000" w:themeColor="text1"/>
                <w:w w:val="99"/>
                <w:sz w:val="21"/>
                <w:szCs w:val="21"/>
                <w14:textFill>
                  <w14:solidFill>
                    <w14:schemeClr w14:val="tx1"/>
                  </w14:solidFill>
                </w14:textFill>
              </w:rPr>
            </w:pPr>
            <w:bookmarkStart w:id="119" w:name="_Toc20036"/>
            <w:bookmarkStart w:id="120" w:name="_Toc13786"/>
            <w:bookmarkStart w:id="121" w:name="_Toc4650"/>
            <w:r>
              <w:rPr>
                <w:rFonts w:ascii="Times New Roman" w:hAnsi="Times New Roman" w:cs="Times New Roman" w:eastAsiaTheme="minorEastAsia"/>
                <w:color w:val="000000" w:themeColor="text1"/>
                <w:w w:val="99"/>
                <w:sz w:val="21"/>
                <w:szCs w:val="21"/>
                <w14:textFill>
                  <w14:solidFill>
                    <w14:schemeClr w14:val="tx1"/>
                  </w14:solidFill>
                </w14:textFill>
              </w:rPr>
              <w:t>文号</w:t>
            </w:r>
            <w:bookmarkEnd w:id="119"/>
            <w:bookmarkEnd w:id="120"/>
            <w:bookmarkEnd w:id="121"/>
          </w:p>
        </w:tc>
        <w:tc>
          <w:tcPr>
            <w:tcW w:w="957" w:type="pct"/>
            <w:tcBorders>
              <w:tl2br w:val="nil"/>
              <w:tr2bl w:val="nil"/>
            </w:tcBorders>
            <w:vAlign w:val="center"/>
          </w:tcPr>
          <w:p w14:paraId="2EC768D2">
            <w:pPr>
              <w:spacing w:line="360" w:lineRule="atLeast"/>
              <w:jc w:val="center"/>
              <w:rPr>
                <w:rFonts w:ascii="Times New Roman" w:hAnsi="Times New Roman" w:cs="Times New Roman" w:eastAsiaTheme="minorEastAsia"/>
                <w:color w:val="000000" w:themeColor="text1"/>
                <w:w w:val="99"/>
                <w:sz w:val="21"/>
                <w:szCs w:val="21"/>
                <w14:textFill>
                  <w14:solidFill>
                    <w14:schemeClr w14:val="tx1"/>
                  </w14:solidFill>
                </w14:textFill>
              </w:rPr>
            </w:pPr>
            <w:bookmarkStart w:id="122" w:name="_Toc18222"/>
            <w:bookmarkStart w:id="123" w:name="_Toc16852"/>
            <w:bookmarkStart w:id="124" w:name="_Toc4264"/>
            <w:r>
              <w:rPr>
                <w:rFonts w:ascii="Times New Roman" w:hAnsi="Times New Roman" w:cs="Times New Roman" w:eastAsiaTheme="minorEastAsia"/>
                <w:color w:val="000000" w:themeColor="text1"/>
                <w:w w:val="99"/>
                <w:sz w:val="21"/>
                <w:szCs w:val="21"/>
                <w14:textFill>
                  <w14:solidFill>
                    <w14:schemeClr w14:val="tx1"/>
                  </w14:solidFill>
                </w14:textFill>
              </w:rPr>
              <w:t>验收情况</w:t>
            </w:r>
            <w:bookmarkEnd w:id="122"/>
            <w:bookmarkEnd w:id="123"/>
            <w:bookmarkEnd w:id="124"/>
          </w:p>
        </w:tc>
      </w:tr>
      <w:tr w14:paraId="1A203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3" w:type="pct"/>
            <w:tcBorders>
              <w:tl2br w:val="nil"/>
              <w:tr2bl w:val="nil"/>
            </w:tcBorders>
            <w:vAlign w:val="center"/>
          </w:tcPr>
          <w:p w14:paraId="1696ADD9">
            <w:pPr>
              <w:spacing w:line="360" w:lineRule="atLeast"/>
              <w:jc w:val="center"/>
              <w:rPr>
                <w:rFonts w:ascii="Times New Roman" w:hAnsi="Times New Roman" w:cs="Times New Roman" w:eastAsiaTheme="minorEastAsia"/>
                <w:color w:val="000000" w:themeColor="text1"/>
                <w:w w:val="99"/>
                <w:sz w:val="21"/>
                <w:szCs w:val="21"/>
                <w14:textFill>
                  <w14:solidFill>
                    <w14:schemeClr w14:val="tx1"/>
                  </w14:solidFill>
                </w14:textFill>
              </w:rPr>
            </w:pPr>
            <w:bookmarkStart w:id="125" w:name="_Toc15061"/>
            <w:bookmarkStart w:id="126" w:name="_Toc29009"/>
            <w:bookmarkStart w:id="127" w:name="_Toc27838"/>
            <w:r>
              <w:rPr>
                <w:rFonts w:ascii="Times New Roman" w:hAnsi="Times New Roman" w:cs="Times New Roman" w:eastAsiaTheme="minorEastAsia"/>
                <w:color w:val="000000" w:themeColor="text1"/>
                <w:w w:val="99"/>
                <w:sz w:val="21"/>
                <w:szCs w:val="21"/>
                <w14:textFill>
                  <w14:solidFill>
                    <w14:schemeClr w14:val="tx1"/>
                  </w14:solidFill>
                </w14:textFill>
              </w:rPr>
              <w:t>1</w:t>
            </w:r>
            <w:bookmarkEnd w:id="125"/>
            <w:bookmarkEnd w:id="126"/>
            <w:bookmarkEnd w:id="127"/>
          </w:p>
        </w:tc>
        <w:tc>
          <w:tcPr>
            <w:tcW w:w="1081" w:type="pct"/>
            <w:tcBorders>
              <w:tl2br w:val="nil"/>
              <w:tr2bl w:val="nil"/>
            </w:tcBorders>
            <w:vAlign w:val="center"/>
          </w:tcPr>
          <w:p w14:paraId="2D98143B">
            <w:pPr>
              <w:spacing w:line="360" w:lineRule="atLeas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龙一联含油污水处理站</w:t>
            </w:r>
          </w:p>
        </w:tc>
        <w:tc>
          <w:tcPr>
            <w:tcW w:w="1642" w:type="pct"/>
            <w:tcBorders>
              <w:tl2br w:val="nil"/>
              <w:tr2bl w:val="nil"/>
            </w:tcBorders>
            <w:vAlign w:val="center"/>
          </w:tcPr>
          <w:p w14:paraId="3E4CF054">
            <w:pPr>
              <w:spacing w:line="360" w:lineRule="atLeas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14:textFill>
                  <w14:solidFill>
                    <w14:schemeClr w14:val="tx1"/>
                  </w14:solidFill>
                </w14:textFill>
              </w:rPr>
              <w:t>龙一联污水处理系统改造工程环境影响报告表</w:t>
            </w:r>
          </w:p>
        </w:tc>
        <w:tc>
          <w:tcPr>
            <w:tcW w:w="917" w:type="pct"/>
            <w:tcBorders>
              <w:tl2br w:val="nil"/>
              <w:tr2bl w:val="nil"/>
            </w:tcBorders>
            <w:vAlign w:val="center"/>
          </w:tcPr>
          <w:p w14:paraId="28AC98A4">
            <w:pPr>
              <w:spacing w:line="360" w:lineRule="atLeas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庆环建字</w:t>
            </w:r>
          </w:p>
          <w:p w14:paraId="0068820E">
            <w:pPr>
              <w:spacing w:line="360" w:lineRule="atLeas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〔2013〕295号</w:t>
            </w:r>
          </w:p>
        </w:tc>
        <w:tc>
          <w:tcPr>
            <w:tcW w:w="957" w:type="pct"/>
            <w:tcBorders>
              <w:tl2br w:val="nil"/>
              <w:tr2bl w:val="nil"/>
            </w:tcBorders>
            <w:vAlign w:val="center"/>
          </w:tcPr>
          <w:p w14:paraId="44520896">
            <w:pPr>
              <w:spacing w:line="360" w:lineRule="atLeas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2020.4通过环评验收</w:t>
            </w:r>
          </w:p>
        </w:tc>
      </w:tr>
      <w:tr w14:paraId="540A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3" w:type="pct"/>
            <w:tcBorders>
              <w:tl2br w:val="nil"/>
              <w:tr2bl w:val="nil"/>
            </w:tcBorders>
            <w:vAlign w:val="center"/>
          </w:tcPr>
          <w:p w14:paraId="5FF13D5E">
            <w:pPr>
              <w:spacing w:line="360" w:lineRule="atLeas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2</w:t>
            </w:r>
          </w:p>
        </w:tc>
        <w:tc>
          <w:tcPr>
            <w:tcW w:w="1081" w:type="pct"/>
            <w:tcBorders>
              <w:tl2br w:val="nil"/>
              <w:tr2bl w:val="nil"/>
            </w:tcBorders>
            <w:vAlign w:val="center"/>
          </w:tcPr>
          <w:p w14:paraId="44CC390F">
            <w:pPr>
              <w:spacing w:line="360" w:lineRule="atLeas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val="en-US" w:eastAsia="zh-CN"/>
                <w14:textFill>
                  <w14:solidFill>
                    <w14:schemeClr w14:val="tx1"/>
                  </w14:solidFill>
                </w14:textFill>
              </w:rPr>
              <w:t>第五采油厂</w:t>
            </w:r>
            <w:r>
              <w:rPr>
                <w:rFonts w:ascii="Times New Roman" w:hAnsi="Times New Roman" w:cs="Times New Roman" w:eastAsiaTheme="minorEastAsia"/>
                <w:color w:val="000000" w:themeColor="text1"/>
                <w:w w:val="99"/>
                <w:sz w:val="21"/>
                <w:szCs w:val="21"/>
                <w:lang w:val="en-US"/>
                <w14:textFill>
                  <w14:solidFill>
                    <w14:schemeClr w14:val="tx1"/>
                  </w14:solidFill>
                </w14:textFill>
              </w:rPr>
              <w:t>含油污泥处理站</w:t>
            </w:r>
          </w:p>
        </w:tc>
        <w:tc>
          <w:tcPr>
            <w:tcW w:w="1642" w:type="pct"/>
            <w:tcBorders>
              <w:tl2br w:val="nil"/>
              <w:tr2bl w:val="nil"/>
            </w:tcBorders>
            <w:vAlign w:val="center"/>
          </w:tcPr>
          <w:p w14:paraId="69B5BC3A">
            <w:pPr>
              <w:spacing w:line="360" w:lineRule="atLeast"/>
              <w:jc w:val="center"/>
              <w:rPr>
                <w:rFonts w:ascii="Times New Roman" w:hAnsi="Times New Roman" w:cs="Times New Roman" w:eastAsiaTheme="minorEastAsia"/>
                <w:bCs/>
                <w:color w:val="000000" w:themeColor="text1"/>
                <w:w w:val="99"/>
                <w:sz w:val="21"/>
                <w:szCs w:val="21"/>
                <w:lang w:val="en-US"/>
                <w14:textFill>
                  <w14:solidFill>
                    <w14:schemeClr w14:val="tx1"/>
                  </w14:solidFill>
                </w14:textFill>
              </w:rPr>
            </w:pPr>
            <w:r>
              <w:rPr>
                <w:rFonts w:hint="eastAsia" w:ascii="Times New Roman" w:hAnsi="Times New Roman" w:cs="Times New Roman" w:eastAsiaTheme="minorEastAsia"/>
                <w:bCs/>
                <w:color w:val="000000" w:themeColor="text1"/>
                <w:w w:val="99"/>
                <w:sz w:val="21"/>
                <w:szCs w:val="21"/>
                <w:lang w:val="en-US" w:eastAsia="zh-CN"/>
                <w14:textFill>
                  <w14:solidFill>
                    <w14:schemeClr w14:val="tx1"/>
                  </w14:solidFill>
                </w14:textFill>
              </w:rPr>
              <w:t>第五采油厂</w:t>
            </w:r>
            <w:r>
              <w:rPr>
                <w:rFonts w:ascii="Times New Roman" w:hAnsi="Times New Roman" w:cs="Times New Roman" w:eastAsiaTheme="minorEastAsia"/>
                <w:bCs/>
                <w:color w:val="000000" w:themeColor="text1"/>
                <w:w w:val="99"/>
                <w:sz w:val="21"/>
                <w:szCs w:val="21"/>
                <w:lang w:val="en-US"/>
                <w14:textFill>
                  <w14:solidFill>
                    <w14:schemeClr w14:val="tx1"/>
                  </w14:solidFill>
                </w14:textFill>
              </w:rPr>
              <w:t>含油污泥处理站建设工程环境影响报告书</w:t>
            </w:r>
          </w:p>
        </w:tc>
        <w:tc>
          <w:tcPr>
            <w:tcW w:w="917" w:type="pct"/>
            <w:tcBorders>
              <w:tl2br w:val="nil"/>
              <w:tr2bl w:val="nil"/>
            </w:tcBorders>
            <w:vAlign w:val="center"/>
          </w:tcPr>
          <w:p w14:paraId="7C02FDB8">
            <w:pPr>
              <w:spacing w:line="360" w:lineRule="atLeas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庆环审〔2020〕170号</w:t>
            </w:r>
          </w:p>
        </w:tc>
        <w:tc>
          <w:tcPr>
            <w:tcW w:w="957" w:type="pct"/>
            <w:tcBorders>
              <w:tl2br w:val="nil"/>
              <w:tr2bl w:val="nil"/>
            </w:tcBorders>
            <w:vAlign w:val="center"/>
          </w:tcPr>
          <w:p w14:paraId="19CC7754">
            <w:pPr>
              <w:spacing w:line="360" w:lineRule="atLeas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已建设完成，正在组织验收</w:t>
            </w:r>
          </w:p>
        </w:tc>
      </w:tr>
      <w:tr w14:paraId="33E7A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3" w:type="pct"/>
            <w:tcBorders>
              <w:tl2br w:val="nil"/>
              <w:tr2bl w:val="nil"/>
            </w:tcBorders>
            <w:vAlign w:val="center"/>
          </w:tcPr>
          <w:p w14:paraId="3496BF2F">
            <w:pPr>
              <w:spacing w:line="360" w:lineRule="atLeas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3</w:t>
            </w:r>
          </w:p>
        </w:tc>
        <w:tc>
          <w:tcPr>
            <w:tcW w:w="1081" w:type="pct"/>
            <w:tcBorders>
              <w:tl2br w:val="nil"/>
              <w:tr2bl w:val="nil"/>
            </w:tcBorders>
            <w:vAlign w:val="center"/>
          </w:tcPr>
          <w:p w14:paraId="16314B10">
            <w:pPr>
              <w:spacing w:line="360" w:lineRule="atLeas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第八采油厂工业固废填埋场</w:t>
            </w:r>
          </w:p>
        </w:tc>
        <w:tc>
          <w:tcPr>
            <w:tcW w:w="1642" w:type="pct"/>
            <w:tcBorders>
              <w:tl2br w:val="nil"/>
              <w:tr2bl w:val="nil"/>
            </w:tcBorders>
            <w:vAlign w:val="center"/>
          </w:tcPr>
          <w:p w14:paraId="7C19683F">
            <w:pPr>
              <w:spacing w:line="360" w:lineRule="atLeas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第八采油厂工业固废填埋场工程环境影响报告书</w:t>
            </w:r>
          </w:p>
        </w:tc>
        <w:tc>
          <w:tcPr>
            <w:tcW w:w="917" w:type="pct"/>
            <w:tcBorders>
              <w:tl2br w:val="nil"/>
              <w:tr2bl w:val="nil"/>
            </w:tcBorders>
            <w:vAlign w:val="center"/>
          </w:tcPr>
          <w:p w14:paraId="75C12501">
            <w:pPr>
              <w:spacing w:line="360" w:lineRule="atLeas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庆环建字〔2011〕171号</w:t>
            </w:r>
          </w:p>
        </w:tc>
        <w:tc>
          <w:tcPr>
            <w:tcW w:w="957" w:type="pct"/>
            <w:tcBorders>
              <w:tl2br w:val="nil"/>
              <w:tr2bl w:val="nil"/>
            </w:tcBorders>
            <w:vAlign w:val="center"/>
          </w:tcPr>
          <w:p w14:paraId="0DB59BC4">
            <w:pPr>
              <w:spacing w:line="360" w:lineRule="atLeas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庆环验字</w:t>
            </w:r>
          </w:p>
          <w:p w14:paraId="0B25602F">
            <w:pPr>
              <w:spacing w:line="360" w:lineRule="atLeas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〔2014〕38号</w:t>
            </w:r>
          </w:p>
        </w:tc>
      </w:tr>
    </w:tbl>
    <w:p w14:paraId="589D6EAD">
      <w:pPr>
        <w:spacing w:before="120" w:after="120" w:line="440" w:lineRule="exact"/>
        <w:jc w:val="both"/>
        <w:outlineLvl w:val="1"/>
        <w:rPr>
          <w:rFonts w:ascii="Times New Roman" w:hAnsi="Times New Roman" w:cs="Times New Roman" w:eastAsiaTheme="minorEastAsia"/>
          <w:b/>
          <w:bCs/>
          <w:color w:val="000000" w:themeColor="text1"/>
          <w:w w:val="99"/>
          <w:sz w:val="28"/>
          <w:szCs w:val="28"/>
          <w:lang w:val="en-US"/>
          <w14:textFill>
            <w14:solidFill>
              <w14:schemeClr w14:val="tx1"/>
            </w14:solidFill>
          </w14:textFill>
        </w:rPr>
      </w:pPr>
      <w:bookmarkStart w:id="128" w:name="_Toc117794559"/>
      <w:r>
        <w:rPr>
          <w:rFonts w:ascii="Times New Roman" w:hAnsi="Times New Roman" w:cs="Times New Roman" w:eastAsiaTheme="minorEastAsia"/>
          <w:b/>
          <w:bCs/>
          <w:color w:val="000000" w:themeColor="text1"/>
          <w:w w:val="99"/>
          <w:sz w:val="28"/>
          <w:szCs w:val="28"/>
          <w:lang w:val="en-US"/>
          <w14:textFill>
            <w14:solidFill>
              <w14:schemeClr w14:val="tx1"/>
            </w14:solidFill>
          </w14:textFill>
        </w:rPr>
        <w:t>3.4 建设项目工程分析</w:t>
      </w:r>
      <w:bookmarkEnd w:id="128"/>
    </w:p>
    <w:p w14:paraId="2AABCFF2">
      <w:pPr>
        <w:pStyle w:val="107"/>
        <w:tabs>
          <w:tab w:val="left" w:pos="930"/>
        </w:tabs>
        <w:spacing w:before="60" w:after="60" w:line="440" w:lineRule="exact"/>
        <w:ind w:left="0" w:firstLine="0"/>
        <w:jc w:val="both"/>
        <w:outlineLvl w:val="2"/>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bookmarkStart w:id="129" w:name="_Toc117794560"/>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3.4.1 影响因素分析</w:t>
      </w:r>
      <w:bookmarkEnd w:id="129"/>
    </w:p>
    <w:p w14:paraId="6B9DEF25">
      <w:pPr>
        <w:spacing w:line="440" w:lineRule="exact"/>
        <w:outlineLvl w:val="3"/>
        <w:rPr>
          <w:rFonts w:ascii="Times New Roman" w:hAnsi="Times New Roman" w:cs="Times New Roman" w:eastAsiaTheme="minorEastAsia"/>
          <w:b/>
          <w:color w:val="000000" w:themeColor="text1"/>
          <w:w w:val="99"/>
          <w:sz w:val="24"/>
          <w:szCs w:val="24"/>
          <w:lang w:val="en-US"/>
          <w14:textFill>
            <w14:solidFill>
              <w14:schemeClr w14:val="tx1"/>
            </w14:solidFill>
          </w14:textFill>
        </w:rPr>
      </w:pPr>
      <w:r>
        <w:rPr>
          <w:rFonts w:ascii="Times New Roman" w:hAnsi="Times New Roman" w:cs="Times New Roman" w:eastAsiaTheme="minorEastAsia"/>
          <w:b/>
          <w:color w:val="000000" w:themeColor="text1"/>
          <w:w w:val="99"/>
          <w:sz w:val="24"/>
          <w:szCs w:val="24"/>
          <w:lang w:val="en-US"/>
          <w14:textFill>
            <w14:solidFill>
              <w14:schemeClr w14:val="tx1"/>
            </w14:solidFill>
          </w14:textFill>
        </w:rPr>
        <w:t>3.4.1.1污染影响因素分析</w:t>
      </w:r>
    </w:p>
    <w:p w14:paraId="24EC6038">
      <w:pPr>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（1）施工期工艺流程</w:t>
      </w:r>
    </w:p>
    <w:p w14:paraId="18E4F913">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施工期主要包括新建管线施工、新建混输阀组间、拉油点拆除施工等，其中新建的混输阀组间为撬装式，直接拉运至现场安装。</w:t>
      </w:r>
    </w:p>
    <w:p w14:paraId="1B340EE6">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A.新建管线施工</w:t>
      </w:r>
    </w:p>
    <w:p w14:paraId="372C5D21">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管线施工程序为：测量定线，施工作业带清理，清除障碍物，平整工作带，成品防腐钢管运输，布管、组装焊接，无损探伤，补口及防腐检漏，管沟开挖、下沟，整体空气试压，站间连接，通球扫线，阴极保护，工程验收。</w:t>
      </w:r>
    </w:p>
    <w:p w14:paraId="3BFD9115">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a.施工作业带清理</w:t>
      </w:r>
    </w:p>
    <w:p w14:paraId="09B3A128">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管道施工采用人工开挖和机械开挖相结合的方式施工，施工初期，首先要对施工作业带进行清理和平整，进行布管、开挖管沟及焊接等施工作业。在场地清理过程中，施工带范围内的土壤、植被和农作物都将受到扰动和破坏，不过其造成的影响仅局限在施工带宽度的范围内。</w:t>
      </w:r>
    </w:p>
    <w:p w14:paraId="4B3A3CCB">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b.管沟敷设</w:t>
      </w:r>
    </w:p>
    <w:p w14:paraId="143B199B">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管道采用沟埋方式敷设。开挖后，将运到现场的管道进行焊接、补口、补伤，然后下到管沟内。管沟开挖沟底与上口同宽，不进行放坡。</w:t>
      </w:r>
    </w:p>
    <w:p w14:paraId="3A520B54">
      <w:pPr>
        <w:autoSpaceDE/>
        <w:autoSpaceDN/>
        <w:spacing w:line="440" w:lineRule="exact"/>
        <w:ind w:firstLine="474" w:firstLineChars="200"/>
        <w:jc w:val="both"/>
        <w:rPr>
          <w:rFonts w:ascii="Times New Roman" w:hAnsi="Times New Roman" w:cs="Times New Roman" w:eastAsiaTheme="minorEastAsia"/>
          <w:bCs/>
          <w:color w:val="000000" w:themeColor="text1"/>
          <w:w w:val="99"/>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c.</w:t>
      </w:r>
      <w:r>
        <w:rPr>
          <w:rFonts w:ascii="Times New Roman" w:hAnsi="Times New Roman" w:cs="Times New Roman" w:eastAsiaTheme="minorEastAsia"/>
          <w:bCs/>
          <w:color w:val="000000" w:themeColor="text1"/>
          <w:w w:val="99"/>
          <w:sz w:val="24"/>
          <w:szCs w:val="20"/>
          <w:lang w:val="en-US" w:bidi="ar-SA"/>
          <w14:textFill>
            <w14:solidFill>
              <w14:schemeClr w14:val="tx1"/>
            </w14:solidFill>
          </w14:textFill>
        </w:rPr>
        <w:t>穿越公路</w:t>
      </w:r>
    </w:p>
    <w:p w14:paraId="78895BF2">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0"/>
          <w:lang w:val="en-US" w:bidi="ar-SA"/>
          <w14:textFill>
            <w14:solidFill>
              <w14:schemeClr w14:val="tx1"/>
            </w14:solidFill>
          </w14:textFill>
        </w:rPr>
        <w:t>本项目新建管线穿越市政道路采取顶管穿越，穿越土路采用大开挖方式穿越。</w:t>
      </w:r>
    </w:p>
    <w:p w14:paraId="4899493A">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4"/>
          <w:szCs w:val="20"/>
          <w:lang w:val="en-US" w:bidi="ar-SA"/>
          <w14:textFill>
            <w14:solidFill>
              <w14:schemeClr w14:val="tx1"/>
            </w14:solidFill>
          </w14:textFill>
        </w:rPr>
        <w:t>顶管穿越</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施工的基本原理是先在工作井内设置支座和安装液压千斤顶，把工具管或挖掘机从工作井内穿过土层一直推到接收井内吊起，紧随其后，将管段顶入地层，同时挖除并运走管正面的泥土。当第一节管全部顶入土层后，接着将第二节管接在后面继续顶进，这样将一节节管子顶入，作好接面，建成涵管，顶管法穿越道路，不会破坏道路正常通行。</w:t>
      </w:r>
    </w:p>
    <w:p w14:paraId="3B9B08B8">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d.防腐</w:t>
      </w:r>
    </w:p>
    <w:p w14:paraId="45AA3BBB">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为提高管道的防腐等级，采用熔结环氧粉末内防腐钢管；管道接头采用一次成型涂料新技术，使用寿命可达30年以上。</w:t>
      </w:r>
    </w:p>
    <w:p w14:paraId="2EC25A50">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e.管沟回填</w:t>
      </w:r>
    </w:p>
    <w:p w14:paraId="710F7FAF">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开挖管沟时在耕植地开挖，将表层耕植土和下层土分别堆放。在可耕植地回填时，需先回填下层土，后回填表层耕植土。管道出土端及弯头两侧分层回填夯实；管沟回填后立即恢复地貌。</w:t>
      </w:r>
    </w:p>
    <w:p w14:paraId="7AA2477E">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f.试压</w:t>
      </w:r>
    </w:p>
    <w:p w14:paraId="3E9DB4C5">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管道在下沟回填后应试压，采用清水试压，严密性试验合格后使用。</w:t>
      </w:r>
    </w:p>
    <w:p w14:paraId="432CB71E">
      <w:pPr>
        <w:autoSpaceDE/>
        <w:autoSpaceDN/>
        <w:jc w:val="cente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lang w:val="en-US" w:bidi="ar-SA"/>
          <w14:textFill>
            <w14:solidFill>
              <w14:schemeClr w14:val="tx1"/>
            </w14:solidFill>
          </w14:textFill>
        </w:rPr>
        <w:drawing>
          <wp:inline distT="0" distB="0" distL="0" distR="0">
            <wp:extent cx="3035935" cy="3882390"/>
            <wp:effectExtent l="19050" t="19050" r="12065" b="2286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8"/>
                    <a:stretch>
                      <a:fillRect/>
                    </a:stretch>
                  </pic:blipFill>
                  <pic:spPr>
                    <a:xfrm>
                      <a:off x="0" y="0"/>
                      <a:ext cx="3041721" cy="3889716"/>
                    </a:xfrm>
                    <a:prstGeom prst="rect">
                      <a:avLst/>
                    </a:prstGeom>
                    <a:ln w="6350">
                      <a:solidFill>
                        <a:schemeClr val="tx1"/>
                      </a:solidFill>
                    </a:ln>
                  </pic:spPr>
                </pic:pic>
              </a:graphicData>
            </a:graphic>
          </wp:inline>
        </w:drawing>
      </w:r>
    </w:p>
    <w:p w14:paraId="2579D3AA">
      <w:pPr>
        <w:autoSpaceDE/>
        <w:autoSpaceDN/>
        <w:spacing w:line="440" w:lineRule="exact"/>
        <w:jc w:val="center"/>
        <w:rPr>
          <w:rFonts w:ascii="Times New Roman" w:hAnsi="Times New Roman" w:cs="Times New Roman" w:eastAsiaTheme="minorEastAsia"/>
          <w:b/>
          <w:color w:val="000000" w:themeColor="text1"/>
          <w:w w:val="99"/>
          <w:kern w:val="2"/>
          <w:sz w:val="24"/>
          <w:szCs w:val="20"/>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0"/>
          <w:lang w:val="en-US" w:bidi="ar-SA"/>
          <w14:textFill>
            <w14:solidFill>
              <w14:schemeClr w14:val="tx1"/>
            </w14:solidFill>
          </w14:textFill>
        </w:rPr>
        <w:t>图3.4-1    管线施工过程示意图</w:t>
      </w:r>
    </w:p>
    <w:p w14:paraId="4DB9EB76">
      <w:pPr>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A.</w:t>
      </w:r>
      <w:r>
        <w:rPr>
          <w:rFonts w:ascii="Times New Roman" w:hAnsi="Times New Roman" w:cs="Times New Roman" w:eastAsiaTheme="minorEastAsia"/>
          <w:bCs/>
          <w:color w:val="000000" w:themeColor="text1"/>
          <w:w w:val="99"/>
          <w:sz w:val="24"/>
          <w:szCs w:val="20"/>
          <w:lang w:val="en-US"/>
          <w14:textFill>
            <w14:solidFill>
              <w14:schemeClr w14:val="tx1"/>
            </w14:solidFill>
          </w14:textFill>
        </w:rPr>
        <w:t xml:space="preserve"> </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拉油点清淤及拆除施工工艺</w:t>
      </w:r>
    </w:p>
    <w:p w14:paraId="708AEB60">
      <w:pPr>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首先停止运行抽油机井，将拉油点九合一装置内残余原油由卸料阀卸入拉油罐车，由罐车拉运至龙一联合站卸油点卸油并进入</w:t>
      </w:r>
      <w:r>
        <w:rPr>
          <w:rFonts w:hint="eastAsia" w:ascii="Times New Roman" w:hAnsi="Times New Roman" w:cs="Times New Roman" w:eastAsiaTheme="minorEastAsia"/>
          <w:bCs/>
          <w:color w:val="000000" w:themeColor="text1"/>
          <w:w w:val="99"/>
          <w:sz w:val="24"/>
          <w:szCs w:val="24"/>
          <w:lang w:val="en-US" w:bidi="ar-SA"/>
          <w14:textFill>
            <w14:solidFill>
              <w14:schemeClr w14:val="tx1"/>
            </w14:solidFill>
          </w14:textFill>
        </w:rPr>
        <w:t>龙一联合站原油处理系统处理</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动工前由采油小队先关停各拉油点下辖井场，</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然后</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关闭拉油点收油管线，</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拆下九合一</w:t>
      </w:r>
      <w:r>
        <w:rPr>
          <w:rFonts w:hint="eastAsia" w:ascii="Times New Roman" w:hAnsi="Times New Roman" w:cs="Times New Roman" w:eastAsiaTheme="minorEastAsia"/>
          <w:bCs/>
          <w:color w:val="000000" w:themeColor="text1"/>
          <w:w w:val="99"/>
          <w:sz w:val="24"/>
          <w:szCs w:val="24"/>
          <w:lang w:val="en-US" w:bidi="ar-SA"/>
          <w14:textFill>
            <w14:solidFill>
              <w14:schemeClr w14:val="tx1"/>
            </w14:solidFill>
          </w14:textFill>
        </w:rPr>
        <w:t>装置</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罐体的人口阀门进行自然通风24小时，在罐体内测氧测爆合格后，采用人工清理的方式对九合一</w:t>
      </w:r>
      <w:r>
        <w:rPr>
          <w:rFonts w:hint="eastAsia" w:ascii="Times New Roman" w:hAnsi="Times New Roman" w:cs="Times New Roman" w:eastAsiaTheme="minorEastAsia"/>
          <w:bCs/>
          <w:color w:val="000000" w:themeColor="text1"/>
          <w:w w:val="99"/>
          <w:sz w:val="24"/>
          <w:szCs w:val="24"/>
          <w:lang w:val="en-US" w:bidi="ar-SA"/>
          <w14:textFill>
            <w14:solidFill>
              <w14:schemeClr w14:val="tx1"/>
            </w14:solidFill>
          </w14:textFill>
        </w:rPr>
        <w:t>装置</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罐体进行清罐处理，清理出的油泥由罐车拉运至</w:t>
      </w:r>
      <w:r>
        <w:rPr>
          <w:rFonts w:hint="eastAsia" w:ascii="Times New Roman" w:hAnsi="Times New Roman" w:cs="Times New Roman" w:eastAsiaTheme="minorEastAsia"/>
          <w:bCs/>
          <w:color w:val="000000" w:themeColor="text1"/>
          <w:w w:val="99"/>
          <w:sz w:val="24"/>
          <w:szCs w:val="24"/>
          <w:lang w:val="en-US" w:eastAsia="zh-CN" w:bidi="ar-SA"/>
          <w14:textFill>
            <w14:solidFill>
              <w14:schemeClr w14:val="tx1"/>
            </w14:solidFill>
          </w14:textFill>
        </w:rPr>
        <w:t>第五采油厂</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含油污泥处理站处理，然后拆除拉油点九合一装置及附属值班板房等，拆除的九合一装置及板房等废旧设备全部回收至</w:t>
      </w:r>
      <w:r>
        <w:rPr>
          <w:rFonts w:hint="eastAsia" w:ascii="Times New Roman" w:hAnsi="Times New Roman" w:cs="Times New Roman" w:eastAsiaTheme="minorEastAsia"/>
          <w:bCs/>
          <w:color w:val="000000" w:themeColor="text1"/>
          <w:w w:val="99"/>
          <w:sz w:val="24"/>
          <w:szCs w:val="24"/>
          <w:lang w:val="en-US" w:eastAsia="zh-CN" w:bidi="ar-SA"/>
          <w14:textFill>
            <w14:solidFill>
              <w14:schemeClr w14:val="tx1"/>
            </w14:solidFill>
          </w14:textFill>
        </w:rPr>
        <w:t>第五采油厂</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物资库再利用，然后拆除九合一装置混凝土基础、旱厕，拆除后直接拉运至大庆市</w:t>
      </w:r>
      <w:r>
        <w:rPr>
          <w:rFonts w:hint="eastAsia" w:ascii="Times New Roman" w:hAnsi="Times New Roman" w:cs="Times New Roman" w:eastAsiaTheme="minorEastAsia"/>
          <w:bCs/>
          <w:color w:val="000000" w:themeColor="text1"/>
          <w:w w:val="99"/>
          <w:sz w:val="24"/>
          <w:szCs w:val="24"/>
          <w:lang w:val="en-US" w:eastAsia="zh-CN" w:bidi="ar-SA"/>
          <w14:textFill>
            <w14:solidFill>
              <w14:schemeClr w14:val="tx1"/>
            </w14:solidFill>
          </w14:textFill>
        </w:rPr>
        <w:t>红岗区杏树岗镇</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建筑垃圾消纳场处理，对拉油点内旱厕清空后进行卫生填埋处理（用石灰消毒后覆土平整）。最终清理地面并平整场地，拆除完成。</w:t>
      </w:r>
    </w:p>
    <w:p w14:paraId="47A787A0">
      <w:pPr>
        <w:jc w:val="center"/>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lang w:val="en-US" w:bidi="ar-SA"/>
          <w14:textFill>
            <w14:solidFill>
              <w14:schemeClr w14:val="tx1"/>
            </w14:solidFill>
          </w14:textFill>
        </w:rPr>
        <w:drawing>
          <wp:inline distT="0" distB="0" distL="0" distR="0">
            <wp:extent cx="5759450" cy="1519555"/>
            <wp:effectExtent l="19050" t="19050" r="12700" b="2349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9"/>
                    <a:stretch>
                      <a:fillRect/>
                    </a:stretch>
                  </pic:blipFill>
                  <pic:spPr>
                    <a:xfrm>
                      <a:off x="0" y="0"/>
                      <a:ext cx="5759450" cy="1519555"/>
                    </a:xfrm>
                    <a:prstGeom prst="rect">
                      <a:avLst/>
                    </a:prstGeom>
                    <a:ln w="6350">
                      <a:solidFill>
                        <a:schemeClr val="tx1"/>
                      </a:solidFill>
                    </a:ln>
                  </pic:spPr>
                </pic:pic>
              </a:graphicData>
            </a:graphic>
          </wp:inline>
        </w:drawing>
      </w:r>
    </w:p>
    <w:p w14:paraId="1AC3C16B">
      <w:pPr>
        <w:spacing w:line="440" w:lineRule="exact"/>
        <w:jc w:val="center"/>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t>图3.4-2    拉油点拆除施工过程示意图</w:t>
      </w:r>
    </w:p>
    <w:p w14:paraId="447A5FB4">
      <w:pPr>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（2）运行期工艺流程</w:t>
      </w:r>
    </w:p>
    <w:p w14:paraId="0479A233">
      <w:pPr>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本项目为管道建设项目，运营期已建油井产液通过电加热管道集输至混输阀组间，经混输阀组间内混输泵增压后由电加热管道进入龙一联合站处理。本项目运营期产生的污染物主要为混输阀组间内阀门、泵等密封点排放的非甲烷总烃及混输泵噪声。运营期工艺流程及产污节点图见图3.11-4。</w:t>
      </w:r>
    </w:p>
    <w:p w14:paraId="3DC871E8">
      <w:pPr>
        <w:pStyle w:val="101"/>
        <w:spacing w:beforeLines="0" w:afterLines="0"/>
        <w:rPr>
          <w:rFonts w:ascii="Times New Roman" w:cs="Times New Roman" w:eastAsiaTheme="minorEastAsia"/>
          <w:color w:val="000000" w:themeColor="text1"/>
          <w:w w:val="99"/>
          <w14:textFill>
            <w14:solidFill>
              <w14:schemeClr w14:val="tx1"/>
            </w14:solidFill>
          </w14:textFill>
        </w:rPr>
      </w:pPr>
      <w:r>
        <w:rPr>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5761990" cy="1475105"/>
            <wp:effectExtent l="19050" t="19050" r="10160" b="1079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0"/>
                    <a:stretch>
                      <a:fillRect/>
                    </a:stretch>
                  </pic:blipFill>
                  <pic:spPr>
                    <a:xfrm>
                      <a:off x="0" y="0"/>
                      <a:ext cx="5761990" cy="1475105"/>
                    </a:xfrm>
                    <a:prstGeom prst="rect">
                      <a:avLst/>
                    </a:prstGeom>
                    <a:ln w="6350">
                      <a:solidFill>
                        <a:schemeClr val="tx1"/>
                      </a:solidFill>
                    </a:ln>
                  </pic:spPr>
                </pic:pic>
              </a:graphicData>
            </a:graphic>
          </wp:inline>
        </w:drawing>
      </w:r>
    </w:p>
    <w:p w14:paraId="4DC6A99F">
      <w:pPr>
        <w:jc w:val="center"/>
        <w:rPr>
          <w:rFonts w:ascii="Times New Roman" w:hAnsi="Times New Roman" w:cs="Times New Roman" w:eastAsiaTheme="minorEastAsia"/>
          <w:b/>
          <w:color w:val="000000" w:themeColor="text1"/>
          <w:w w:val="99"/>
          <w:lang w:val="en-US" w:bidi="ar-SA"/>
          <w14:textFill>
            <w14:solidFill>
              <w14:schemeClr w14:val="tx1"/>
            </w14:solidFill>
          </w14:textFill>
        </w:rPr>
      </w:pPr>
      <w:r>
        <w:rPr>
          <w:rFonts w:ascii="Times New Roman" w:hAnsi="Times New Roman" w:cs="Times New Roman" w:eastAsiaTheme="minorEastAsia"/>
          <w:b/>
          <w:color w:val="000000" w:themeColor="text1"/>
          <w:w w:val="99"/>
          <w:lang w:val="en-US" w:bidi="ar-SA"/>
          <w14:textFill>
            <w14:solidFill>
              <w14:schemeClr w14:val="tx1"/>
            </w14:solidFill>
          </w14:textFill>
        </w:rPr>
        <w:t>图3.4-3    运营期工艺流程及产污节点图</w:t>
      </w:r>
    </w:p>
    <w:p w14:paraId="6124EF70">
      <w:pPr>
        <w:spacing w:line="440" w:lineRule="exact"/>
        <w:outlineLvl w:val="3"/>
        <w:rPr>
          <w:rFonts w:ascii="Times New Roman" w:hAnsi="Times New Roman" w:cs="Times New Roman" w:eastAsiaTheme="minorEastAsia"/>
          <w:b/>
          <w:color w:val="000000" w:themeColor="text1"/>
          <w:w w:val="99"/>
          <w:sz w:val="24"/>
          <w:szCs w:val="24"/>
          <w:lang w:val="en-US"/>
          <w14:textFill>
            <w14:solidFill>
              <w14:schemeClr w14:val="tx1"/>
            </w14:solidFill>
          </w14:textFill>
        </w:rPr>
      </w:pPr>
      <w:r>
        <w:rPr>
          <w:rFonts w:ascii="Times New Roman" w:hAnsi="Times New Roman" w:cs="Times New Roman" w:eastAsiaTheme="minorEastAsia"/>
          <w:b/>
          <w:color w:val="000000" w:themeColor="text1"/>
          <w:w w:val="99"/>
          <w:sz w:val="24"/>
          <w:szCs w:val="24"/>
          <w:lang w:val="en-US"/>
          <w14:textFill>
            <w14:solidFill>
              <w14:schemeClr w14:val="tx1"/>
            </w14:solidFill>
          </w14:textFill>
        </w:rPr>
        <w:t>3.4.1.2生态影响因素分析</w:t>
      </w:r>
    </w:p>
    <w:p w14:paraId="61028230">
      <w:pPr>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本工程建设对生态的影响主要在施工期，其不利影响主要表现为：管沟开挖、施工机械、车辆和人员践踏等活动造成土壤扰动和植被的破坏。这种影响是短期可逆的。</w:t>
      </w:r>
    </w:p>
    <w:p w14:paraId="384957DC">
      <w:pPr>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（1）</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管道敷设</w:t>
      </w:r>
    </w:p>
    <w:p w14:paraId="70BC6664">
      <w:pPr>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施工过程对环境的影响主要来自管道施工作业带清理、开挖管沟等施工活动中施工机械、车辆、人员践踏等对土壤的扰动和植被的破坏，对沿途的动物形成惊扰，造成的土地裸露加剧水土流失。本工程管道施工作业带宽度约10m，其范围内的土壤和植被都可能受到扰动和破坏，尤其是管沟两侧2-3m内的植被破坏严重，土壤的结构、组成和理</w:t>
      </w:r>
      <w:bookmarkStart w:id="130" w:name="_Toc67860130"/>
      <w:bookmarkStart w:id="131" w:name="_Toc70050177"/>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化性质发生改变，影响土壤和植被的恢复。</w:t>
      </w:r>
    </w:p>
    <w:p w14:paraId="06B0F182">
      <w:pPr>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（2）</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对土壤侵蚀的影响</w:t>
      </w:r>
    </w:p>
    <w:p w14:paraId="4D2DC059">
      <w:pPr>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施工对土地的开挖，造成土地裸露，加剧沿线的土壤风蚀。</w:t>
      </w:r>
    </w:p>
    <w:p w14:paraId="6F38F20B">
      <w:pPr>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（3）</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对植被的影响</w:t>
      </w:r>
    </w:p>
    <w:p w14:paraId="76AA766C">
      <w:pPr>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对植被最主要的影响是施工期占地范围内对植被破坏，另外土地开挖、车辆运输带起的扬尘自然沉降在周围植物的叶片上，阻塞气孔，影响植物呼吸作用和光合作用，有碍作物生长，还有车辆运行和施工机械的尾气含有NOx等气体，可破坏敏感植物的叶组织，造成褪色伤斑。不过以上这些不利影响主要是短期的，随着施工期结束，这些影响也随之消失。</w:t>
      </w:r>
    </w:p>
    <w:p w14:paraId="048DF2C4">
      <w:pPr>
        <w:pStyle w:val="107"/>
        <w:tabs>
          <w:tab w:val="left" w:pos="930"/>
        </w:tabs>
        <w:spacing w:before="60" w:after="60" w:line="440" w:lineRule="exact"/>
        <w:ind w:left="0" w:firstLine="0"/>
        <w:jc w:val="both"/>
        <w:outlineLvl w:val="2"/>
        <w:rPr>
          <w:rFonts w:ascii="Times New Roman" w:hAnsi="Times New Roman" w:cs="Times New Roman" w:eastAsiaTheme="minorEastAsia"/>
          <w:color w:val="000000" w:themeColor="text1"/>
          <w:w w:val="99"/>
          <w:lang w:val="en-US"/>
          <w14:textFill>
            <w14:solidFill>
              <w14:schemeClr w14:val="tx1"/>
            </w14:solidFill>
          </w14:textFill>
        </w:rPr>
      </w:pPr>
      <w:bookmarkStart w:id="132" w:name="_Toc117794561"/>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3.4.2 污染源源强核算</w:t>
      </w:r>
      <w:bookmarkEnd w:id="132"/>
    </w:p>
    <w:bookmarkEnd w:id="130"/>
    <w:bookmarkEnd w:id="131"/>
    <w:p w14:paraId="54A70179">
      <w:pPr>
        <w:spacing w:line="440" w:lineRule="exact"/>
        <w:outlineLvl w:val="3"/>
        <w:rPr>
          <w:rFonts w:ascii="Times New Roman" w:hAnsi="Times New Roman" w:cs="Times New Roman" w:eastAsiaTheme="minorEastAsia"/>
          <w:b/>
          <w:color w:val="000000" w:themeColor="text1"/>
          <w:w w:val="99"/>
          <w:sz w:val="24"/>
          <w:szCs w:val="24"/>
          <w:lang w:val="en-US"/>
          <w14:textFill>
            <w14:solidFill>
              <w14:schemeClr w14:val="tx1"/>
            </w14:solidFill>
          </w14:textFill>
        </w:rPr>
      </w:pPr>
      <w:r>
        <w:rPr>
          <w:rFonts w:ascii="Times New Roman" w:hAnsi="Times New Roman" w:cs="Times New Roman" w:eastAsiaTheme="minorEastAsia"/>
          <w:b/>
          <w:color w:val="000000" w:themeColor="text1"/>
          <w:w w:val="99"/>
          <w:sz w:val="24"/>
          <w:szCs w:val="24"/>
          <w:lang w:val="en-US"/>
          <w14:textFill>
            <w14:solidFill>
              <w14:schemeClr w14:val="tx1"/>
            </w14:solidFill>
          </w14:textFill>
        </w:rPr>
        <w:t>3.4.2.1 施工期源强核算</w:t>
      </w:r>
    </w:p>
    <w:p w14:paraId="25F0689C">
      <w:pPr>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（1）废气</w:t>
      </w:r>
    </w:p>
    <w:p w14:paraId="12E9E07F">
      <w:pPr>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施工期对大气环境的污染主要来自施工场地扬尘、施工机械及车辆尾气、焊接烟气等。</w:t>
      </w:r>
    </w:p>
    <w:p w14:paraId="24B2EE64">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hint="eastAsia"/>
          <w:color w:val="000000" w:themeColor="text1"/>
          <w:w w:val="99"/>
          <w:kern w:val="2"/>
          <w:sz w:val="24"/>
          <w:szCs w:val="24"/>
          <w:lang w:val="en-US" w:bidi="ar-SA"/>
          <w14:textFill>
            <w14:solidFill>
              <w14:schemeClr w14:val="tx1"/>
            </w14:solidFill>
          </w14:textFill>
        </w:rPr>
        <w:t>①</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施工扬尘</w:t>
      </w:r>
    </w:p>
    <w:p w14:paraId="7F704ABD">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本项目施工扬尘主要来自平整土地、开挖土方、材料运输、装卸等过程，其污染范围和程度与施工工艺、施工管理、土方含水率、气象条件、土方工程量等多种因素有关。</w:t>
      </w:r>
    </w:p>
    <w:p w14:paraId="11F041C1">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本项目所在区域平坦空旷，大气扩散条件好。管线敷设、各种施工材料的运输给道路沿线带来扬尘污染，运输车辆行驶扬尘与车辆行驶速度、风速、路面积尘量和积尘湿度等因素有关。</w:t>
      </w:r>
    </w:p>
    <w:p w14:paraId="49173DCA">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A.管线施工产生的施工扬尘</w:t>
      </w:r>
    </w:p>
    <w:p w14:paraId="1BAA3C76">
      <w:pPr>
        <w:tabs>
          <w:tab w:val="left" w:pos="5262"/>
        </w:tabs>
        <w:autoSpaceDE/>
        <w:autoSpaceDN/>
        <w:spacing w:line="440" w:lineRule="exact"/>
        <w:ind w:firstLine="474" w:firstLineChars="200"/>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根据工程占地统计表，本项目</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管线施工占地面积</w:t>
      </w:r>
      <w:r>
        <w:rPr>
          <w:rFonts w:ascii="Times New Roman" w:hAnsi="Times New Roman" w:cs="Times New Roman" w:eastAsiaTheme="minorEastAsia"/>
          <w:bCs/>
          <w:snapToGrid w:val="0"/>
          <w:color w:val="000000" w:themeColor="text1"/>
          <w:w w:val="99"/>
          <w:sz w:val="24"/>
          <w:szCs w:val="24"/>
          <w:lang w:val="en-US" w:bidi="ar-SA"/>
          <w14:textFill>
            <w14:solidFill>
              <w14:schemeClr w14:val="tx1"/>
            </w14:solidFill>
          </w14:textFill>
        </w:rPr>
        <w:t>23.37</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hm²</w:t>
      </w: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，参考</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《扬尘源颗粒物排放清单编制技术指南（试行）》中施工扬尘源排放量的计算方法。</w:t>
      </w:r>
    </w:p>
    <w:p w14:paraId="6CDE38AE">
      <w:pPr>
        <w:widowControl/>
        <w:tabs>
          <w:tab w:val="left" w:pos="5262"/>
        </w:tabs>
        <w:autoSpaceDE/>
        <w:autoSpaceDN/>
        <w:spacing w:line="440" w:lineRule="exact"/>
        <w:jc w:val="cente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W</w:t>
      </w:r>
      <w:r>
        <w:rPr>
          <w:rFonts w:ascii="Times New Roman" w:hAnsi="Times New Roman" w:cs="Times New Roman" w:eastAsiaTheme="minorEastAsia"/>
          <w:bCs/>
          <w:color w:val="000000" w:themeColor="text1"/>
          <w:w w:val="99"/>
          <w:kern w:val="21"/>
          <w:sz w:val="24"/>
          <w:szCs w:val="24"/>
          <w:vertAlign w:val="subscript"/>
          <w:lang w:val="en-US" w:bidi="ar-SA"/>
          <w14:textFill>
            <w14:solidFill>
              <w14:schemeClr w14:val="tx1"/>
            </w14:solidFill>
          </w14:textFill>
        </w:rPr>
        <w:t>Ci</w:t>
      </w: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=E</w:t>
      </w:r>
      <w:r>
        <w:rPr>
          <w:rFonts w:ascii="Times New Roman" w:hAnsi="Times New Roman" w:cs="Times New Roman" w:eastAsiaTheme="minorEastAsia"/>
          <w:bCs/>
          <w:color w:val="000000" w:themeColor="text1"/>
          <w:w w:val="99"/>
          <w:kern w:val="21"/>
          <w:sz w:val="24"/>
          <w:szCs w:val="24"/>
          <w:vertAlign w:val="subscript"/>
          <w:lang w:val="en-US" w:bidi="ar-SA"/>
          <w14:textFill>
            <w14:solidFill>
              <w14:schemeClr w14:val="tx1"/>
            </w14:solidFill>
          </w14:textFill>
        </w:rPr>
        <w:t>Ci</w:t>
      </w: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×A</w:t>
      </w:r>
      <w:r>
        <w:rPr>
          <w:rFonts w:ascii="Times New Roman" w:hAnsi="Times New Roman" w:cs="Times New Roman" w:eastAsiaTheme="minorEastAsia"/>
          <w:bCs/>
          <w:color w:val="000000" w:themeColor="text1"/>
          <w:w w:val="99"/>
          <w:kern w:val="21"/>
          <w:sz w:val="24"/>
          <w:szCs w:val="24"/>
          <w:vertAlign w:val="subscript"/>
          <w:lang w:val="en-US" w:bidi="ar-SA"/>
          <w14:textFill>
            <w14:solidFill>
              <w14:schemeClr w14:val="tx1"/>
            </w14:solidFill>
          </w14:textFill>
        </w:rPr>
        <w:t>C</w:t>
      </w: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×T</w:t>
      </w:r>
    </w:p>
    <w:p w14:paraId="243165CC">
      <w:pPr>
        <w:widowControl/>
        <w:tabs>
          <w:tab w:val="left" w:pos="5262"/>
        </w:tabs>
        <w:autoSpaceDE/>
        <w:autoSpaceDN/>
        <w:spacing w:line="440" w:lineRule="exact"/>
        <w:jc w:val="cente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E</w:t>
      </w:r>
      <w:r>
        <w:rPr>
          <w:rFonts w:ascii="Times New Roman" w:hAnsi="Times New Roman" w:cs="Times New Roman" w:eastAsiaTheme="minorEastAsia"/>
          <w:bCs/>
          <w:color w:val="000000" w:themeColor="text1"/>
          <w:w w:val="99"/>
          <w:kern w:val="21"/>
          <w:sz w:val="24"/>
          <w:szCs w:val="24"/>
          <w:vertAlign w:val="subscript"/>
          <w:lang w:val="en-US" w:bidi="ar-SA"/>
          <w14:textFill>
            <w14:solidFill>
              <w14:schemeClr w14:val="tx1"/>
            </w14:solidFill>
          </w14:textFill>
        </w:rPr>
        <w:t>Ci</w:t>
      </w: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=2.69×10</w:t>
      </w:r>
      <w:r>
        <w:rPr>
          <w:rFonts w:ascii="Times New Roman" w:hAnsi="Times New Roman" w:cs="Times New Roman" w:eastAsiaTheme="minorEastAsia"/>
          <w:bCs/>
          <w:color w:val="000000" w:themeColor="text1"/>
          <w:w w:val="99"/>
          <w:kern w:val="21"/>
          <w:sz w:val="24"/>
          <w:szCs w:val="24"/>
          <w:vertAlign w:val="superscript"/>
          <w:lang w:val="en-US" w:bidi="ar-SA"/>
          <w14:textFill>
            <w14:solidFill>
              <w14:schemeClr w14:val="tx1"/>
            </w14:solidFill>
          </w14:textFill>
        </w:rPr>
        <w:t>-4</w:t>
      </w: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×（1-η）</w:t>
      </w:r>
    </w:p>
    <w:p w14:paraId="161AFCE2">
      <w:pPr>
        <w:widowControl/>
        <w:tabs>
          <w:tab w:val="left" w:pos="5262"/>
        </w:tabs>
        <w:autoSpaceDE/>
        <w:autoSpaceDN/>
        <w:spacing w:line="440" w:lineRule="exact"/>
        <w:ind w:firstLine="474" w:firstLineChars="200"/>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式中：</w:t>
      </w:r>
    </w:p>
    <w:p w14:paraId="24641F4D">
      <w:pPr>
        <w:widowControl/>
        <w:tabs>
          <w:tab w:val="left" w:pos="5262"/>
        </w:tabs>
        <w:autoSpaceDE/>
        <w:autoSpaceDN/>
        <w:spacing w:line="440" w:lineRule="exact"/>
        <w:ind w:firstLine="474" w:firstLineChars="200"/>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W</w:t>
      </w:r>
      <w:r>
        <w:rPr>
          <w:rFonts w:ascii="Times New Roman" w:hAnsi="Times New Roman" w:cs="Times New Roman" w:eastAsiaTheme="minorEastAsia"/>
          <w:bCs/>
          <w:color w:val="000000" w:themeColor="text1"/>
          <w:w w:val="99"/>
          <w:kern w:val="21"/>
          <w:sz w:val="24"/>
          <w:szCs w:val="24"/>
          <w:vertAlign w:val="subscript"/>
          <w:lang w:val="en-US" w:bidi="ar-SA"/>
          <w14:textFill>
            <w14:solidFill>
              <w14:schemeClr w14:val="tx1"/>
            </w14:solidFill>
          </w14:textFill>
        </w:rPr>
        <w:t>Ci</w:t>
      </w: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为施工扬尘源中PM</w:t>
      </w:r>
      <w:r>
        <w:rPr>
          <w:rFonts w:ascii="Times New Roman" w:hAnsi="Times New Roman" w:cs="Times New Roman" w:eastAsiaTheme="minorEastAsia"/>
          <w:bCs/>
          <w:color w:val="000000" w:themeColor="text1"/>
          <w:w w:val="99"/>
          <w:kern w:val="21"/>
          <w:sz w:val="24"/>
          <w:szCs w:val="24"/>
          <w:vertAlign w:val="subscript"/>
          <w:lang w:val="en-US" w:bidi="ar-SA"/>
          <w14:textFill>
            <w14:solidFill>
              <w14:schemeClr w14:val="tx1"/>
            </w14:solidFill>
          </w14:textFill>
        </w:rPr>
        <w:t>i</w:t>
      </w: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总排放量，t。</w:t>
      </w:r>
    </w:p>
    <w:p w14:paraId="3011A577">
      <w:pPr>
        <w:widowControl/>
        <w:tabs>
          <w:tab w:val="left" w:pos="5262"/>
        </w:tabs>
        <w:autoSpaceDE/>
        <w:autoSpaceDN/>
        <w:spacing w:line="440" w:lineRule="exact"/>
        <w:ind w:firstLine="474" w:firstLineChars="200"/>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E</w:t>
      </w:r>
      <w:r>
        <w:rPr>
          <w:rFonts w:ascii="Times New Roman" w:hAnsi="Times New Roman" w:cs="Times New Roman" w:eastAsiaTheme="minorEastAsia"/>
          <w:bCs/>
          <w:color w:val="000000" w:themeColor="text1"/>
          <w:w w:val="99"/>
          <w:kern w:val="21"/>
          <w:sz w:val="24"/>
          <w:szCs w:val="24"/>
          <w:vertAlign w:val="subscript"/>
          <w:lang w:val="en-US" w:bidi="ar-SA"/>
          <w14:textFill>
            <w14:solidFill>
              <w14:schemeClr w14:val="tx1"/>
            </w14:solidFill>
          </w14:textFill>
        </w:rPr>
        <w:t>Ci</w:t>
      </w: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为整个施工工地PM</w:t>
      </w:r>
      <w:r>
        <w:rPr>
          <w:rFonts w:ascii="Times New Roman" w:hAnsi="Times New Roman" w:cs="Times New Roman" w:eastAsiaTheme="minorEastAsia"/>
          <w:bCs/>
          <w:color w:val="000000" w:themeColor="text1"/>
          <w:w w:val="99"/>
          <w:kern w:val="21"/>
          <w:sz w:val="24"/>
          <w:szCs w:val="24"/>
          <w:vertAlign w:val="subscript"/>
          <w:lang w:val="en-US" w:bidi="ar-SA"/>
          <w14:textFill>
            <w14:solidFill>
              <w14:schemeClr w14:val="tx1"/>
            </w14:solidFill>
          </w14:textFill>
        </w:rPr>
        <w:t>i</w:t>
      </w: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的平均排放系数，t/（m</w:t>
      </w:r>
      <w:r>
        <w:rPr>
          <w:rFonts w:ascii="Times New Roman" w:hAnsi="Times New Roman" w:cs="Times New Roman" w:eastAsiaTheme="minorEastAsia"/>
          <w:bCs/>
          <w:color w:val="000000" w:themeColor="text1"/>
          <w:w w:val="99"/>
          <w:kern w:val="21"/>
          <w:sz w:val="24"/>
          <w:szCs w:val="24"/>
          <w:vertAlign w:val="superscript"/>
          <w:lang w:val="en-US" w:bidi="ar-SA"/>
          <w14:textFill>
            <w14:solidFill>
              <w14:schemeClr w14:val="tx1"/>
            </w14:solidFill>
          </w14:textFill>
        </w:rPr>
        <w:t>2</w:t>
      </w: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•月）。</w:t>
      </w:r>
    </w:p>
    <w:p w14:paraId="30058D90">
      <w:pPr>
        <w:widowControl/>
        <w:tabs>
          <w:tab w:val="left" w:pos="5262"/>
        </w:tabs>
        <w:autoSpaceDE/>
        <w:autoSpaceDN/>
        <w:spacing w:line="440" w:lineRule="exact"/>
        <w:ind w:firstLine="474" w:firstLineChars="200"/>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A</w:t>
      </w:r>
      <w:r>
        <w:rPr>
          <w:rFonts w:ascii="Times New Roman" w:hAnsi="Times New Roman" w:cs="Times New Roman" w:eastAsiaTheme="minorEastAsia"/>
          <w:bCs/>
          <w:color w:val="000000" w:themeColor="text1"/>
          <w:w w:val="99"/>
          <w:kern w:val="21"/>
          <w:sz w:val="24"/>
          <w:szCs w:val="24"/>
          <w:vertAlign w:val="subscript"/>
          <w:lang w:val="en-US" w:bidi="ar-SA"/>
          <w14:textFill>
            <w14:solidFill>
              <w14:schemeClr w14:val="tx1"/>
            </w14:solidFill>
          </w14:textFill>
        </w:rPr>
        <w:t>C</w:t>
      </w: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为施工区域面积，m</w:t>
      </w:r>
      <w:r>
        <w:rPr>
          <w:rFonts w:ascii="Times New Roman" w:hAnsi="Times New Roman" w:cs="Times New Roman" w:eastAsiaTheme="minorEastAsia"/>
          <w:bCs/>
          <w:color w:val="000000" w:themeColor="text1"/>
          <w:w w:val="99"/>
          <w:kern w:val="21"/>
          <w:sz w:val="24"/>
          <w:szCs w:val="24"/>
          <w:vertAlign w:val="superscript"/>
          <w:lang w:val="en-US" w:bidi="ar-SA"/>
          <w14:textFill>
            <w14:solidFill>
              <w14:schemeClr w14:val="tx1"/>
            </w14:solidFill>
          </w14:textFill>
        </w:rPr>
        <w:t>2</w:t>
      </w: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，本项目占地总计</w:t>
      </w:r>
      <w:r>
        <w:rPr>
          <w:rFonts w:ascii="Times New Roman" w:hAnsi="Times New Roman" w:cs="Times New Roman" w:eastAsiaTheme="minorEastAsia"/>
          <w:bCs/>
          <w:snapToGrid w:val="0"/>
          <w:color w:val="000000" w:themeColor="text1"/>
          <w:w w:val="99"/>
          <w:sz w:val="24"/>
          <w:szCs w:val="24"/>
          <w:lang w:val="en-US" w:bidi="ar-SA"/>
          <w14:textFill>
            <w14:solidFill>
              <w14:schemeClr w14:val="tx1"/>
            </w14:solidFill>
          </w14:textFill>
        </w:rPr>
        <w:t>233700</w:t>
      </w: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m</w:t>
      </w:r>
      <w:r>
        <w:rPr>
          <w:rFonts w:ascii="Times New Roman" w:hAnsi="Times New Roman" w:cs="Times New Roman" w:eastAsiaTheme="minorEastAsia"/>
          <w:bCs/>
          <w:color w:val="000000" w:themeColor="text1"/>
          <w:w w:val="99"/>
          <w:kern w:val="21"/>
          <w:sz w:val="24"/>
          <w:szCs w:val="24"/>
          <w:vertAlign w:val="superscript"/>
          <w:lang w:val="en-US" w:bidi="ar-SA"/>
          <w14:textFill>
            <w14:solidFill>
              <w14:schemeClr w14:val="tx1"/>
            </w14:solidFill>
          </w14:textFill>
        </w:rPr>
        <w:t>2</w:t>
      </w: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w:t>
      </w:r>
    </w:p>
    <w:p w14:paraId="6014A427">
      <w:pPr>
        <w:widowControl/>
        <w:tabs>
          <w:tab w:val="left" w:pos="5262"/>
        </w:tabs>
        <w:autoSpaceDE/>
        <w:autoSpaceDN/>
        <w:spacing w:line="440" w:lineRule="exact"/>
        <w:ind w:firstLine="474" w:firstLineChars="200"/>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T为工地的施工月份数，本项目施工期为2个月。</w:t>
      </w:r>
    </w:p>
    <w:p w14:paraId="12EA5A04">
      <w:pPr>
        <w:widowControl/>
        <w:tabs>
          <w:tab w:val="left" w:pos="5262"/>
        </w:tabs>
        <w:autoSpaceDE/>
        <w:autoSpaceDN/>
        <w:spacing w:line="440" w:lineRule="exact"/>
        <w:ind w:firstLine="474" w:firstLineChars="200"/>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η为污染控制技术对扬尘的去除效率，%，本项目施工阶段采取洒水抑尘措施，TSP去除效率取96%，PM</w:t>
      </w:r>
      <w:r>
        <w:rPr>
          <w:rFonts w:ascii="Times New Roman" w:hAnsi="Times New Roman" w:cs="Times New Roman" w:eastAsiaTheme="minorEastAsia"/>
          <w:bCs/>
          <w:color w:val="000000" w:themeColor="text1"/>
          <w:w w:val="99"/>
          <w:kern w:val="21"/>
          <w:sz w:val="24"/>
          <w:szCs w:val="24"/>
          <w:vertAlign w:val="subscript"/>
          <w:lang w:val="en-US" w:bidi="ar-SA"/>
          <w14:textFill>
            <w14:solidFill>
              <w14:schemeClr w14:val="tx1"/>
            </w14:solidFill>
          </w14:textFill>
        </w:rPr>
        <w:t>10</w:t>
      </w: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去除效率取80%，PM</w:t>
      </w:r>
      <w:r>
        <w:rPr>
          <w:rFonts w:ascii="Times New Roman" w:hAnsi="Times New Roman" w:cs="Times New Roman" w:eastAsiaTheme="minorEastAsia"/>
          <w:bCs/>
          <w:color w:val="000000" w:themeColor="text1"/>
          <w:w w:val="99"/>
          <w:kern w:val="21"/>
          <w:sz w:val="24"/>
          <w:szCs w:val="24"/>
          <w:vertAlign w:val="subscript"/>
          <w:lang w:val="en-US" w:bidi="ar-SA"/>
          <w14:textFill>
            <w14:solidFill>
              <w14:schemeClr w14:val="tx1"/>
            </w14:solidFill>
          </w14:textFill>
        </w:rPr>
        <w:t>2.5</w:t>
      </w: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去除效率取67%。</w:t>
      </w:r>
    </w:p>
    <w:p w14:paraId="438C09DE">
      <w:pPr>
        <w:widowControl/>
        <w:tabs>
          <w:tab w:val="left" w:pos="5262"/>
        </w:tabs>
        <w:autoSpaceDE/>
        <w:autoSpaceDN/>
        <w:spacing w:line="440" w:lineRule="exact"/>
        <w:ind w:firstLine="474" w:firstLineChars="200"/>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本项目在施工阶段采取分段施工，共分12段进行施工，经计算本项目施工期施工场地扬尘产生量约5.97t/施工期。</w:t>
      </w:r>
    </w:p>
    <w:p w14:paraId="6E636F40">
      <w:pPr>
        <w:autoSpaceDE/>
        <w:autoSpaceDN/>
        <w:spacing w:line="440" w:lineRule="exact"/>
        <w:ind w:firstLine="474" w:firstLineChars="200"/>
        <w:jc w:val="both"/>
        <w:rPr>
          <w:rFonts w:ascii="Times New Roman" w:hAnsi="Times New Roman" w:cs="Times New Roman" w:eastAsiaTheme="minorEastAsia"/>
          <w:color w:val="000000" w:themeColor="text1"/>
          <w:w w:val="99"/>
          <w:sz w:val="24"/>
          <w:szCs w:val="24"/>
          <w:lang w:bidi="ar-SA"/>
          <w14:textFill>
            <w14:solidFill>
              <w14:schemeClr w14:val="tx1"/>
            </w14:solidFill>
          </w14:textFill>
        </w:rPr>
      </w:pPr>
      <w:r>
        <w:rPr>
          <w:rFonts w:ascii="Times New Roman" w:hAnsi="Times New Roman" w:cs="Times New Roman" w:eastAsiaTheme="minorEastAsia"/>
          <w:color w:val="000000" w:themeColor="text1"/>
          <w:w w:val="99"/>
          <w:sz w:val="24"/>
          <w:szCs w:val="24"/>
          <w:lang w:bidi="ar-SA"/>
          <w14:textFill>
            <w14:solidFill>
              <w14:schemeClr w14:val="tx1"/>
            </w14:solidFill>
          </w14:textFill>
        </w:rPr>
        <w:t>B.运输车辆产生的扬尘</w:t>
      </w:r>
    </w:p>
    <w:p w14:paraId="77AFCFC6">
      <w:pPr>
        <w:autoSpaceDE/>
        <w:autoSpaceDN/>
        <w:spacing w:line="440" w:lineRule="exact"/>
        <w:ind w:firstLine="474" w:firstLineChars="200"/>
        <w:jc w:val="both"/>
        <w:rPr>
          <w:rFonts w:ascii="Times New Roman" w:hAnsi="Times New Roman" w:cs="Times New Roman" w:eastAsiaTheme="minorEastAsia"/>
          <w:color w:val="000000" w:themeColor="text1"/>
          <w:w w:val="99"/>
          <w:sz w:val="24"/>
          <w:szCs w:val="24"/>
          <w:lang w:bidi="ar-SA"/>
          <w14:textFill>
            <w14:solidFill>
              <w14:schemeClr w14:val="tx1"/>
            </w14:solidFill>
          </w14:textFill>
        </w:rPr>
      </w:pPr>
      <w:r>
        <w:rPr>
          <w:rFonts w:ascii="Times New Roman" w:hAnsi="Times New Roman" w:cs="Times New Roman" w:eastAsiaTheme="minorEastAsia"/>
          <w:color w:val="000000" w:themeColor="text1"/>
          <w:w w:val="99"/>
          <w:sz w:val="24"/>
          <w:szCs w:val="24"/>
          <w:lang w:bidi="ar-SA"/>
          <w14:textFill>
            <w14:solidFill>
              <w14:schemeClr w14:val="tx1"/>
            </w14:solidFill>
          </w14:textFill>
        </w:rPr>
        <w:t>当车辆通过干燥且路况较差路段时，在行车道两侧扬尘的TSP浓度短期内可达8~10mg/m</w:t>
      </w:r>
      <w:r>
        <w:rPr>
          <w:rFonts w:ascii="Times New Roman" w:hAnsi="Times New Roman" w:cs="Times New Roman" w:eastAsiaTheme="minorEastAsia"/>
          <w:color w:val="000000" w:themeColor="text1"/>
          <w:w w:val="99"/>
          <w:sz w:val="24"/>
          <w:szCs w:val="24"/>
          <w:vertAlign w:val="superscript"/>
          <w:lang w:bidi="ar-SA"/>
          <w14:textFill>
            <w14:solidFill>
              <w14:schemeClr w14:val="tx1"/>
            </w14:solidFill>
          </w14:textFill>
        </w:rPr>
        <w:t>3</w:t>
      </w:r>
      <w:r>
        <w:rPr>
          <w:rFonts w:ascii="Times New Roman" w:hAnsi="Times New Roman" w:cs="Times New Roman" w:eastAsiaTheme="minorEastAsia"/>
          <w:color w:val="000000" w:themeColor="text1"/>
          <w:w w:val="99"/>
          <w:sz w:val="24"/>
          <w:szCs w:val="24"/>
          <w:lang w:bidi="ar-SA"/>
          <w14:textFill>
            <w14:solidFill>
              <w14:schemeClr w14:val="tx1"/>
            </w14:solidFill>
          </w14:textFill>
        </w:rPr>
        <w:t>。类比大庆地区类似地面工程的起尘数据，施工场地起尘浓度约1.15mg/m</w:t>
      </w:r>
      <w:r>
        <w:rPr>
          <w:rFonts w:ascii="Times New Roman" w:hAnsi="Times New Roman" w:cs="Times New Roman" w:eastAsiaTheme="minorEastAsia"/>
          <w:color w:val="000000" w:themeColor="text1"/>
          <w:w w:val="99"/>
          <w:sz w:val="24"/>
          <w:szCs w:val="24"/>
          <w:vertAlign w:val="superscript"/>
          <w:lang w:bidi="ar-SA"/>
          <w14:textFill>
            <w14:solidFill>
              <w14:schemeClr w14:val="tx1"/>
            </w14:solidFill>
          </w14:textFill>
        </w:rPr>
        <w:t>3</w:t>
      </w:r>
      <w:r>
        <w:rPr>
          <w:rFonts w:ascii="Times New Roman" w:hAnsi="Times New Roman" w:cs="Times New Roman" w:eastAsiaTheme="minorEastAsia"/>
          <w:color w:val="000000" w:themeColor="text1"/>
          <w:w w:val="99"/>
          <w:sz w:val="24"/>
          <w:szCs w:val="24"/>
          <w:lang w:bidi="ar-SA"/>
          <w14:textFill>
            <w14:solidFill>
              <w14:schemeClr w14:val="tx1"/>
            </w14:solidFill>
          </w14:textFill>
        </w:rPr>
        <w:t>。</w:t>
      </w:r>
    </w:p>
    <w:p w14:paraId="2EC2E3EE">
      <w:pPr>
        <w:autoSpaceDE/>
        <w:autoSpaceDN/>
        <w:spacing w:line="440" w:lineRule="exact"/>
        <w:ind w:firstLine="474" w:firstLineChars="200"/>
        <w:jc w:val="both"/>
        <w:rPr>
          <w:rFonts w:ascii="Times New Roman" w:hAnsi="Times New Roman" w:cs="Times New Roman" w:eastAsiaTheme="minorEastAsia"/>
          <w:color w:val="000000" w:themeColor="text1"/>
          <w:w w:val="99"/>
          <w:sz w:val="24"/>
          <w:szCs w:val="24"/>
          <w:lang w:bidi="ar-SA"/>
          <w14:textFill>
            <w14:solidFill>
              <w14:schemeClr w14:val="tx1"/>
            </w14:solidFill>
          </w14:textFill>
        </w:rPr>
      </w:pPr>
      <w:r>
        <w:rPr>
          <w:rFonts w:hint="eastAsia"/>
          <w:color w:val="000000" w:themeColor="text1"/>
          <w:w w:val="99"/>
          <w:sz w:val="24"/>
          <w:szCs w:val="24"/>
          <w:lang w:bidi="ar-SA"/>
          <w14:textFill>
            <w14:solidFill>
              <w14:schemeClr w14:val="tx1"/>
            </w14:solidFill>
          </w14:textFill>
        </w:rPr>
        <w:t>②</w:t>
      </w:r>
      <w:r>
        <w:rPr>
          <w:rFonts w:ascii="Times New Roman" w:hAnsi="Times New Roman" w:cs="Times New Roman" w:eastAsiaTheme="minorEastAsia"/>
          <w:color w:val="000000" w:themeColor="text1"/>
          <w:w w:val="99"/>
          <w:sz w:val="24"/>
          <w:szCs w:val="24"/>
          <w:lang w:bidi="ar-SA"/>
          <w14:textFill>
            <w14:solidFill>
              <w14:schemeClr w14:val="tx1"/>
            </w14:solidFill>
          </w14:textFill>
        </w:rPr>
        <w:t>施工车辆排放的尾气</w:t>
      </w:r>
    </w:p>
    <w:p w14:paraId="05AEE4D3">
      <w:pPr>
        <w:autoSpaceDE/>
        <w:autoSpaceDN/>
        <w:spacing w:line="440" w:lineRule="exact"/>
        <w:ind w:firstLine="474" w:firstLineChars="200"/>
        <w:jc w:val="both"/>
        <w:rPr>
          <w:rFonts w:ascii="Times New Roman" w:hAnsi="Times New Roman" w:cs="Times New Roman" w:eastAsiaTheme="minorEastAsia"/>
          <w:color w:val="000000" w:themeColor="text1"/>
          <w:w w:val="99"/>
          <w:sz w:val="24"/>
          <w:szCs w:val="24"/>
          <w:lang w:bidi="ar-SA"/>
          <w14:textFill>
            <w14:solidFill>
              <w14:schemeClr w14:val="tx1"/>
            </w14:solidFill>
          </w14:textFill>
        </w:rPr>
      </w:pPr>
      <w:r>
        <w:rPr>
          <w:rFonts w:ascii="Times New Roman" w:hAnsi="Times New Roman" w:cs="Times New Roman" w:eastAsiaTheme="minorEastAsia"/>
          <w:color w:val="000000" w:themeColor="text1"/>
          <w:w w:val="99"/>
          <w:sz w:val="24"/>
          <w:szCs w:val="24"/>
          <w:lang w:bidi="ar-SA"/>
          <w14:textFill>
            <w14:solidFill>
              <w14:schemeClr w14:val="tx1"/>
            </w14:solidFill>
          </w14:textFill>
        </w:rPr>
        <w:t>在工程施工期间，使用液体燃料的施工机械及运输车辆的发动机排放的尾气在含有NO</w:t>
      </w:r>
      <w:r>
        <w:rPr>
          <w:rFonts w:ascii="Times New Roman" w:hAnsi="Times New Roman" w:cs="Times New Roman" w:eastAsiaTheme="minorEastAsia"/>
          <w:color w:val="000000" w:themeColor="text1"/>
          <w:w w:val="99"/>
          <w:sz w:val="24"/>
          <w:szCs w:val="24"/>
          <w:vertAlign w:val="subscript"/>
          <w:lang w:bidi="ar-SA"/>
          <w14:textFill>
            <w14:solidFill>
              <w14:schemeClr w14:val="tx1"/>
            </w14:solidFill>
          </w14:textFill>
        </w:rPr>
        <w:t>2</w:t>
      </w:r>
      <w:r>
        <w:rPr>
          <w:rFonts w:ascii="Times New Roman" w:hAnsi="Times New Roman" w:cs="Times New Roman" w:eastAsiaTheme="minorEastAsia"/>
          <w:color w:val="000000" w:themeColor="text1"/>
          <w:w w:val="99"/>
          <w:sz w:val="24"/>
          <w:szCs w:val="24"/>
          <w:lang w:bidi="ar-SA"/>
          <w14:textFill>
            <w14:solidFill>
              <w14:schemeClr w14:val="tx1"/>
            </w14:solidFill>
          </w14:textFill>
        </w:rPr>
        <w:t>、CO、HC等污染物，一般情况下，各种污染物的排放量不大，对周围环境的影响较小。如果采用清洁燃料，在车辆及机械设备排气口加装废气过滤器，同时保持车辆及有关设备化油器、空气滤清器等部分设备的清洁，废气污染的影响基本上是可以接受的。</w:t>
      </w:r>
    </w:p>
    <w:p w14:paraId="218D3172">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bidi="ar-SA"/>
          <w14:textFill>
            <w14:solidFill>
              <w14:schemeClr w14:val="tx1"/>
            </w14:solidFill>
          </w14:textFill>
        </w:rPr>
      </w:pPr>
      <w:r>
        <w:rPr>
          <w:rFonts w:hint="eastAsia"/>
          <w:color w:val="000000" w:themeColor="text1"/>
          <w:w w:val="99"/>
          <w:sz w:val="24"/>
          <w:szCs w:val="24"/>
          <w:lang w:bidi="ar-SA"/>
          <w14:textFill>
            <w14:solidFill>
              <w14:schemeClr w14:val="tx1"/>
            </w14:solidFill>
          </w14:textFill>
        </w:rPr>
        <w:t>③</w:t>
      </w:r>
      <w:r>
        <w:rPr>
          <w:rFonts w:ascii="Times New Roman" w:hAnsi="Times New Roman" w:cs="Times New Roman" w:eastAsiaTheme="minorEastAsia"/>
          <w:color w:val="000000" w:themeColor="text1"/>
          <w:w w:val="99"/>
          <w:sz w:val="24"/>
          <w:szCs w:val="24"/>
          <w:lang w:bidi="ar-SA"/>
          <w14:textFill>
            <w14:solidFill>
              <w14:schemeClr w14:val="tx1"/>
            </w14:solidFill>
          </w14:textFill>
        </w:rPr>
        <w:t>焊接烟尘</w:t>
      </w:r>
    </w:p>
    <w:p w14:paraId="77E0BB1D">
      <w:pPr>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焊接烟气本项目集油掺水和注水管线均采用无缝钢管，无缝钢管在焊接过程中，由于高温、电离的作用，使焊条、被焊件材料与空气发生复杂的化学反应(主要是药皮、保护气体、焊芯和空气中的水发生化学反应)，产生焊接烟尘及有毒有害气体，同时伴有电弧光、电磁场等有害因素，影响人体健康。</w:t>
      </w:r>
    </w:p>
    <w:p w14:paraId="4054E00F">
      <w:pPr>
        <w:spacing w:line="440" w:lineRule="exact"/>
        <w:ind w:firstLine="474" w:firstLineChars="200"/>
        <w:jc w:val="both"/>
        <w:rPr>
          <w:rFonts w:ascii="Times New Roman" w:hAnsi="Times New Roman" w:cs="Times New Roman" w:eastAsiaTheme="minorEastAsia"/>
          <w:color w:val="000000" w:themeColor="text1"/>
          <w:w w:val="99"/>
          <w:sz w:val="24"/>
          <w:szCs w:val="24"/>
          <w:lang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根据对《CO</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2</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气体保护焊焊接工艺试验与应用》(石油和化工设备2012年第15卷)和《焊接工作的劳动保护》等资料对各种焊接工艺及焊丝烟尘产生量的调查，每公里电焊条+焊丝为7.8kg，结合《产排污系数手册》相关系数，手工电弧焊焊接烟尘产生量为11~16g/kg焊条(丝)，本次按照15g/kg计算，焊条(丝)用量约为0.182t，则焊接烟尘(主要为金属氧化物)产生量为0.0027t。</w:t>
      </w:r>
    </w:p>
    <w:p w14:paraId="714FE50B">
      <w:pPr>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hint="eastAsia"/>
          <w:color w:val="000000" w:themeColor="text1"/>
          <w:w w:val="99"/>
          <w:sz w:val="24"/>
          <w:szCs w:val="24"/>
          <w:lang w:val="en-US" w:bidi="ar-SA"/>
          <w14:textFill>
            <w14:solidFill>
              <w14:schemeClr w14:val="tx1"/>
            </w14:solidFill>
          </w14:textFill>
        </w:rPr>
        <w:t>④</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非甲烷总烃</w:t>
      </w:r>
    </w:p>
    <w:p w14:paraId="47387BBC">
      <w:pPr>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本项目拉油点</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九合一装置清淤和拆除过程中会有</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残留</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的无组织非甲烷总烃挥发，九合一装置计划拆除前，生产小队提前</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停</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井停产，转移产液，装置内余气已基本自耗，拆除环节</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残留挥发</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的</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非甲烷总烃</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较小，本项目</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仅</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进行定性分析。</w:t>
      </w:r>
    </w:p>
    <w:p w14:paraId="05F54F47">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本项目施工期废气污染源源强核算结果及相关参数一览表见表</w:t>
      </w:r>
      <w:r>
        <w:rPr>
          <w:rFonts w:hint="eastAsia" w:ascii="Times New Roman" w:hAnsi="Times New Roman" w:cs="Times New Roman" w:eastAsiaTheme="minorEastAsia"/>
          <w:color w:val="000000" w:themeColor="text1"/>
          <w:w w:val="99"/>
          <w:kern w:val="2"/>
          <w:sz w:val="24"/>
          <w:szCs w:val="24"/>
          <w:lang w:val="en-US" w:bidi="ar-SA"/>
          <w14:textFill>
            <w14:solidFill>
              <w14:schemeClr w14:val="tx1"/>
            </w14:solidFill>
          </w14:textFill>
        </w:rPr>
        <w:t>3</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.4-1。</w:t>
      </w:r>
    </w:p>
    <w:p w14:paraId="5149A290">
      <w:pPr>
        <w:spacing w:line="440" w:lineRule="exact"/>
        <w:ind w:firstLine="476" w:firstLineChars="200"/>
        <w:rPr>
          <w:rFonts w:ascii="Times New Roman" w:hAnsi="Times New Roman" w:cs="Times New Roman" w:eastAsiaTheme="minorEastAsia"/>
          <w:b/>
          <w:color w:val="000000" w:themeColor="text1"/>
          <w:w w:val="99"/>
          <w:kern w:val="21"/>
          <w:sz w:val="24"/>
          <w14:textFill>
            <w14:solidFill>
              <w14:schemeClr w14:val="tx1"/>
            </w14:solidFill>
          </w14:textFill>
        </w:rPr>
      </w:pPr>
      <w:r>
        <w:rPr>
          <w:rFonts w:ascii="Times New Roman" w:hAnsi="Times New Roman" w:cs="Times New Roman" w:eastAsiaTheme="minorEastAsia"/>
          <w:b/>
          <w:color w:val="000000" w:themeColor="text1"/>
          <w:w w:val="99"/>
          <w:kern w:val="21"/>
          <w:sz w:val="24"/>
          <w14:textFill>
            <w14:solidFill>
              <w14:schemeClr w14:val="tx1"/>
            </w14:solidFill>
          </w14:textFill>
        </w:rPr>
        <w:t>表</w:t>
      </w:r>
      <w:r>
        <w:rPr>
          <w:rFonts w:hint="eastAsia" w:ascii="Times New Roman" w:hAnsi="Times New Roman" w:cs="Times New Roman" w:eastAsiaTheme="minorEastAsia"/>
          <w:b/>
          <w:color w:val="000000" w:themeColor="text1"/>
          <w:w w:val="99"/>
          <w:kern w:val="21"/>
          <w:sz w:val="24"/>
          <w14:textFill>
            <w14:solidFill>
              <w14:schemeClr w14:val="tx1"/>
            </w14:solidFill>
          </w14:textFill>
        </w:rPr>
        <w:t>3</w:t>
      </w:r>
      <w:r>
        <w:rPr>
          <w:rFonts w:ascii="Times New Roman" w:hAnsi="Times New Roman" w:cs="Times New Roman" w:eastAsiaTheme="minorEastAsia"/>
          <w:b/>
          <w:color w:val="000000" w:themeColor="text1"/>
          <w:w w:val="99"/>
          <w:kern w:val="21"/>
          <w:sz w:val="24"/>
          <w14:textFill>
            <w14:solidFill>
              <w14:schemeClr w14:val="tx1"/>
            </w14:solidFill>
          </w14:textFill>
        </w:rPr>
        <w:t>.4-1</w:t>
      </w:r>
      <w:r>
        <w:rPr>
          <w:rFonts w:ascii="Times New Roman" w:hAnsi="Times New Roman" w:cs="Times New Roman" w:eastAsiaTheme="minorEastAsia"/>
          <w:b/>
          <w:color w:val="000000" w:themeColor="text1"/>
          <w:w w:val="99"/>
          <w14:textFill>
            <w14:solidFill>
              <w14:schemeClr w14:val="tx1"/>
            </w14:solidFill>
          </w14:textFill>
        </w:rPr>
        <w:t xml:space="preserve">    </w:t>
      </w:r>
      <w:r>
        <w:rPr>
          <w:rFonts w:ascii="Times New Roman" w:hAnsi="Times New Roman" w:cs="Times New Roman" w:eastAsiaTheme="minorEastAsia"/>
          <w:b/>
          <w:color w:val="000000" w:themeColor="text1"/>
          <w:w w:val="99"/>
          <w:lang w:val="en-US"/>
          <w14:textFill>
            <w14:solidFill>
              <w14:schemeClr w14:val="tx1"/>
            </w14:solidFill>
          </w14:textFill>
        </w:rPr>
        <w:t>施工期</w:t>
      </w:r>
      <w:r>
        <w:rPr>
          <w:rFonts w:ascii="Times New Roman" w:hAnsi="Times New Roman" w:cs="Times New Roman" w:eastAsiaTheme="minorEastAsia"/>
          <w:b/>
          <w:color w:val="000000" w:themeColor="text1"/>
          <w:w w:val="99"/>
          <w:kern w:val="21"/>
          <w:sz w:val="24"/>
          <w14:textFill>
            <w14:solidFill>
              <w14:schemeClr w14:val="tx1"/>
            </w14:solidFill>
          </w14:textFill>
        </w:rPr>
        <w:t>废气污染源源强核算结果及相关参数一览表</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8"/>
        <w:gridCol w:w="431"/>
        <w:gridCol w:w="660"/>
        <w:gridCol w:w="656"/>
        <w:gridCol w:w="580"/>
        <w:gridCol w:w="697"/>
        <w:gridCol w:w="786"/>
        <w:gridCol w:w="689"/>
        <w:gridCol w:w="500"/>
        <w:gridCol w:w="609"/>
        <w:gridCol w:w="431"/>
        <w:gridCol w:w="699"/>
        <w:gridCol w:w="788"/>
        <w:gridCol w:w="758"/>
        <w:gridCol w:w="578"/>
      </w:tblGrid>
      <w:tr w14:paraId="0F842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1" w:type="pct"/>
            <w:vMerge w:val="restart"/>
            <w:vAlign w:val="center"/>
          </w:tcPr>
          <w:p w14:paraId="10EE5A5D">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工序</w:t>
            </w:r>
          </w:p>
        </w:tc>
        <w:tc>
          <w:tcPr>
            <w:tcW w:w="232" w:type="pct"/>
            <w:vMerge w:val="restart"/>
            <w:vAlign w:val="center"/>
          </w:tcPr>
          <w:p w14:paraId="230D526A">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装置</w:t>
            </w:r>
          </w:p>
        </w:tc>
        <w:tc>
          <w:tcPr>
            <w:tcW w:w="355" w:type="pct"/>
            <w:vMerge w:val="restart"/>
            <w:vAlign w:val="center"/>
          </w:tcPr>
          <w:p w14:paraId="511F81ED">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污染源</w:t>
            </w:r>
          </w:p>
        </w:tc>
        <w:tc>
          <w:tcPr>
            <w:tcW w:w="353" w:type="pct"/>
            <w:vMerge w:val="restart"/>
            <w:vAlign w:val="center"/>
          </w:tcPr>
          <w:p w14:paraId="40C83DA2">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污染物</w:t>
            </w:r>
          </w:p>
        </w:tc>
        <w:tc>
          <w:tcPr>
            <w:tcW w:w="1481" w:type="pct"/>
            <w:gridSpan w:val="4"/>
            <w:vAlign w:val="center"/>
          </w:tcPr>
          <w:p w14:paraId="5CF15634">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污染物产生</w:t>
            </w:r>
          </w:p>
        </w:tc>
        <w:tc>
          <w:tcPr>
            <w:tcW w:w="596" w:type="pct"/>
            <w:gridSpan w:val="2"/>
            <w:vAlign w:val="center"/>
          </w:tcPr>
          <w:p w14:paraId="3184E760">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治理措施</w:t>
            </w:r>
          </w:p>
        </w:tc>
        <w:tc>
          <w:tcPr>
            <w:tcW w:w="1440" w:type="pct"/>
            <w:gridSpan w:val="4"/>
            <w:vAlign w:val="center"/>
          </w:tcPr>
          <w:p w14:paraId="52AD2996">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污染物排放</w:t>
            </w:r>
          </w:p>
        </w:tc>
        <w:tc>
          <w:tcPr>
            <w:tcW w:w="311" w:type="pct"/>
            <w:vMerge w:val="restart"/>
            <w:vAlign w:val="center"/>
          </w:tcPr>
          <w:p w14:paraId="582145EB">
            <w:pPr>
              <w:keepNext/>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排放时间</w:t>
            </w:r>
          </w:p>
        </w:tc>
      </w:tr>
      <w:tr w14:paraId="3D956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1" w:type="pct"/>
            <w:vMerge w:val="continue"/>
            <w:vAlign w:val="center"/>
          </w:tcPr>
          <w:p w14:paraId="5CDECF3E">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p>
        </w:tc>
        <w:tc>
          <w:tcPr>
            <w:tcW w:w="232" w:type="pct"/>
            <w:vMerge w:val="continue"/>
            <w:vAlign w:val="center"/>
          </w:tcPr>
          <w:p w14:paraId="6AC16453">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p>
        </w:tc>
        <w:tc>
          <w:tcPr>
            <w:tcW w:w="355" w:type="pct"/>
            <w:vMerge w:val="continue"/>
            <w:vAlign w:val="center"/>
          </w:tcPr>
          <w:p w14:paraId="1832A616">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p>
        </w:tc>
        <w:tc>
          <w:tcPr>
            <w:tcW w:w="353" w:type="pct"/>
            <w:vMerge w:val="continue"/>
            <w:vAlign w:val="center"/>
          </w:tcPr>
          <w:p w14:paraId="6A1A5CFA">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p>
        </w:tc>
        <w:tc>
          <w:tcPr>
            <w:tcW w:w="312" w:type="pct"/>
            <w:vAlign w:val="center"/>
          </w:tcPr>
          <w:p w14:paraId="106DCB80">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核算方法</w:t>
            </w:r>
          </w:p>
        </w:tc>
        <w:tc>
          <w:tcPr>
            <w:tcW w:w="375" w:type="pct"/>
            <w:vAlign w:val="center"/>
          </w:tcPr>
          <w:p w14:paraId="5F249775">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废气产生量m</w:t>
            </w:r>
            <w:r>
              <w:rPr>
                <w:rFonts w:ascii="Times New Roman" w:hAnsi="Times New Roman" w:cs="Times New Roman" w:eastAsiaTheme="minorEastAsia"/>
                <w:color w:val="000000" w:themeColor="text1"/>
                <w:w w:val="99"/>
                <w:szCs w:val="21"/>
                <w:vertAlign w:val="superscript"/>
                <w14:textFill>
                  <w14:solidFill>
                    <w14:schemeClr w14:val="tx1"/>
                  </w14:solidFill>
                </w14:textFill>
              </w:rPr>
              <w:t>3</w:t>
            </w:r>
          </w:p>
        </w:tc>
        <w:tc>
          <w:tcPr>
            <w:tcW w:w="423" w:type="pct"/>
            <w:vAlign w:val="center"/>
          </w:tcPr>
          <w:p w14:paraId="19D358EB">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产生</w:t>
            </w:r>
          </w:p>
          <w:p w14:paraId="5C06FB0C">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浓度mg/m</w:t>
            </w:r>
            <w:r>
              <w:rPr>
                <w:rFonts w:ascii="Times New Roman" w:hAnsi="Times New Roman" w:cs="Times New Roman" w:eastAsiaTheme="minorEastAsia"/>
                <w:color w:val="000000" w:themeColor="text1"/>
                <w:w w:val="99"/>
                <w:szCs w:val="21"/>
                <w:vertAlign w:val="superscript"/>
                <w14:textFill>
                  <w14:solidFill>
                    <w14:schemeClr w14:val="tx1"/>
                  </w14:solidFill>
                </w14:textFill>
              </w:rPr>
              <w:t>3</w:t>
            </w:r>
          </w:p>
        </w:tc>
        <w:tc>
          <w:tcPr>
            <w:tcW w:w="370" w:type="pct"/>
            <w:vAlign w:val="center"/>
          </w:tcPr>
          <w:p w14:paraId="12D9E6BC">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产生量t</w:t>
            </w:r>
          </w:p>
        </w:tc>
        <w:tc>
          <w:tcPr>
            <w:tcW w:w="269" w:type="pct"/>
            <w:vAlign w:val="center"/>
          </w:tcPr>
          <w:p w14:paraId="4C7578F0">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工艺</w:t>
            </w:r>
          </w:p>
        </w:tc>
        <w:tc>
          <w:tcPr>
            <w:tcW w:w="328" w:type="pct"/>
            <w:vAlign w:val="center"/>
          </w:tcPr>
          <w:p w14:paraId="51AD6355">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效率%</w:t>
            </w:r>
          </w:p>
        </w:tc>
        <w:tc>
          <w:tcPr>
            <w:tcW w:w="232" w:type="pct"/>
            <w:vAlign w:val="center"/>
          </w:tcPr>
          <w:p w14:paraId="03C88D0C">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核算方法</w:t>
            </w:r>
          </w:p>
        </w:tc>
        <w:tc>
          <w:tcPr>
            <w:tcW w:w="376" w:type="pct"/>
            <w:vAlign w:val="center"/>
          </w:tcPr>
          <w:p w14:paraId="3FD7BEAE">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废气排放量</w:t>
            </w:r>
          </w:p>
        </w:tc>
        <w:tc>
          <w:tcPr>
            <w:tcW w:w="424" w:type="pct"/>
            <w:vAlign w:val="center"/>
          </w:tcPr>
          <w:p w14:paraId="52BAF153">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排放</w:t>
            </w:r>
          </w:p>
          <w:p w14:paraId="68C8EE5E">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浓度mg/m</w:t>
            </w:r>
            <w:r>
              <w:rPr>
                <w:rFonts w:ascii="Times New Roman" w:hAnsi="Times New Roman" w:cs="Times New Roman" w:eastAsiaTheme="minorEastAsia"/>
                <w:color w:val="000000" w:themeColor="text1"/>
                <w:w w:val="99"/>
                <w:szCs w:val="21"/>
                <w:vertAlign w:val="superscript"/>
                <w14:textFill>
                  <w14:solidFill>
                    <w14:schemeClr w14:val="tx1"/>
                  </w14:solidFill>
                </w14:textFill>
              </w:rPr>
              <w:t>3</w:t>
            </w:r>
          </w:p>
        </w:tc>
        <w:tc>
          <w:tcPr>
            <w:tcW w:w="408" w:type="pct"/>
            <w:vAlign w:val="center"/>
          </w:tcPr>
          <w:p w14:paraId="7F6D7798">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排放量</w:t>
            </w:r>
          </w:p>
          <w:p w14:paraId="2591EE31">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t</w:t>
            </w:r>
          </w:p>
        </w:tc>
        <w:tc>
          <w:tcPr>
            <w:tcW w:w="311" w:type="pct"/>
            <w:vMerge w:val="continue"/>
            <w:vAlign w:val="center"/>
          </w:tcPr>
          <w:p w14:paraId="6A6B9DE6">
            <w:pPr>
              <w:keepNext/>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p>
        </w:tc>
      </w:tr>
      <w:tr w14:paraId="13B94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1" w:type="pct"/>
            <w:vMerge w:val="restart"/>
            <w:vAlign w:val="center"/>
          </w:tcPr>
          <w:p w14:paraId="26B97ADB">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管线施工</w:t>
            </w:r>
          </w:p>
        </w:tc>
        <w:tc>
          <w:tcPr>
            <w:tcW w:w="232" w:type="pct"/>
            <w:vAlign w:val="center"/>
          </w:tcPr>
          <w:p w14:paraId="34AAE772">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场地</w:t>
            </w:r>
          </w:p>
        </w:tc>
        <w:tc>
          <w:tcPr>
            <w:tcW w:w="355" w:type="pct"/>
            <w:vAlign w:val="center"/>
          </w:tcPr>
          <w:p w14:paraId="1B7DC99F">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施工扬尘</w:t>
            </w:r>
          </w:p>
        </w:tc>
        <w:tc>
          <w:tcPr>
            <w:tcW w:w="353" w:type="pct"/>
            <w:vAlign w:val="center"/>
          </w:tcPr>
          <w:p w14:paraId="43AC9DFF">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颗粒物</w:t>
            </w:r>
          </w:p>
        </w:tc>
        <w:tc>
          <w:tcPr>
            <w:tcW w:w="312" w:type="pct"/>
            <w:vAlign w:val="center"/>
          </w:tcPr>
          <w:p w14:paraId="5036132E">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类比法</w:t>
            </w:r>
          </w:p>
        </w:tc>
        <w:tc>
          <w:tcPr>
            <w:tcW w:w="375" w:type="pct"/>
            <w:vAlign w:val="center"/>
          </w:tcPr>
          <w:p w14:paraId="458AB9DB">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w:t>
            </w:r>
          </w:p>
        </w:tc>
        <w:tc>
          <w:tcPr>
            <w:tcW w:w="423" w:type="pct"/>
            <w:vAlign w:val="center"/>
          </w:tcPr>
          <w:p w14:paraId="7608E0D8">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w:t>
            </w:r>
          </w:p>
        </w:tc>
        <w:tc>
          <w:tcPr>
            <w:tcW w:w="370" w:type="pct"/>
            <w:vAlign w:val="center"/>
          </w:tcPr>
          <w:p w14:paraId="4DA6B9F3">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bCs/>
                <w:color w:val="000000" w:themeColor="text1"/>
                <w:w w:val="99"/>
                <w:szCs w:val="21"/>
                <w:lang w:val="en-US"/>
                <w14:textFill>
                  <w14:solidFill>
                    <w14:schemeClr w14:val="tx1"/>
                  </w14:solidFill>
                </w14:textFill>
              </w:rPr>
              <w:t>5.97</w:t>
            </w:r>
          </w:p>
        </w:tc>
        <w:tc>
          <w:tcPr>
            <w:tcW w:w="596" w:type="pct"/>
            <w:gridSpan w:val="2"/>
            <w:vAlign w:val="center"/>
          </w:tcPr>
          <w:p w14:paraId="1038864F">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洒水抑尘</w:t>
            </w:r>
          </w:p>
        </w:tc>
        <w:tc>
          <w:tcPr>
            <w:tcW w:w="232" w:type="pct"/>
            <w:vAlign w:val="center"/>
          </w:tcPr>
          <w:p w14:paraId="63852ECF">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类比法</w:t>
            </w:r>
          </w:p>
        </w:tc>
        <w:tc>
          <w:tcPr>
            <w:tcW w:w="376" w:type="pct"/>
            <w:vAlign w:val="center"/>
          </w:tcPr>
          <w:p w14:paraId="07619830">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w:t>
            </w:r>
          </w:p>
        </w:tc>
        <w:tc>
          <w:tcPr>
            <w:tcW w:w="424" w:type="pct"/>
            <w:vAlign w:val="center"/>
          </w:tcPr>
          <w:p w14:paraId="46182CDF">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w:t>
            </w:r>
          </w:p>
        </w:tc>
        <w:tc>
          <w:tcPr>
            <w:tcW w:w="408" w:type="pct"/>
            <w:vAlign w:val="center"/>
          </w:tcPr>
          <w:p w14:paraId="287E5323">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bCs/>
                <w:color w:val="000000" w:themeColor="text1"/>
                <w:w w:val="99"/>
                <w:szCs w:val="21"/>
                <w:lang w:val="en-US"/>
                <w14:textFill>
                  <w14:solidFill>
                    <w14:schemeClr w14:val="tx1"/>
                  </w14:solidFill>
                </w14:textFill>
              </w:rPr>
              <w:t>5.97</w:t>
            </w:r>
          </w:p>
        </w:tc>
        <w:tc>
          <w:tcPr>
            <w:tcW w:w="311" w:type="pct"/>
            <w:vAlign w:val="center"/>
          </w:tcPr>
          <w:p w14:paraId="11481D51">
            <w:pPr>
              <w:keepNext/>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施工</w:t>
            </w:r>
          </w:p>
          <w:p w14:paraId="1699575D">
            <w:pPr>
              <w:keepNext/>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期</w:t>
            </w:r>
          </w:p>
        </w:tc>
      </w:tr>
      <w:tr w14:paraId="4389E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1" w:type="pct"/>
            <w:vMerge w:val="continue"/>
            <w:vAlign w:val="center"/>
          </w:tcPr>
          <w:p w14:paraId="7437AF90">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p>
        </w:tc>
        <w:tc>
          <w:tcPr>
            <w:tcW w:w="232" w:type="pct"/>
            <w:vAlign w:val="center"/>
          </w:tcPr>
          <w:p w14:paraId="17571D54">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施工场地</w:t>
            </w:r>
          </w:p>
        </w:tc>
        <w:tc>
          <w:tcPr>
            <w:tcW w:w="355" w:type="pct"/>
            <w:vAlign w:val="center"/>
          </w:tcPr>
          <w:p w14:paraId="20C80972">
            <w:pPr>
              <w:adjustRightInd w:val="0"/>
              <w:spacing w:line="360" w:lineRule="exact"/>
              <w:jc w:val="center"/>
              <w:rPr>
                <w:rFonts w:ascii="Times New Roman" w:hAnsi="Times New Roman" w:cs="Times New Roman" w:eastAsiaTheme="minorEastAsia"/>
                <w:color w:val="000000" w:themeColor="text1"/>
                <w:w w:val="99"/>
                <w:szCs w:val="21"/>
                <w:lang w:val="en-US"/>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CO</w:t>
            </w:r>
          </w:p>
          <w:p w14:paraId="351F2C03">
            <w:pPr>
              <w:adjustRightInd w:val="0"/>
              <w:spacing w:line="360" w:lineRule="exact"/>
              <w:jc w:val="center"/>
              <w:rPr>
                <w:rFonts w:ascii="Times New Roman" w:hAnsi="Times New Roman" w:cs="Times New Roman" w:eastAsiaTheme="minorEastAsia"/>
                <w:color w:val="000000" w:themeColor="text1"/>
                <w:w w:val="99"/>
                <w:szCs w:val="21"/>
                <w:vertAlign w:val="subscript"/>
                <w:lang w:val="en-US"/>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CO</w:t>
            </w:r>
            <w:r>
              <w:rPr>
                <w:rFonts w:ascii="Times New Roman" w:hAnsi="Times New Roman" w:cs="Times New Roman" w:eastAsiaTheme="minorEastAsia"/>
                <w:color w:val="000000" w:themeColor="text1"/>
                <w:w w:val="99"/>
                <w:szCs w:val="21"/>
                <w:vertAlign w:val="subscript"/>
                <w:lang w:val="en-US"/>
                <w14:textFill>
                  <w14:solidFill>
                    <w14:schemeClr w14:val="tx1"/>
                  </w14:solidFill>
                </w14:textFill>
              </w:rPr>
              <w:t>2</w:t>
            </w:r>
          </w:p>
          <w:p w14:paraId="07E84184">
            <w:pPr>
              <w:adjustRightInd w:val="0"/>
              <w:spacing w:line="360" w:lineRule="exact"/>
              <w:jc w:val="center"/>
              <w:rPr>
                <w:rFonts w:ascii="Times New Roman" w:hAnsi="Times New Roman" w:cs="Times New Roman" w:eastAsiaTheme="minorEastAsia"/>
                <w:color w:val="000000" w:themeColor="text1"/>
                <w:w w:val="99"/>
                <w:szCs w:val="21"/>
                <w:lang w:val="en-US"/>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O</w:t>
            </w:r>
            <w:r>
              <w:rPr>
                <w:rFonts w:ascii="Times New Roman" w:hAnsi="Times New Roman" w:cs="Times New Roman" w:eastAsiaTheme="minorEastAsia"/>
                <w:color w:val="000000" w:themeColor="text1"/>
                <w:w w:val="99"/>
                <w:szCs w:val="21"/>
                <w:vertAlign w:val="subscript"/>
                <w:lang w:val="en-US"/>
                <w14:textFill>
                  <w14:solidFill>
                    <w14:schemeClr w14:val="tx1"/>
                  </w14:solidFill>
                </w14:textFill>
              </w:rPr>
              <w:t>3</w:t>
            </w:r>
          </w:p>
          <w:p w14:paraId="742610EF">
            <w:pPr>
              <w:adjustRightInd w:val="0"/>
              <w:spacing w:line="360" w:lineRule="exact"/>
              <w:jc w:val="center"/>
              <w:rPr>
                <w:rFonts w:ascii="Times New Roman" w:hAnsi="Times New Roman" w:cs="Times New Roman" w:eastAsiaTheme="minorEastAsia"/>
                <w:color w:val="000000" w:themeColor="text1"/>
                <w:w w:val="99"/>
                <w:szCs w:val="21"/>
                <w:lang w:val="en-US"/>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NO</w:t>
            </w:r>
            <w:r>
              <w:rPr>
                <w:rFonts w:ascii="Times New Roman" w:hAnsi="Times New Roman" w:cs="Times New Roman" w:eastAsiaTheme="minorEastAsia"/>
                <w:color w:val="000000" w:themeColor="text1"/>
                <w:w w:val="99"/>
                <w:szCs w:val="21"/>
                <w:vertAlign w:val="subscript"/>
                <w:lang w:val="en-US"/>
                <w14:textFill>
                  <w14:solidFill>
                    <w14:schemeClr w14:val="tx1"/>
                  </w14:solidFill>
                </w14:textFill>
              </w:rPr>
              <w:t>x</w:t>
            </w:r>
          </w:p>
          <w:p w14:paraId="040CD64B">
            <w:pPr>
              <w:adjustRightInd w:val="0"/>
              <w:spacing w:line="360" w:lineRule="exact"/>
              <w:jc w:val="center"/>
              <w:rPr>
                <w:rFonts w:ascii="Times New Roman" w:hAnsi="Times New Roman" w:cs="Times New Roman" w:eastAsiaTheme="minorEastAsia"/>
                <w:color w:val="000000" w:themeColor="text1"/>
                <w:w w:val="99"/>
                <w:szCs w:val="21"/>
                <w:lang w:val="en-US"/>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CH</w:t>
            </w:r>
            <w:r>
              <w:rPr>
                <w:rFonts w:ascii="Times New Roman" w:hAnsi="Times New Roman" w:cs="Times New Roman" w:eastAsiaTheme="minorEastAsia"/>
                <w:color w:val="000000" w:themeColor="text1"/>
                <w:w w:val="99"/>
                <w:szCs w:val="21"/>
                <w:vertAlign w:val="subscript"/>
                <w:lang w:val="en-US"/>
                <w14:textFill>
                  <w14:solidFill>
                    <w14:schemeClr w14:val="tx1"/>
                  </w14:solidFill>
                </w14:textFill>
              </w:rPr>
              <w:t>4</w:t>
            </w:r>
          </w:p>
        </w:tc>
        <w:tc>
          <w:tcPr>
            <w:tcW w:w="353" w:type="pct"/>
            <w:vAlign w:val="center"/>
          </w:tcPr>
          <w:p w14:paraId="7B85A640">
            <w:pPr>
              <w:adjustRightInd w:val="0"/>
              <w:spacing w:line="360" w:lineRule="exact"/>
              <w:jc w:val="center"/>
              <w:rPr>
                <w:rFonts w:ascii="Times New Roman" w:hAnsi="Times New Roman" w:cs="Times New Roman" w:eastAsiaTheme="minorEastAsia"/>
                <w:color w:val="000000" w:themeColor="text1"/>
                <w:w w:val="99"/>
                <w:szCs w:val="21"/>
                <w:lang w:val="en-US"/>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颗粒物</w:t>
            </w:r>
          </w:p>
        </w:tc>
        <w:tc>
          <w:tcPr>
            <w:tcW w:w="312" w:type="pct"/>
            <w:vAlign w:val="center"/>
          </w:tcPr>
          <w:p w14:paraId="5147EF7E">
            <w:pPr>
              <w:adjustRightInd w:val="0"/>
              <w:spacing w:line="360" w:lineRule="exact"/>
              <w:jc w:val="center"/>
              <w:rPr>
                <w:rFonts w:ascii="Times New Roman" w:hAnsi="Times New Roman" w:cs="Times New Roman" w:eastAsiaTheme="minorEastAsia"/>
                <w:color w:val="000000" w:themeColor="text1"/>
                <w:w w:val="99"/>
                <w:szCs w:val="21"/>
                <w:lang w:val="en-US"/>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类比法</w:t>
            </w:r>
          </w:p>
        </w:tc>
        <w:tc>
          <w:tcPr>
            <w:tcW w:w="375" w:type="pct"/>
            <w:vAlign w:val="center"/>
          </w:tcPr>
          <w:p w14:paraId="4FBB938F">
            <w:pPr>
              <w:adjustRightInd w:val="0"/>
              <w:spacing w:line="360" w:lineRule="exact"/>
              <w:jc w:val="center"/>
              <w:rPr>
                <w:rFonts w:ascii="Times New Roman" w:hAnsi="Times New Roman" w:cs="Times New Roman" w:eastAsiaTheme="minorEastAsia"/>
                <w:color w:val="000000" w:themeColor="text1"/>
                <w:w w:val="99"/>
                <w:szCs w:val="21"/>
                <w:lang w:val="en-US"/>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w:t>
            </w:r>
          </w:p>
        </w:tc>
        <w:tc>
          <w:tcPr>
            <w:tcW w:w="423" w:type="pct"/>
            <w:vAlign w:val="center"/>
          </w:tcPr>
          <w:p w14:paraId="6A18A62B">
            <w:pPr>
              <w:adjustRightInd w:val="0"/>
              <w:spacing w:line="360" w:lineRule="exact"/>
              <w:jc w:val="center"/>
              <w:rPr>
                <w:rFonts w:ascii="Times New Roman" w:hAnsi="Times New Roman" w:cs="Times New Roman" w:eastAsiaTheme="minorEastAsia"/>
                <w:color w:val="000000" w:themeColor="text1"/>
                <w:w w:val="99"/>
                <w:szCs w:val="21"/>
                <w:lang w:val="en-US"/>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w:t>
            </w:r>
          </w:p>
        </w:tc>
        <w:tc>
          <w:tcPr>
            <w:tcW w:w="370" w:type="pct"/>
            <w:vAlign w:val="center"/>
          </w:tcPr>
          <w:p w14:paraId="4EABBBED">
            <w:pPr>
              <w:adjustRightInd w:val="0"/>
              <w:spacing w:line="360" w:lineRule="exact"/>
              <w:jc w:val="center"/>
              <w:rPr>
                <w:rFonts w:ascii="Times New Roman" w:hAnsi="Times New Roman" w:cs="Times New Roman" w:eastAsiaTheme="minorEastAsia"/>
                <w:bCs/>
                <w:color w:val="000000" w:themeColor="text1"/>
                <w:w w:val="99"/>
                <w:szCs w:val="21"/>
                <w:lang w:val="en-US"/>
                <w14:textFill>
                  <w14:solidFill>
                    <w14:schemeClr w14:val="tx1"/>
                  </w14:solidFill>
                </w14:textFill>
              </w:rPr>
            </w:pPr>
            <w:r>
              <w:rPr>
                <w:rFonts w:ascii="Times New Roman" w:hAnsi="Times New Roman" w:cs="Times New Roman" w:eastAsiaTheme="minorEastAsia"/>
                <w:bCs/>
                <w:color w:val="000000" w:themeColor="text1"/>
                <w:w w:val="99"/>
                <w:szCs w:val="21"/>
                <w:lang w:val="en-US"/>
                <w14:textFill>
                  <w14:solidFill>
                    <w14:schemeClr w14:val="tx1"/>
                  </w14:solidFill>
                </w14:textFill>
              </w:rPr>
              <w:t>0.0027</w:t>
            </w:r>
          </w:p>
        </w:tc>
        <w:tc>
          <w:tcPr>
            <w:tcW w:w="596" w:type="pct"/>
            <w:gridSpan w:val="2"/>
            <w:vAlign w:val="center"/>
          </w:tcPr>
          <w:p w14:paraId="2D555A0D">
            <w:pPr>
              <w:adjustRightInd w:val="0"/>
              <w:spacing w:line="360" w:lineRule="exact"/>
              <w:jc w:val="center"/>
              <w:rPr>
                <w:rFonts w:ascii="Times New Roman" w:hAnsi="Times New Roman" w:cs="Times New Roman" w:eastAsiaTheme="minorEastAsia"/>
                <w:color w:val="000000" w:themeColor="text1"/>
                <w:w w:val="99"/>
                <w:szCs w:val="21"/>
                <w:lang w:val="en-US"/>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w:t>
            </w:r>
          </w:p>
        </w:tc>
        <w:tc>
          <w:tcPr>
            <w:tcW w:w="232" w:type="pct"/>
            <w:vAlign w:val="center"/>
          </w:tcPr>
          <w:p w14:paraId="3E6C6E3A">
            <w:pPr>
              <w:adjustRightInd w:val="0"/>
              <w:spacing w:line="360" w:lineRule="exact"/>
              <w:jc w:val="center"/>
              <w:rPr>
                <w:rFonts w:ascii="Times New Roman" w:hAnsi="Times New Roman" w:cs="Times New Roman" w:eastAsiaTheme="minorEastAsia"/>
                <w:color w:val="000000" w:themeColor="text1"/>
                <w:w w:val="99"/>
                <w:szCs w:val="21"/>
                <w:lang w:val="en-US"/>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类比法</w:t>
            </w:r>
          </w:p>
        </w:tc>
        <w:tc>
          <w:tcPr>
            <w:tcW w:w="376" w:type="pct"/>
            <w:vAlign w:val="center"/>
          </w:tcPr>
          <w:p w14:paraId="60CD882D">
            <w:pPr>
              <w:adjustRightInd w:val="0"/>
              <w:spacing w:line="360" w:lineRule="exact"/>
              <w:jc w:val="center"/>
              <w:rPr>
                <w:rFonts w:ascii="Times New Roman" w:hAnsi="Times New Roman" w:cs="Times New Roman" w:eastAsiaTheme="minorEastAsia"/>
                <w:color w:val="000000" w:themeColor="text1"/>
                <w:w w:val="99"/>
                <w:szCs w:val="21"/>
                <w:lang w:val="en-US"/>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w:t>
            </w:r>
          </w:p>
        </w:tc>
        <w:tc>
          <w:tcPr>
            <w:tcW w:w="424" w:type="pct"/>
            <w:vAlign w:val="center"/>
          </w:tcPr>
          <w:p w14:paraId="47EE0FC6">
            <w:pPr>
              <w:adjustRightInd w:val="0"/>
              <w:spacing w:line="360" w:lineRule="exact"/>
              <w:jc w:val="center"/>
              <w:rPr>
                <w:rFonts w:ascii="Times New Roman" w:hAnsi="Times New Roman" w:cs="Times New Roman" w:eastAsiaTheme="minorEastAsia"/>
                <w:color w:val="000000" w:themeColor="text1"/>
                <w:w w:val="99"/>
                <w:szCs w:val="21"/>
                <w:lang w:val="en-US"/>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w:t>
            </w:r>
          </w:p>
        </w:tc>
        <w:tc>
          <w:tcPr>
            <w:tcW w:w="408" w:type="pct"/>
            <w:vAlign w:val="center"/>
          </w:tcPr>
          <w:p w14:paraId="12DFE836">
            <w:pPr>
              <w:adjustRightInd w:val="0"/>
              <w:spacing w:line="360" w:lineRule="exact"/>
              <w:jc w:val="center"/>
              <w:rPr>
                <w:rFonts w:ascii="Times New Roman" w:hAnsi="Times New Roman" w:cs="Times New Roman" w:eastAsiaTheme="minorEastAsia"/>
                <w:bCs/>
                <w:color w:val="000000" w:themeColor="text1"/>
                <w:w w:val="99"/>
                <w:szCs w:val="21"/>
                <w:lang w:val="en-US"/>
                <w14:textFill>
                  <w14:solidFill>
                    <w14:schemeClr w14:val="tx1"/>
                  </w14:solidFill>
                </w14:textFill>
              </w:rPr>
            </w:pPr>
            <w:r>
              <w:rPr>
                <w:rFonts w:ascii="Times New Roman" w:hAnsi="Times New Roman" w:cs="Times New Roman" w:eastAsiaTheme="minorEastAsia"/>
                <w:bCs/>
                <w:color w:val="000000" w:themeColor="text1"/>
                <w:w w:val="99"/>
                <w:szCs w:val="21"/>
                <w:lang w:val="en-US"/>
                <w14:textFill>
                  <w14:solidFill>
                    <w14:schemeClr w14:val="tx1"/>
                  </w14:solidFill>
                </w14:textFill>
              </w:rPr>
              <w:t>0.0027</w:t>
            </w:r>
          </w:p>
        </w:tc>
        <w:tc>
          <w:tcPr>
            <w:tcW w:w="311" w:type="pct"/>
            <w:vAlign w:val="center"/>
          </w:tcPr>
          <w:p w14:paraId="3200A2B1">
            <w:pPr>
              <w:keepNext/>
              <w:adjustRightInd w:val="0"/>
              <w:spacing w:line="360" w:lineRule="exact"/>
              <w:jc w:val="center"/>
              <w:rPr>
                <w:rFonts w:ascii="Times New Roman" w:hAnsi="Times New Roman" w:cs="Times New Roman" w:eastAsiaTheme="minorEastAsia"/>
                <w:color w:val="000000" w:themeColor="text1"/>
                <w:w w:val="99"/>
                <w:szCs w:val="21"/>
                <w:lang w:val="en-US"/>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施工</w:t>
            </w:r>
          </w:p>
          <w:p w14:paraId="32DC2BD2">
            <w:pPr>
              <w:keepNext/>
              <w:adjustRightInd w:val="0"/>
              <w:spacing w:line="360" w:lineRule="exact"/>
              <w:jc w:val="center"/>
              <w:rPr>
                <w:rFonts w:ascii="Times New Roman" w:hAnsi="Times New Roman" w:cs="Times New Roman" w:eastAsiaTheme="minorEastAsia"/>
                <w:color w:val="000000" w:themeColor="text1"/>
                <w:w w:val="99"/>
                <w:szCs w:val="21"/>
                <w:lang w:val="en-US"/>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期</w:t>
            </w:r>
          </w:p>
        </w:tc>
      </w:tr>
      <w:tr w14:paraId="03502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1" w:type="pct"/>
            <w:vMerge w:val="continue"/>
            <w:vAlign w:val="center"/>
          </w:tcPr>
          <w:p w14:paraId="450C3CB6">
            <w:pPr>
              <w:adjustRightInd w:val="0"/>
              <w:spacing w:line="360" w:lineRule="exact"/>
              <w:jc w:val="center"/>
              <w:rPr>
                <w:rFonts w:ascii="Times New Roman" w:hAnsi="Times New Roman" w:cs="Times New Roman" w:eastAsiaTheme="minorEastAsia"/>
                <w:color w:val="000000" w:themeColor="text1"/>
                <w:w w:val="99"/>
                <w:szCs w:val="21"/>
                <w:lang w:val="en-US"/>
                <w14:textFill>
                  <w14:solidFill>
                    <w14:schemeClr w14:val="tx1"/>
                  </w14:solidFill>
                </w14:textFill>
              </w:rPr>
            </w:pPr>
          </w:p>
        </w:tc>
        <w:tc>
          <w:tcPr>
            <w:tcW w:w="232" w:type="pct"/>
            <w:vAlign w:val="center"/>
          </w:tcPr>
          <w:p w14:paraId="0181DC00">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车辆</w:t>
            </w:r>
          </w:p>
        </w:tc>
        <w:tc>
          <w:tcPr>
            <w:tcW w:w="355" w:type="pct"/>
            <w:vAlign w:val="center"/>
          </w:tcPr>
          <w:p w14:paraId="6DE1A338">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车辆尾气</w:t>
            </w:r>
          </w:p>
        </w:tc>
        <w:tc>
          <w:tcPr>
            <w:tcW w:w="353" w:type="pct"/>
            <w:vAlign w:val="center"/>
          </w:tcPr>
          <w:p w14:paraId="043F9688">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SO</w:t>
            </w:r>
            <w:r>
              <w:rPr>
                <w:rFonts w:ascii="Times New Roman" w:hAnsi="Times New Roman" w:cs="Times New Roman" w:eastAsiaTheme="minorEastAsia"/>
                <w:color w:val="000000" w:themeColor="text1"/>
                <w:w w:val="99"/>
                <w:szCs w:val="21"/>
                <w:vertAlign w:val="subscript"/>
                <w14:textFill>
                  <w14:solidFill>
                    <w14:schemeClr w14:val="tx1"/>
                  </w14:solidFill>
                </w14:textFill>
              </w:rPr>
              <w:t>2</w:t>
            </w:r>
          </w:p>
          <w:p w14:paraId="167E8FBD">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NO</w:t>
            </w:r>
            <w:r>
              <w:rPr>
                <w:rFonts w:ascii="Times New Roman" w:hAnsi="Times New Roman" w:cs="Times New Roman" w:eastAsiaTheme="minorEastAsia"/>
                <w:color w:val="000000" w:themeColor="text1"/>
                <w:w w:val="99"/>
                <w:szCs w:val="21"/>
                <w:vertAlign w:val="subscript"/>
                <w14:textFill>
                  <w14:solidFill>
                    <w14:schemeClr w14:val="tx1"/>
                  </w14:solidFill>
                </w14:textFill>
              </w:rPr>
              <w:t>X</w:t>
            </w:r>
          </w:p>
          <w:p w14:paraId="105CFF35">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TSP</w:t>
            </w:r>
          </w:p>
        </w:tc>
        <w:tc>
          <w:tcPr>
            <w:tcW w:w="1481" w:type="pct"/>
            <w:gridSpan w:val="4"/>
            <w:vAlign w:val="center"/>
          </w:tcPr>
          <w:p w14:paraId="5AB75AE9">
            <w:pPr>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由于车辆数量和每辆车行驶的公里数不易确定，固不对其进行定量计算</w:t>
            </w:r>
          </w:p>
        </w:tc>
        <w:tc>
          <w:tcPr>
            <w:tcW w:w="596" w:type="pct"/>
            <w:gridSpan w:val="2"/>
            <w:vAlign w:val="center"/>
          </w:tcPr>
          <w:p w14:paraId="4727817F">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施工车辆选用高标号汽柴油，尾气达标排放</w:t>
            </w:r>
          </w:p>
        </w:tc>
        <w:tc>
          <w:tcPr>
            <w:tcW w:w="232" w:type="pct"/>
            <w:vAlign w:val="center"/>
          </w:tcPr>
          <w:p w14:paraId="519FD1B5">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w:t>
            </w:r>
          </w:p>
        </w:tc>
        <w:tc>
          <w:tcPr>
            <w:tcW w:w="376" w:type="pct"/>
            <w:vAlign w:val="center"/>
          </w:tcPr>
          <w:p w14:paraId="7B3CEE28">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w:t>
            </w:r>
          </w:p>
        </w:tc>
        <w:tc>
          <w:tcPr>
            <w:tcW w:w="424" w:type="pct"/>
            <w:vAlign w:val="center"/>
          </w:tcPr>
          <w:p w14:paraId="6B8979D4">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w:t>
            </w:r>
          </w:p>
        </w:tc>
        <w:tc>
          <w:tcPr>
            <w:tcW w:w="408" w:type="pct"/>
            <w:vAlign w:val="center"/>
          </w:tcPr>
          <w:p w14:paraId="14139941">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w:t>
            </w:r>
          </w:p>
        </w:tc>
        <w:tc>
          <w:tcPr>
            <w:tcW w:w="311" w:type="pct"/>
            <w:vAlign w:val="center"/>
          </w:tcPr>
          <w:p w14:paraId="4EEB00FE">
            <w:pPr>
              <w:keepNext/>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施工</w:t>
            </w:r>
          </w:p>
          <w:p w14:paraId="2891FAD3">
            <w:pPr>
              <w:keepNext/>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期</w:t>
            </w:r>
          </w:p>
        </w:tc>
      </w:tr>
    </w:tbl>
    <w:p w14:paraId="4C87D4C2">
      <w:pPr>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（2）废水</w:t>
      </w:r>
    </w:p>
    <w:p w14:paraId="403100D9">
      <w:pPr>
        <w:spacing w:line="440" w:lineRule="exact"/>
        <w:ind w:firstLine="474" w:firstLineChars="200"/>
        <w:rPr>
          <w:rFonts w:ascii="Times New Roman" w:hAnsi="Times New Roman" w:cs="Times New Roman" w:eastAsiaTheme="minorEastAsia"/>
          <w:color w:val="000000" w:themeColor="text1"/>
          <w:w w:val="99"/>
          <w:sz w:val="24"/>
          <w14:textFill>
            <w14:solidFill>
              <w14:schemeClr w14:val="tx1"/>
            </w14:solidFill>
          </w14:textFill>
        </w:rPr>
      </w:pPr>
      <w:r>
        <w:rPr>
          <w:rFonts w:hint="eastAsia"/>
          <w:color w:val="000000" w:themeColor="text1"/>
          <w:w w:val="99"/>
          <w:sz w:val="24"/>
          <w14:textFill>
            <w14:solidFill>
              <w14:schemeClr w14:val="tx1"/>
            </w14:solidFill>
          </w14:textFill>
        </w:rPr>
        <w:t>①</w:t>
      </w:r>
      <w:r>
        <w:rPr>
          <w:rFonts w:ascii="Times New Roman" w:hAnsi="Times New Roman" w:cs="Times New Roman" w:eastAsiaTheme="minorEastAsia"/>
          <w:color w:val="000000" w:themeColor="text1"/>
          <w:w w:val="99"/>
          <w:sz w:val="24"/>
          <w14:textFill>
            <w14:solidFill>
              <w14:schemeClr w14:val="tx1"/>
            </w14:solidFill>
          </w14:textFill>
        </w:rPr>
        <w:t>试压废水</w:t>
      </w:r>
    </w:p>
    <w:p w14:paraId="32FA5F7F">
      <w:pPr>
        <w:spacing w:line="440" w:lineRule="exact"/>
        <w:ind w:firstLine="474" w:firstLineChars="200"/>
        <w:rPr>
          <w:rFonts w:ascii="Times New Roman" w:hAnsi="Times New Roman" w:cs="Times New Roman" w:eastAsiaTheme="minorEastAsia"/>
          <w:color w:val="000000" w:themeColor="text1"/>
          <w:w w:val="99"/>
          <w:sz w:val="24"/>
          <w14:textFill>
            <w14:solidFill>
              <w14:schemeClr w14:val="tx1"/>
            </w14:solidFill>
          </w14:textFill>
        </w:rPr>
      </w:pPr>
      <w:r>
        <w:rPr>
          <w:rFonts w:ascii="Times New Roman" w:hAnsi="Times New Roman" w:cs="Times New Roman" w:eastAsiaTheme="minorEastAsia"/>
          <w:bCs/>
          <w:color w:val="000000" w:themeColor="text1"/>
          <w:w w:val="99"/>
          <w:sz w:val="24"/>
          <w14:textFill>
            <w14:solidFill>
              <w14:schemeClr w14:val="tx1"/>
            </w14:solidFill>
          </w14:textFill>
        </w:rPr>
        <w:t>本工程新建输油管线采取水试压的方式，根据新建管线截面面积及长度，项目试压用水总量为237.36m</w:t>
      </w:r>
      <w:r>
        <w:rPr>
          <w:rFonts w:ascii="Times New Roman" w:hAnsi="Times New Roman" w:cs="Times New Roman" w:eastAsiaTheme="minorEastAsia"/>
          <w:bCs/>
          <w:color w:val="000000" w:themeColor="text1"/>
          <w:w w:val="99"/>
          <w:sz w:val="24"/>
          <w:vertAlign w:val="superscript"/>
          <w14:textFill>
            <w14:solidFill>
              <w14:schemeClr w14:val="tx1"/>
            </w14:solidFill>
          </w14:textFill>
        </w:rPr>
        <w:t>3</w:t>
      </w:r>
      <w:r>
        <w:rPr>
          <w:rFonts w:ascii="Times New Roman" w:hAnsi="Times New Roman" w:cs="Times New Roman" w:eastAsiaTheme="minorEastAsia"/>
          <w:bCs/>
          <w:color w:val="000000" w:themeColor="text1"/>
          <w:w w:val="99"/>
          <w:sz w:val="24"/>
          <w14:textFill>
            <w14:solidFill>
              <w14:schemeClr w14:val="tx1"/>
            </w14:solidFill>
          </w14:textFill>
        </w:rPr>
        <w:t>，试压废水按用水量的95%计算，试压废水产生量为225.5m</w:t>
      </w:r>
      <w:r>
        <w:rPr>
          <w:rFonts w:ascii="Times New Roman" w:hAnsi="Times New Roman" w:cs="Times New Roman" w:eastAsiaTheme="minorEastAsia"/>
          <w:bCs/>
          <w:color w:val="000000" w:themeColor="text1"/>
          <w:w w:val="99"/>
          <w:sz w:val="24"/>
          <w:vertAlign w:val="superscript"/>
          <w14:textFill>
            <w14:solidFill>
              <w14:schemeClr w14:val="tx1"/>
            </w14:solidFill>
          </w14:textFill>
        </w:rPr>
        <w:t>3</w:t>
      </w:r>
      <w:r>
        <w:rPr>
          <w:rFonts w:ascii="Times New Roman" w:hAnsi="Times New Roman" w:cs="Times New Roman" w:eastAsiaTheme="minorEastAsia"/>
          <w:bCs/>
          <w:color w:val="000000" w:themeColor="text1"/>
          <w:w w:val="99"/>
          <w:sz w:val="24"/>
          <w14:textFill>
            <w14:solidFill>
              <w14:schemeClr w14:val="tx1"/>
            </w14:solidFill>
          </w14:textFill>
        </w:rPr>
        <w:t>。管道试压废水由罐车拉运至龙一联含油污水处理站处理达到《大庆油田地面工程建设设计规定》（Q/SYDQ0639-2015）表3中的“含油量≤8mg/L、悬浮固体≤3mg/L、粒径中值≤2μm”规定后回注油层，不外排。</w:t>
      </w:r>
    </w:p>
    <w:p w14:paraId="4A2E5CBC">
      <w:pPr>
        <w:spacing w:line="440" w:lineRule="exact"/>
        <w:ind w:firstLine="474" w:firstLineChars="200"/>
        <w:rPr>
          <w:rFonts w:ascii="Times New Roman" w:hAnsi="Times New Roman" w:cs="Times New Roman" w:eastAsiaTheme="minorEastAsia"/>
          <w:color w:val="000000" w:themeColor="text1"/>
          <w:w w:val="99"/>
          <w:sz w:val="24"/>
          <w14:textFill>
            <w14:solidFill>
              <w14:schemeClr w14:val="tx1"/>
            </w14:solidFill>
          </w14:textFill>
        </w:rPr>
      </w:pPr>
      <w:r>
        <w:rPr>
          <w:rFonts w:hint="eastAsia"/>
          <w:color w:val="000000" w:themeColor="text1"/>
          <w:w w:val="99"/>
          <w:sz w:val="24"/>
          <w:lang w:eastAsia="ja-JP"/>
          <w14:textFill>
            <w14:solidFill>
              <w14:schemeClr w14:val="tx1"/>
            </w14:solidFill>
          </w14:textFill>
        </w:rPr>
        <w:t>②</w:t>
      </w:r>
      <w:r>
        <w:rPr>
          <w:rFonts w:ascii="Times New Roman" w:hAnsi="Times New Roman" w:cs="Times New Roman" w:eastAsiaTheme="minorEastAsia"/>
          <w:color w:val="000000" w:themeColor="text1"/>
          <w:w w:val="99"/>
          <w:sz w:val="24"/>
          <w14:textFill>
            <w14:solidFill>
              <w14:schemeClr w14:val="tx1"/>
            </w14:solidFill>
          </w14:textFill>
        </w:rPr>
        <w:t>生活污水</w:t>
      </w:r>
    </w:p>
    <w:p w14:paraId="6FA86AB7">
      <w:pPr>
        <w:spacing w:line="440" w:lineRule="exact"/>
        <w:ind w:firstLine="474" w:firstLineChars="200"/>
        <w:rPr>
          <w:rFonts w:ascii="Times New Roman" w:hAnsi="Times New Roman" w:cs="Times New Roman" w:eastAsiaTheme="minorEastAsia"/>
          <w:color w:val="000000" w:themeColor="text1"/>
          <w:w w:val="99"/>
          <w:sz w:val="24"/>
          <w14:textFill>
            <w14:solidFill>
              <w14:schemeClr w14:val="tx1"/>
            </w14:solidFill>
          </w14:textFill>
        </w:rPr>
      </w:pPr>
      <w:r>
        <w:rPr>
          <w:rFonts w:ascii="Times New Roman" w:hAnsi="Times New Roman" w:cs="Times New Roman" w:eastAsiaTheme="minorEastAsia"/>
          <w:color w:val="000000" w:themeColor="text1"/>
          <w:w w:val="99"/>
          <w:kern w:val="21"/>
          <w:sz w:val="24"/>
          <w14:textFill>
            <w14:solidFill>
              <w14:schemeClr w14:val="tx1"/>
            </w14:solidFill>
          </w14:textFill>
        </w:rPr>
        <w:t>根据黑龙江省地方标准《用水定额》（DB23/T727-2021），施工期生活用水量每人80L/d</w:t>
      </w:r>
      <w:r>
        <w:rPr>
          <w:rFonts w:ascii="Times New Roman" w:hAnsi="Times New Roman" w:cs="Times New Roman" w:eastAsiaTheme="minorEastAsia"/>
          <w:color w:val="000000" w:themeColor="text1"/>
          <w:w w:val="99"/>
          <w:sz w:val="24"/>
          <w14:textFill>
            <w14:solidFill>
              <w14:schemeClr w14:val="tx1"/>
            </w14:solidFill>
          </w14:textFill>
        </w:rPr>
        <w:t>，施工人员20人，</w:t>
      </w:r>
      <w:r>
        <w:rPr>
          <w:rFonts w:ascii="Times New Roman" w:hAnsi="Times New Roman" w:cs="Times New Roman" w:eastAsiaTheme="minorEastAsia"/>
          <w:bCs/>
          <w:snapToGrid w:val="0"/>
          <w:color w:val="000000" w:themeColor="text1"/>
          <w:w w:val="99"/>
          <w:sz w:val="24"/>
          <w14:textFill>
            <w14:solidFill>
              <w14:schemeClr w14:val="tx1"/>
            </w14:solidFill>
          </w14:textFill>
        </w:rPr>
        <w:t>施工约60d。则</w:t>
      </w:r>
      <w:r>
        <w:rPr>
          <w:rFonts w:ascii="Times New Roman" w:hAnsi="Times New Roman" w:cs="Times New Roman" w:eastAsiaTheme="minorEastAsia"/>
          <w:color w:val="000000" w:themeColor="text1"/>
          <w:w w:val="99"/>
          <w:sz w:val="24"/>
          <w14:textFill>
            <w14:solidFill>
              <w14:schemeClr w14:val="tx1"/>
            </w14:solidFill>
          </w14:textFill>
        </w:rPr>
        <w:t>施工期间生活用水量为96m</w:t>
      </w:r>
      <w:r>
        <w:rPr>
          <w:rFonts w:ascii="Times New Roman" w:hAnsi="Times New Roman" w:cs="Times New Roman" w:eastAsiaTheme="minorEastAsia"/>
          <w:color w:val="000000" w:themeColor="text1"/>
          <w:w w:val="99"/>
          <w:sz w:val="24"/>
          <w:vertAlign w:val="superscript"/>
          <w14:textFill>
            <w14:solidFill>
              <w14:schemeClr w14:val="tx1"/>
            </w14:solidFill>
          </w14:textFill>
        </w:rPr>
        <w:t>3</w:t>
      </w:r>
      <w:r>
        <w:rPr>
          <w:rFonts w:ascii="Times New Roman" w:hAnsi="Times New Roman" w:cs="Times New Roman" w:eastAsiaTheme="minorEastAsia"/>
          <w:color w:val="000000" w:themeColor="text1"/>
          <w:w w:val="99"/>
          <w:sz w:val="24"/>
          <w14:textFill>
            <w14:solidFill>
              <w14:schemeClr w14:val="tx1"/>
            </w14:solidFill>
          </w14:textFill>
        </w:rPr>
        <w:t>，生活污水按用水量的80%计算，则生活污水产生量为76.8m</w:t>
      </w:r>
      <w:r>
        <w:rPr>
          <w:rFonts w:ascii="Times New Roman" w:hAnsi="Times New Roman" w:cs="Times New Roman" w:eastAsiaTheme="minorEastAsia"/>
          <w:color w:val="000000" w:themeColor="text1"/>
          <w:w w:val="99"/>
          <w:sz w:val="24"/>
          <w:vertAlign w:val="superscript"/>
          <w14:textFill>
            <w14:solidFill>
              <w14:schemeClr w14:val="tx1"/>
            </w14:solidFill>
          </w14:textFill>
        </w:rPr>
        <w:t>3</w:t>
      </w:r>
      <w:r>
        <w:rPr>
          <w:rFonts w:ascii="Times New Roman" w:hAnsi="Times New Roman" w:cs="Times New Roman" w:eastAsiaTheme="minorEastAsia"/>
          <w:color w:val="000000" w:themeColor="text1"/>
          <w:w w:val="99"/>
          <w:sz w:val="24"/>
          <w14:textFill>
            <w14:solidFill>
              <w14:schemeClr w14:val="tx1"/>
            </w14:solidFill>
          </w14:textFill>
        </w:rPr>
        <w:t>。</w:t>
      </w:r>
      <w:r>
        <w:rPr>
          <w:rFonts w:ascii="Times New Roman" w:hAnsi="Times New Roman" w:cs="Times New Roman" w:eastAsiaTheme="minorEastAsia"/>
          <w:color w:val="000000" w:themeColor="text1"/>
          <w:w w:val="99"/>
          <w:kern w:val="21"/>
          <w:sz w:val="24"/>
          <w:lang w:val="en-US"/>
          <w14:textFill>
            <w14:solidFill>
              <w14:schemeClr w14:val="tx1"/>
            </w14:solidFill>
          </w14:textFill>
        </w:rPr>
        <w:t>生活污水排入拉油点已建防渗旱厕，定期清掏外运堆肥处理</w:t>
      </w:r>
      <w:r>
        <w:rPr>
          <w:rFonts w:ascii="Times New Roman" w:hAnsi="Times New Roman" w:cs="Times New Roman" w:eastAsiaTheme="minorEastAsia"/>
          <w:color w:val="000000" w:themeColor="text1"/>
          <w:w w:val="99"/>
          <w:kern w:val="21"/>
          <w:sz w:val="24"/>
          <w14:textFill>
            <w14:solidFill>
              <w14:schemeClr w14:val="tx1"/>
            </w14:solidFill>
          </w14:textFill>
        </w:rPr>
        <w:t>。</w:t>
      </w:r>
    </w:p>
    <w:p w14:paraId="2B12E731">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本</w:t>
      </w:r>
      <w:r>
        <w:rPr>
          <w:rFonts w:ascii="Times New Roman" w:hAnsi="Times New Roman" w:cs="Times New Roman" w:eastAsiaTheme="minorEastAsia"/>
          <w:color w:val="000000" w:themeColor="text1"/>
          <w:w w:val="99"/>
          <w:kern w:val="21"/>
          <w:sz w:val="24"/>
          <w:szCs w:val="24"/>
          <w14:textFill>
            <w14:solidFill>
              <w14:schemeClr w14:val="tx1"/>
            </w14:solidFill>
          </w14:textFill>
        </w:rPr>
        <w:t>项目施工期废水污染源源强核算见表</w:t>
      </w:r>
      <w:r>
        <w:rPr>
          <w:rFonts w:hint="eastAsia" w:ascii="Times New Roman" w:hAnsi="Times New Roman" w:cs="Times New Roman" w:eastAsiaTheme="minorEastAsia"/>
          <w:color w:val="000000" w:themeColor="text1"/>
          <w:w w:val="99"/>
          <w:kern w:val="21"/>
          <w:sz w:val="24"/>
          <w:szCs w:val="24"/>
          <w14:textFill>
            <w14:solidFill>
              <w14:schemeClr w14:val="tx1"/>
            </w14:solidFill>
          </w14:textFill>
        </w:rPr>
        <w:t>3</w:t>
      </w:r>
      <w:r>
        <w:rPr>
          <w:rFonts w:ascii="Times New Roman" w:hAnsi="Times New Roman" w:cs="Times New Roman" w:eastAsiaTheme="minorEastAsia"/>
          <w:color w:val="000000" w:themeColor="text1"/>
          <w:w w:val="99"/>
          <w:kern w:val="21"/>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14:textFill>
            <w14:solidFill>
              <w14:schemeClr w14:val="tx1"/>
            </w14:solidFill>
          </w14:textFill>
        </w:rPr>
        <w:t>4-2</w:t>
      </w:r>
      <w:r>
        <w:rPr>
          <w:rFonts w:ascii="Times New Roman" w:hAnsi="Times New Roman" w:cs="Times New Roman" w:eastAsiaTheme="minorEastAsia"/>
          <w:color w:val="000000" w:themeColor="text1"/>
          <w:w w:val="99"/>
          <w:kern w:val="21"/>
          <w:sz w:val="24"/>
          <w:szCs w:val="24"/>
          <w14:textFill>
            <w14:solidFill>
              <w14:schemeClr w14:val="tx1"/>
            </w14:solidFill>
          </w14:textFill>
        </w:rPr>
        <w:t>。</w:t>
      </w:r>
    </w:p>
    <w:p w14:paraId="0F3C0E42">
      <w:pPr>
        <w:spacing w:line="440" w:lineRule="exact"/>
        <w:ind w:firstLine="476" w:firstLineChars="200"/>
        <w:rPr>
          <w:rFonts w:ascii="Times New Roman" w:hAnsi="Times New Roman" w:cs="Times New Roman" w:eastAsiaTheme="minorEastAsia"/>
          <w:b/>
          <w:color w:val="000000" w:themeColor="text1"/>
          <w:w w:val="99"/>
          <w:kern w:val="21"/>
          <w:sz w:val="24"/>
          <w14:textFill>
            <w14:solidFill>
              <w14:schemeClr w14:val="tx1"/>
            </w14:solidFill>
          </w14:textFill>
        </w:rPr>
      </w:pPr>
      <w:r>
        <w:rPr>
          <w:rFonts w:ascii="Times New Roman" w:hAnsi="Times New Roman" w:cs="Times New Roman" w:eastAsiaTheme="minorEastAsia"/>
          <w:b/>
          <w:color w:val="000000" w:themeColor="text1"/>
          <w:w w:val="99"/>
          <w:kern w:val="21"/>
          <w:sz w:val="24"/>
          <w14:textFill>
            <w14:solidFill>
              <w14:schemeClr w14:val="tx1"/>
            </w14:solidFill>
          </w14:textFill>
        </w:rPr>
        <w:t>表</w:t>
      </w:r>
      <w:r>
        <w:rPr>
          <w:rFonts w:hint="eastAsia" w:ascii="Times New Roman" w:hAnsi="Times New Roman" w:cs="Times New Roman" w:eastAsiaTheme="minorEastAsia"/>
          <w:b/>
          <w:color w:val="000000" w:themeColor="text1"/>
          <w:w w:val="99"/>
          <w:kern w:val="21"/>
          <w:sz w:val="24"/>
          <w14:textFill>
            <w14:solidFill>
              <w14:schemeClr w14:val="tx1"/>
            </w14:solidFill>
          </w14:textFill>
        </w:rPr>
        <w:t>3</w:t>
      </w:r>
      <w:r>
        <w:rPr>
          <w:rFonts w:ascii="Times New Roman" w:hAnsi="Times New Roman" w:cs="Times New Roman" w:eastAsiaTheme="minorEastAsia"/>
          <w:b/>
          <w:color w:val="000000" w:themeColor="text1"/>
          <w:w w:val="99"/>
          <w:kern w:val="21"/>
          <w:sz w:val="24"/>
          <w14:textFill>
            <w14:solidFill>
              <w14:schemeClr w14:val="tx1"/>
            </w14:solidFill>
          </w14:textFill>
        </w:rPr>
        <w:t>.4-2</w:t>
      </w:r>
      <w:r>
        <w:rPr>
          <w:rFonts w:ascii="Times New Roman" w:hAnsi="Times New Roman" w:cs="Times New Roman" w:eastAsiaTheme="minorEastAsia"/>
          <w:b/>
          <w:color w:val="000000" w:themeColor="text1"/>
          <w:w w:val="99"/>
          <w14:textFill>
            <w14:solidFill>
              <w14:schemeClr w14:val="tx1"/>
            </w14:solidFill>
          </w14:textFill>
        </w:rPr>
        <w:t xml:space="preserve">    施工期</w:t>
      </w:r>
      <w:r>
        <w:rPr>
          <w:rFonts w:ascii="Times New Roman" w:hAnsi="Times New Roman" w:cs="Times New Roman" w:eastAsiaTheme="minorEastAsia"/>
          <w:b/>
          <w:color w:val="000000" w:themeColor="text1"/>
          <w:w w:val="99"/>
          <w:kern w:val="21"/>
          <w:sz w:val="24"/>
          <w14:textFill>
            <w14:solidFill>
              <w14:schemeClr w14:val="tx1"/>
            </w14:solidFill>
          </w14:textFill>
        </w:rPr>
        <w:t>废水污染源源强核算结果及相关参数一览表</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574"/>
        <w:gridCol w:w="462"/>
        <w:gridCol w:w="676"/>
        <w:gridCol w:w="433"/>
        <w:gridCol w:w="727"/>
        <w:gridCol w:w="688"/>
        <w:gridCol w:w="651"/>
        <w:gridCol w:w="1640"/>
        <w:gridCol w:w="543"/>
        <w:gridCol w:w="433"/>
        <w:gridCol w:w="455"/>
        <w:gridCol w:w="688"/>
        <w:gridCol w:w="433"/>
        <w:gridCol w:w="454"/>
      </w:tblGrid>
      <w:tr w14:paraId="5E4D5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vMerge w:val="restart"/>
            <w:vAlign w:val="center"/>
          </w:tcPr>
          <w:p w14:paraId="74F73DA7">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工序</w:t>
            </w:r>
          </w:p>
        </w:tc>
        <w:tc>
          <w:tcPr>
            <w:tcW w:w="574" w:type="dxa"/>
            <w:vMerge w:val="restart"/>
            <w:vAlign w:val="center"/>
          </w:tcPr>
          <w:p w14:paraId="4C0538F0">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装置</w:t>
            </w:r>
          </w:p>
        </w:tc>
        <w:tc>
          <w:tcPr>
            <w:tcW w:w="462" w:type="dxa"/>
            <w:vMerge w:val="restart"/>
            <w:vAlign w:val="center"/>
          </w:tcPr>
          <w:p w14:paraId="7F662008">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污染源</w:t>
            </w:r>
          </w:p>
        </w:tc>
        <w:tc>
          <w:tcPr>
            <w:tcW w:w="676" w:type="dxa"/>
            <w:vMerge w:val="restart"/>
            <w:vAlign w:val="center"/>
          </w:tcPr>
          <w:p w14:paraId="0BE7D2BD">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污染物</w:t>
            </w:r>
          </w:p>
        </w:tc>
        <w:tc>
          <w:tcPr>
            <w:tcW w:w="2499" w:type="dxa"/>
            <w:gridSpan w:val="4"/>
            <w:vAlign w:val="center"/>
          </w:tcPr>
          <w:p w14:paraId="578C4BA4">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污染物产生</w:t>
            </w:r>
          </w:p>
        </w:tc>
        <w:tc>
          <w:tcPr>
            <w:tcW w:w="2183" w:type="dxa"/>
            <w:gridSpan w:val="2"/>
            <w:vAlign w:val="center"/>
          </w:tcPr>
          <w:p w14:paraId="3C3EA826">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治理措施</w:t>
            </w:r>
          </w:p>
        </w:tc>
        <w:tc>
          <w:tcPr>
            <w:tcW w:w="2009" w:type="dxa"/>
            <w:gridSpan w:val="4"/>
            <w:vAlign w:val="center"/>
          </w:tcPr>
          <w:p w14:paraId="4AC57DEA">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污染物排放</w:t>
            </w:r>
          </w:p>
        </w:tc>
        <w:tc>
          <w:tcPr>
            <w:tcW w:w="454" w:type="dxa"/>
            <w:vMerge w:val="restart"/>
            <w:vAlign w:val="center"/>
          </w:tcPr>
          <w:p w14:paraId="157C581F">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排放时间</w:t>
            </w:r>
          </w:p>
        </w:tc>
      </w:tr>
      <w:tr w14:paraId="725B2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vMerge w:val="continue"/>
            <w:vAlign w:val="center"/>
          </w:tcPr>
          <w:p w14:paraId="57EE2B05">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p>
        </w:tc>
        <w:tc>
          <w:tcPr>
            <w:tcW w:w="574" w:type="dxa"/>
            <w:vMerge w:val="continue"/>
            <w:vAlign w:val="center"/>
          </w:tcPr>
          <w:p w14:paraId="66F54265">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p>
        </w:tc>
        <w:tc>
          <w:tcPr>
            <w:tcW w:w="462" w:type="dxa"/>
            <w:vMerge w:val="continue"/>
            <w:vAlign w:val="center"/>
          </w:tcPr>
          <w:p w14:paraId="6A0105E3">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p>
        </w:tc>
        <w:tc>
          <w:tcPr>
            <w:tcW w:w="676" w:type="dxa"/>
            <w:vMerge w:val="continue"/>
            <w:vAlign w:val="center"/>
          </w:tcPr>
          <w:p w14:paraId="444BD691">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p>
        </w:tc>
        <w:tc>
          <w:tcPr>
            <w:tcW w:w="433" w:type="dxa"/>
            <w:vAlign w:val="center"/>
          </w:tcPr>
          <w:p w14:paraId="2C73513E">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核算方法</w:t>
            </w:r>
          </w:p>
        </w:tc>
        <w:tc>
          <w:tcPr>
            <w:tcW w:w="727" w:type="dxa"/>
            <w:vAlign w:val="center"/>
          </w:tcPr>
          <w:p w14:paraId="5F0085D2">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废水产生量m</w:t>
            </w:r>
            <w:r>
              <w:rPr>
                <w:rFonts w:ascii="Times New Roman" w:hAnsi="Times New Roman" w:cs="Times New Roman" w:eastAsiaTheme="minorEastAsia"/>
                <w:color w:val="000000" w:themeColor="text1"/>
                <w:w w:val="99"/>
                <w:szCs w:val="21"/>
                <w:vertAlign w:val="superscript"/>
                <w14:textFill>
                  <w14:solidFill>
                    <w14:schemeClr w14:val="tx1"/>
                  </w14:solidFill>
                </w14:textFill>
              </w:rPr>
              <w:t>3</w:t>
            </w:r>
          </w:p>
        </w:tc>
        <w:tc>
          <w:tcPr>
            <w:tcW w:w="688" w:type="dxa"/>
            <w:vAlign w:val="center"/>
          </w:tcPr>
          <w:p w14:paraId="321AC260">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产生</w:t>
            </w:r>
          </w:p>
          <w:p w14:paraId="479FA4BB">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浓度mg/L</w:t>
            </w:r>
          </w:p>
        </w:tc>
        <w:tc>
          <w:tcPr>
            <w:tcW w:w="651" w:type="dxa"/>
            <w:vAlign w:val="center"/>
          </w:tcPr>
          <w:p w14:paraId="527F7B31">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产生量t</w:t>
            </w:r>
          </w:p>
        </w:tc>
        <w:tc>
          <w:tcPr>
            <w:tcW w:w="1640" w:type="dxa"/>
            <w:vAlign w:val="center"/>
          </w:tcPr>
          <w:p w14:paraId="7FA5D7CB">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工艺</w:t>
            </w:r>
          </w:p>
        </w:tc>
        <w:tc>
          <w:tcPr>
            <w:tcW w:w="543" w:type="dxa"/>
            <w:vAlign w:val="center"/>
          </w:tcPr>
          <w:p w14:paraId="18549483">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效率/%</w:t>
            </w:r>
          </w:p>
        </w:tc>
        <w:tc>
          <w:tcPr>
            <w:tcW w:w="433" w:type="dxa"/>
            <w:vAlign w:val="center"/>
          </w:tcPr>
          <w:p w14:paraId="7FD2328A">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核算方法</w:t>
            </w:r>
          </w:p>
        </w:tc>
        <w:tc>
          <w:tcPr>
            <w:tcW w:w="455" w:type="dxa"/>
            <w:vAlign w:val="center"/>
          </w:tcPr>
          <w:p w14:paraId="3DE9C6E1">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废水排放量m</w:t>
            </w:r>
            <w:r>
              <w:rPr>
                <w:rFonts w:ascii="Times New Roman" w:hAnsi="Times New Roman" w:cs="Times New Roman" w:eastAsiaTheme="minorEastAsia"/>
                <w:color w:val="000000" w:themeColor="text1"/>
                <w:w w:val="99"/>
                <w:szCs w:val="21"/>
                <w:vertAlign w:val="superscript"/>
                <w14:textFill>
                  <w14:solidFill>
                    <w14:schemeClr w14:val="tx1"/>
                  </w14:solidFill>
                </w14:textFill>
              </w:rPr>
              <w:t>3</w:t>
            </w:r>
          </w:p>
        </w:tc>
        <w:tc>
          <w:tcPr>
            <w:tcW w:w="688" w:type="dxa"/>
            <w:vAlign w:val="center"/>
          </w:tcPr>
          <w:p w14:paraId="4C7F6B32">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排放</w:t>
            </w:r>
          </w:p>
          <w:p w14:paraId="4F40459D">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浓度mg/L</w:t>
            </w:r>
          </w:p>
        </w:tc>
        <w:tc>
          <w:tcPr>
            <w:tcW w:w="433" w:type="dxa"/>
            <w:vAlign w:val="center"/>
          </w:tcPr>
          <w:p w14:paraId="6FBB79D0">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排放量t</w:t>
            </w:r>
          </w:p>
        </w:tc>
        <w:tc>
          <w:tcPr>
            <w:tcW w:w="454" w:type="dxa"/>
            <w:vMerge w:val="continue"/>
            <w:vAlign w:val="center"/>
          </w:tcPr>
          <w:p w14:paraId="063D2258">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p>
        </w:tc>
      </w:tr>
      <w:tr w14:paraId="624C0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433" w:type="dxa"/>
            <w:vAlign w:val="center"/>
          </w:tcPr>
          <w:p w14:paraId="2F06AA78">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管线试压</w:t>
            </w:r>
          </w:p>
        </w:tc>
        <w:tc>
          <w:tcPr>
            <w:tcW w:w="574" w:type="dxa"/>
            <w:vAlign w:val="center"/>
          </w:tcPr>
          <w:p w14:paraId="2DC693D6">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试压</w:t>
            </w:r>
          </w:p>
        </w:tc>
        <w:tc>
          <w:tcPr>
            <w:tcW w:w="462" w:type="dxa"/>
            <w:vAlign w:val="center"/>
          </w:tcPr>
          <w:p w14:paraId="36225534">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试压废水</w:t>
            </w:r>
          </w:p>
        </w:tc>
        <w:tc>
          <w:tcPr>
            <w:tcW w:w="676" w:type="dxa"/>
            <w:vAlign w:val="center"/>
          </w:tcPr>
          <w:p w14:paraId="5E2B8B46">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SS</w:t>
            </w:r>
          </w:p>
        </w:tc>
        <w:tc>
          <w:tcPr>
            <w:tcW w:w="433" w:type="dxa"/>
            <w:vAlign w:val="center"/>
          </w:tcPr>
          <w:p w14:paraId="478ADF09">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类比法</w:t>
            </w:r>
          </w:p>
        </w:tc>
        <w:tc>
          <w:tcPr>
            <w:tcW w:w="727" w:type="dxa"/>
            <w:vAlign w:val="center"/>
          </w:tcPr>
          <w:p w14:paraId="359B379C">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bCs/>
                <w:snapToGrid w:val="0"/>
                <w:color w:val="000000" w:themeColor="text1"/>
                <w:w w:val="99"/>
                <w:szCs w:val="21"/>
                <w14:textFill>
                  <w14:solidFill>
                    <w14:schemeClr w14:val="tx1"/>
                  </w14:solidFill>
                </w14:textFill>
              </w:rPr>
              <w:t>225.5</w:t>
            </w:r>
          </w:p>
        </w:tc>
        <w:tc>
          <w:tcPr>
            <w:tcW w:w="688" w:type="dxa"/>
            <w:vAlign w:val="center"/>
          </w:tcPr>
          <w:p w14:paraId="1EB11F42">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w:t>
            </w:r>
          </w:p>
        </w:tc>
        <w:tc>
          <w:tcPr>
            <w:tcW w:w="651" w:type="dxa"/>
            <w:vAlign w:val="center"/>
          </w:tcPr>
          <w:p w14:paraId="0C08FAAD">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w:t>
            </w:r>
          </w:p>
        </w:tc>
        <w:tc>
          <w:tcPr>
            <w:tcW w:w="1640" w:type="dxa"/>
            <w:vAlign w:val="center"/>
          </w:tcPr>
          <w:p w14:paraId="4F856E34">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bCs/>
                <w:snapToGrid w:val="0"/>
                <w:color w:val="000000" w:themeColor="text1"/>
                <w:w w:val="99"/>
                <w:szCs w:val="21"/>
                <w14:textFill>
                  <w14:solidFill>
                    <w14:schemeClr w14:val="tx1"/>
                  </w14:solidFill>
                </w14:textFill>
              </w:rPr>
              <w:t>由罐车拉运至龙一联含油污水处理站处理达标后回注</w:t>
            </w:r>
          </w:p>
        </w:tc>
        <w:tc>
          <w:tcPr>
            <w:tcW w:w="543" w:type="dxa"/>
            <w:vAlign w:val="center"/>
          </w:tcPr>
          <w:p w14:paraId="4CE192F0">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100</w:t>
            </w:r>
          </w:p>
        </w:tc>
        <w:tc>
          <w:tcPr>
            <w:tcW w:w="433" w:type="dxa"/>
            <w:vAlign w:val="center"/>
          </w:tcPr>
          <w:p w14:paraId="04CED70F">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类比法</w:t>
            </w:r>
          </w:p>
        </w:tc>
        <w:tc>
          <w:tcPr>
            <w:tcW w:w="455" w:type="dxa"/>
            <w:vAlign w:val="center"/>
          </w:tcPr>
          <w:p w14:paraId="0E1D1413">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0</w:t>
            </w:r>
          </w:p>
        </w:tc>
        <w:tc>
          <w:tcPr>
            <w:tcW w:w="688" w:type="dxa"/>
            <w:vAlign w:val="center"/>
          </w:tcPr>
          <w:p w14:paraId="0C97C42B">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0</w:t>
            </w:r>
          </w:p>
        </w:tc>
        <w:tc>
          <w:tcPr>
            <w:tcW w:w="433" w:type="dxa"/>
            <w:vAlign w:val="center"/>
          </w:tcPr>
          <w:p w14:paraId="354D5FFE">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0</w:t>
            </w:r>
          </w:p>
        </w:tc>
        <w:tc>
          <w:tcPr>
            <w:tcW w:w="454" w:type="dxa"/>
            <w:vAlign w:val="center"/>
          </w:tcPr>
          <w:p w14:paraId="746859DA">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施工期</w:t>
            </w:r>
          </w:p>
        </w:tc>
      </w:tr>
      <w:tr w14:paraId="2375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433" w:type="dxa"/>
            <w:vMerge w:val="restart"/>
            <w:vAlign w:val="center"/>
          </w:tcPr>
          <w:p w14:paraId="195353D2">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施工</w:t>
            </w:r>
          </w:p>
        </w:tc>
        <w:tc>
          <w:tcPr>
            <w:tcW w:w="574" w:type="dxa"/>
            <w:vMerge w:val="restart"/>
            <w:vAlign w:val="center"/>
          </w:tcPr>
          <w:p w14:paraId="2CC360EE">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生活</w:t>
            </w:r>
          </w:p>
        </w:tc>
        <w:tc>
          <w:tcPr>
            <w:tcW w:w="462" w:type="dxa"/>
            <w:vMerge w:val="restart"/>
            <w:vAlign w:val="center"/>
          </w:tcPr>
          <w:p w14:paraId="5E6A426E">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生活污水</w:t>
            </w:r>
          </w:p>
        </w:tc>
        <w:tc>
          <w:tcPr>
            <w:tcW w:w="676" w:type="dxa"/>
            <w:vAlign w:val="center"/>
          </w:tcPr>
          <w:p w14:paraId="2D836A1A">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COD</w:t>
            </w:r>
          </w:p>
        </w:tc>
        <w:tc>
          <w:tcPr>
            <w:tcW w:w="433" w:type="dxa"/>
            <w:vMerge w:val="restart"/>
            <w:vAlign w:val="center"/>
          </w:tcPr>
          <w:p w14:paraId="258A2FC1">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类比法</w:t>
            </w:r>
          </w:p>
        </w:tc>
        <w:tc>
          <w:tcPr>
            <w:tcW w:w="727" w:type="dxa"/>
            <w:vMerge w:val="restart"/>
            <w:vAlign w:val="center"/>
          </w:tcPr>
          <w:p w14:paraId="4156BD74">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76.8</w:t>
            </w:r>
          </w:p>
        </w:tc>
        <w:tc>
          <w:tcPr>
            <w:tcW w:w="688" w:type="dxa"/>
            <w:vAlign w:val="center"/>
          </w:tcPr>
          <w:p w14:paraId="37AEE9C7">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300</w:t>
            </w:r>
          </w:p>
        </w:tc>
        <w:tc>
          <w:tcPr>
            <w:tcW w:w="651" w:type="dxa"/>
            <w:vAlign w:val="center"/>
          </w:tcPr>
          <w:p w14:paraId="4C4B3A94">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0.023</w:t>
            </w:r>
          </w:p>
        </w:tc>
        <w:tc>
          <w:tcPr>
            <w:tcW w:w="1640" w:type="dxa"/>
            <w:vMerge w:val="restart"/>
            <w:vAlign w:val="center"/>
          </w:tcPr>
          <w:p w14:paraId="7D131DF2">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lang w:val="en-US"/>
                <w14:textFill>
                  <w14:solidFill>
                    <w14:schemeClr w14:val="tx1"/>
                  </w14:solidFill>
                </w14:textFill>
              </w:rPr>
              <w:t>排入拉油点已建防渗旱厕，定期清掏外运堆肥处理</w:t>
            </w:r>
            <w:r>
              <w:rPr>
                <w:rFonts w:ascii="Times New Roman" w:hAnsi="Times New Roman" w:cs="Times New Roman" w:eastAsiaTheme="minorEastAsia"/>
                <w:snapToGrid w:val="0"/>
                <w:color w:val="000000" w:themeColor="text1"/>
                <w:w w:val="99"/>
                <w:szCs w:val="21"/>
                <w14:textFill>
                  <w14:solidFill>
                    <w14:schemeClr w14:val="tx1"/>
                  </w14:solidFill>
                </w14:textFill>
              </w:rPr>
              <w:t>。</w:t>
            </w:r>
          </w:p>
        </w:tc>
        <w:tc>
          <w:tcPr>
            <w:tcW w:w="543" w:type="dxa"/>
            <w:vMerge w:val="restart"/>
            <w:vAlign w:val="center"/>
          </w:tcPr>
          <w:p w14:paraId="6170D97A">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100</w:t>
            </w:r>
          </w:p>
        </w:tc>
        <w:tc>
          <w:tcPr>
            <w:tcW w:w="433" w:type="dxa"/>
            <w:vMerge w:val="restart"/>
            <w:vAlign w:val="center"/>
          </w:tcPr>
          <w:p w14:paraId="4154143B">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类比法</w:t>
            </w:r>
          </w:p>
        </w:tc>
        <w:tc>
          <w:tcPr>
            <w:tcW w:w="455" w:type="dxa"/>
            <w:vMerge w:val="restart"/>
            <w:vAlign w:val="center"/>
          </w:tcPr>
          <w:p w14:paraId="5198FF63">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0</w:t>
            </w:r>
          </w:p>
        </w:tc>
        <w:tc>
          <w:tcPr>
            <w:tcW w:w="688" w:type="dxa"/>
            <w:vMerge w:val="restart"/>
            <w:vAlign w:val="center"/>
          </w:tcPr>
          <w:p w14:paraId="758A5EA4">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0</w:t>
            </w:r>
          </w:p>
        </w:tc>
        <w:tc>
          <w:tcPr>
            <w:tcW w:w="433" w:type="dxa"/>
            <w:vMerge w:val="restart"/>
            <w:vAlign w:val="center"/>
          </w:tcPr>
          <w:p w14:paraId="585DA613">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0</w:t>
            </w:r>
          </w:p>
        </w:tc>
        <w:tc>
          <w:tcPr>
            <w:tcW w:w="454" w:type="dxa"/>
            <w:vMerge w:val="restart"/>
            <w:vAlign w:val="center"/>
          </w:tcPr>
          <w:p w14:paraId="1BB90158">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施工期</w:t>
            </w:r>
          </w:p>
        </w:tc>
      </w:tr>
      <w:tr w14:paraId="4835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dxa"/>
            <w:vMerge w:val="continue"/>
            <w:vAlign w:val="center"/>
          </w:tcPr>
          <w:p w14:paraId="6597B72D">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p>
        </w:tc>
        <w:tc>
          <w:tcPr>
            <w:tcW w:w="574" w:type="dxa"/>
            <w:vMerge w:val="continue"/>
            <w:vAlign w:val="center"/>
          </w:tcPr>
          <w:p w14:paraId="085B30F0">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p>
        </w:tc>
        <w:tc>
          <w:tcPr>
            <w:tcW w:w="462" w:type="dxa"/>
            <w:vMerge w:val="continue"/>
            <w:vAlign w:val="center"/>
          </w:tcPr>
          <w:p w14:paraId="2D7116C5">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p>
        </w:tc>
        <w:tc>
          <w:tcPr>
            <w:tcW w:w="676" w:type="dxa"/>
            <w:vAlign w:val="center"/>
          </w:tcPr>
          <w:p w14:paraId="66834427">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氨氮</w:t>
            </w:r>
          </w:p>
        </w:tc>
        <w:tc>
          <w:tcPr>
            <w:tcW w:w="433" w:type="dxa"/>
            <w:vMerge w:val="continue"/>
            <w:vAlign w:val="center"/>
          </w:tcPr>
          <w:p w14:paraId="54DA7C09">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p>
        </w:tc>
        <w:tc>
          <w:tcPr>
            <w:tcW w:w="727" w:type="dxa"/>
            <w:vMerge w:val="continue"/>
            <w:vAlign w:val="center"/>
          </w:tcPr>
          <w:p w14:paraId="5CD54660">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p>
        </w:tc>
        <w:tc>
          <w:tcPr>
            <w:tcW w:w="688" w:type="dxa"/>
            <w:vAlign w:val="center"/>
          </w:tcPr>
          <w:p w14:paraId="7CF9BA4C">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30</w:t>
            </w:r>
          </w:p>
        </w:tc>
        <w:tc>
          <w:tcPr>
            <w:tcW w:w="651" w:type="dxa"/>
            <w:vAlign w:val="center"/>
          </w:tcPr>
          <w:p w14:paraId="136CE541">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0.0023</w:t>
            </w:r>
          </w:p>
        </w:tc>
        <w:tc>
          <w:tcPr>
            <w:tcW w:w="1640" w:type="dxa"/>
            <w:vMerge w:val="continue"/>
            <w:vAlign w:val="center"/>
          </w:tcPr>
          <w:p w14:paraId="53A3BAF7">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p>
        </w:tc>
        <w:tc>
          <w:tcPr>
            <w:tcW w:w="543" w:type="dxa"/>
            <w:vMerge w:val="continue"/>
            <w:vAlign w:val="center"/>
          </w:tcPr>
          <w:p w14:paraId="4B487317">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p>
        </w:tc>
        <w:tc>
          <w:tcPr>
            <w:tcW w:w="433" w:type="dxa"/>
            <w:vMerge w:val="continue"/>
            <w:vAlign w:val="center"/>
          </w:tcPr>
          <w:p w14:paraId="35741FA2">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p>
        </w:tc>
        <w:tc>
          <w:tcPr>
            <w:tcW w:w="455" w:type="dxa"/>
            <w:vMerge w:val="continue"/>
            <w:vAlign w:val="center"/>
          </w:tcPr>
          <w:p w14:paraId="42EE615E">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p>
        </w:tc>
        <w:tc>
          <w:tcPr>
            <w:tcW w:w="688" w:type="dxa"/>
            <w:vMerge w:val="continue"/>
            <w:vAlign w:val="center"/>
          </w:tcPr>
          <w:p w14:paraId="4E1A32FB">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p>
        </w:tc>
        <w:tc>
          <w:tcPr>
            <w:tcW w:w="433" w:type="dxa"/>
            <w:vMerge w:val="continue"/>
            <w:vAlign w:val="center"/>
          </w:tcPr>
          <w:p w14:paraId="5E22AD3C">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p>
        </w:tc>
        <w:tc>
          <w:tcPr>
            <w:tcW w:w="454" w:type="dxa"/>
            <w:vMerge w:val="continue"/>
            <w:vAlign w:val="center"/>
          </w:tcPr>
          <w:p w14:paraId="735CBFC5">
            <w:pPr>
              <w:adjustRightInd w:val="0"/>
              <w:snapToGri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p>
        </w:tc>
      </w:tr>
    </w:tbl>
    <w:p w14:paraId="4751E1B7">
      <w:pPr>
        <w:spacing w:line="440" w:lineRule="exact"/>
        <w:ind w:firstLine="474" w:firstLineChars="200"/>
        <w:rPr>
          <w:rFonts w:ascii="Times New Roman" w:hAnsi="Times New Roman" w:cs="Times New Roman" w:eastAsiaTheme="minorEastAsia"/>
          <w:color w:val="000000" w:themeColor="text1"/>
          <w:w w:val="99"/>
          <w:sz w:val="24"/>
          <w14:textFill>
            <w14:solidFill>
              <w14:schemeClr w14:val="tx1"/>
            </w14:solidFill>
          </w14:textFill>
        </w:rPr>
      </w:pPr>
      <w:r>
        <w:rPr>
          <w:rFonts w:ascii="Times New Roman" w:hAnsi="Times New Roman" w:cs="Times New Roman" w:eastAsiaTheme="minorEastAsia"/>
          <w:color w:val="000000" w:themeColor="text1"/>
          <w:w w:val="99"/>
          <w:sz w:val="24"/>
          <w14:textFill>
            <w14:solidFill>
              <w14:schemeClr w14:val="tx1"/>
            </w14:solidFill>
          </w14:textFill>
        </w:rPr>
        <w:t>（3）噪声</w:t>
      </w:r>
    </w:p>
    <w:p w14:paraId="2B4D1108">
      <w:pPr>
        <w:snapToGrid w:val="0"/>
        <w:spacing w:line="440" w:lineRule="exact"/>
        <w:ind w:firstLine="474" w:firstLineChars="200"/>
        <w:rPr>
          <w:rFonts w:ascii="Times New Roman" w:hAnsi="Times New Roman" w:cs="Times New Roman" w:eastAsiaTheme="minorEastAsia"/>
          <w:snapToGrid w:val="0"/>
          <w:color w:val="000000" w:themeColor="text1"/>
          <w:w w:val="99"/>
          <w:sz w:val="24"/>
          <w14:textFill>
            <w14:solidFill>
              <w14:schemeClr w14:val="tx1"/>
            </w14:solidFill>
          </w14:textFill>
        </w:rPr>
      </w:pPr>
      <w:r>
        <w:rPr>
          <w:rFonts w:ascii="Times New Roman" w:hAnsi="Times New Roman" w:cs="Times New Roman" w:eastAsiaTheme="minorEastAsia"/>
          <w:snapToGrid w:val="0"/>
          <w:color w:val="000000" w:themeColor="text1"/>
          <w:w w:val="99"/>
          <w:sz w:val="24"/>
          <w14:textFill>
            <w14:solidFill>
              <w14:schemeClr w14:val="tx1"/>
            </w14:solidFill>
          </w14:textFill>
        </w:rPr>
        <w:t>本项目施工期噪声源主要包括挖掘机、吊管机、推土机等设备噪声及运输车辆的交通噪声，</w:t>
      </w:r>
      <w:r>
        <w:rPr>
          <w:rFonts w:ascii="Times New Roman" w:hAnsi="Times New Roman" w:cs="Times New Roman" w:eastAsiaTheme="minorEastAsia"/>
          <w:color w:val="000000" w:themeColor="text1"/>
          <w:w w:val="99"/>
          <w:sz w:val="24"/>
          <w14:textFill>
            <w14:solidFill>
              <w14:schemeClr w14:val="tx1"/>
            </w14:solidFill>
          </w14:textFill>
        </w:rPr>
        <w:t>参照《环境噪声与振动控制工程技术导则》（HJ2034-2013）中表A.2常见施工设备噪声源不同距离声压级，本项目噪声源具体产生情况见表</w:t>
      </w:r>
      <w:r>
        <w:rPr>
          <w:rFonts w:hint="eastAsia" w:ascii="Times New Roman" w:hAnsi="Times New Roman" w:cs="Times New Roman" w:eastAsiaTheme="minorEastAsia"/>
          <w:color w:val="000000" w:themeColor="text1"/>
          <w:w w:val="99"/>
          <w:sz w:val="24"/>
          <w14:textFill>
            <w14:solidFill>
              <w14:schemeClr w14:val="tx1"/>
            </w14:solidFill>
          </w14:textFill>
        </w:rPr>
        <w:t>3.</w:t>
      </w:r>
      <w:r>
        <w:rPr>
          <w:rFonts w:ascii="Times New Roman" w:hAnsi="Times New Roman" w:cs="Times New Roman" w:eastAsiaTheme="minorEastAsia"/>
          <w:color w:val="000000" w:themeColor="text1"/>
          <w:w w:val="99"/>
          <w:sz w:val="24"/>
          <w14:textFill>
            <w14:solidFill>
              <w14:schemeClr w14:val="tx1"/>
            </w14:solidFill>
          </w14:textFill>
        </w:rPr>
        <w:t>4-3。</w:t>
      </w:r>
    </w:p>
    <w:p w14:paraId="46933ACB">
      <w:pPr>
        <w:spacing w:line="440" w:lineRule="exact"/>
        <w:ind w:firstLine="476" w:firstLineChars="200"/>
        <w:rPr>
          <w:rFonts w:ascii="Times New Roman" w:hAnsi="Times New Roman" w:cs="Times New Roman" w:eastAsiaTheme="minorEastAsia"/>
          <w:b/>
          <w:bCs/>
          <w:color w:val="000000" w:themeColor="text1"/>
          <w:w w:val="99"/>
          <w:sz w:val="24"/>
          <w14:textFill>
            <w14:solidFill>
              <w14:schemeClr w14:val="tx1"/>
            </w14:solidFill>
          </w14:textFill>
        </w:rPr>
      </w:pPr>
      <w:r>
        <w:rPr>
          <w:rFonts w:ascii="Times New Roman" w:hAnsi="Times New Roman" w:cs="Times New Roman" w:eastAsiaTheme="minorEastAsia"/>
          <w:b/>
          <w:bCs/>
          <w:color w:val="000000" w:themeColor="text1"/>
          <w:w w:val="99"/>
          <w:sz w:val="24"/>
          <w14:textFill>
            <w14:solidFill>
              <w14:schemeClr w14:val="tx1"/>
            </w14:solidFill>
          </w14:textFill>
        </w:rPr>
        <w:t>表</w:t>
      </w:r>
      <w:r>
        <w:rPr>
          <w:rFonts w:hint="eastAsia" w:ascii="Times New Roman" w:hAnsi="Times New Roman" w:cs="Times New Roman" w:eastAsiaTheme="minorEastAsia"/>
          <w:b/>
          <w:bCs/>
          <w:color w:val="000000" w:themeColor="text1"/>
          <w:w w:val="99"/>
          <w:sz w:val="24"/>
          <w14:textFill>
            <w14:solidFill>
              <w14:schemeClr w14:val="tx1"/>
            </w14:solidFill>
          </w14:textFill>
        </w:rPr>
        <w:t>3</w:t>
      </w:r>
      <w:r>
        <w:rPr>
          <w:rFonts w:ascii="Times New Roman" w:hAnsi="Times New Roman" w:cs="Times New Roman" w:eastAsiaTheme="minorEastAsia"/>
          <w:b/>
          <w:bCs/>
          <w:color w:val="000000" w:themeColor="text1"/>
          <w:w w:val="99"/>
          <w:sz w:val="24"/>
          <w14:textFill>
            <w14:solidFill>
              <w14:schemeClr w14:val="tx1"/>
            </w14:solidFill>
          </w14:textFill>
        </w:rPr>
        <w:t>.4-3</w:t>
      </w:r>
      <w:r>
        <w:rPr>
          <w:rFonts w:ascii="Times New Roman" w:hAnsi="Times New Roman" w:cs="Times New Roman" w:eastAsiaTheme="minorEastAsia"/>
          <w:b/>
          <w:color w:val="000000" w:themeColor="text1"/>
          <w:w w:val="99"/>
          <w14:textFill>
            <w14:solidFill>
              <w14:schemeClr w14:val="tx1"/>
            </w14:solidFill>
          </w14:textFill>
        </w:rPr>
        <w:t xml:space="preserve">    </w:t>
      </w:r>
      <w:r>
        <w:rPr>
          <w:rFonts w:ascii="Times New Roman" w:hAnsi="Times New Roman" w:cs="Times New Roman" w:eastAsiaTheme="minorEastAsia"/>
          <w:b/>
          <w:bCs/>
          <w:color w:val="000000" w:themeColor="text1"/>
          <w:w w:val="99"/>
          <w:sz w:val="24"/>
          <w14:textFill>
            <w14:solidFill>
              <w14:schemeClr w14:val="tx1"/>
            </w14:solidFill>
          </w14:textFill>
        </w:rPr>
        <w:t>本项目施工期噪声源统计表</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0"/>
        <w:gridCol w:w="2432"/>
        <w:gridCol w:w="2787"/>
        <w:gridCol w:w="2971"/>
      </w:tblGrid>
      <w:tr w14:paraId="067A5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92" w:type="pct"/>
          </w:tcPr>
          <w:p w14:paraId="19436440">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序号</w:t>
            </w:r>
          </w:p>
        </w:tc>
        <w:tc>
          <w:tcPr>
            <w:tcW w:w="1309" w:type="pct"/>
            <w:vAlign w:val="center"/>
          </w:tcPr>
          <w:p w14:paraId="4969B14F">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设备名称</w:t>
            </w:r>
          </w:p>
        </w:tc>
        <w:tc>
          <w:tcPr>
            <w:tcW w:w="1500" w:type="pct"/>
            <w:vAlign w:val="center"/>
          </w:tcPr>
          <w:p w14:paraId="76C3F72B">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声源性质</w:t>
            </w:r>
          </w:p>
        </w:tc>
        <w:tc>
          <w:tcPr>
            <w:tcW w:w="1600" w:type="pct"/>
            <w:vAlign w:val="center"/>
          </w:tcPr>
          <w:p w14:paraId="56EE13CC">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噪声值dB(A)</w:t>
            </w:r>
          </w:p>
        </w:tc>
      </w:tr>
      <w:tr w14:paraId="4E736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92" w:type="pct"/>
          </w:tcPr>
          <w:p w14:paraId="1E7F3DEF">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1</w:t>
            </w:r>
          </w:p>
        </w:tc>
        <w:tc>
          <w:tcPr>
            <w:tcW w:w="1309" w:type="pct"/>
            <w:vAlign w:val="center"/>
          </w:tcPr>
          <w:p w14:paraId="1277B9E4">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挖掘机</w:t>
            </w:r>
          </w:p>
        </w:tc>
        <w:tc>
          <w:tcPr>
            <w:tcW w:w="1500" w:type="pct"/>
            <w:vAlign w:val="center"/>
          </w:tcPr>
          <w:p w14:paraId="16231EEC">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非连续稳态声源</w:t>
            </w:r>
          </w:p>
        </w:tc>
        <w:tc>
          <w:tcPr>
            <w:tcW w:w="1600" w:type="pct"/>
            <w:vAlign w:val="center"/>
          </w:tcPr>
          <w:p w14:paraId="5C65F4F6">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96～104</w:t>
            </w:r>
          </w:p>
        </w:tc>
      </w:tr>
      <w:tr w14:paraId="15438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92" w:type="pct"/>
          </w:tcPr>
          <w:p w14:paraId="3C701B8E">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2</w:t>
            </w:r>
          </w:p>
        </w:tc>
        <w:tc>
          <w:tcPr>
            <w:tcW w:w="1309" w:type="pct"/>
            <w:vAlign w:val="center"/>
          </w:tcPr>
          <w:p w14:paraId="33DDD993">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推土机</w:t>
            </w:r>
          </w:p>
        </w:tc>
        <w:tc>
          <w:tcPr>
            <w:tcW w:w="1500" w:type="pct"/>
            <w:vAlign w:val="center"/>
          </w:tcPr>
          <w:p w14:paraId="60F09EB6">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非连续稳态声源</w:t>
            </w:r>
          </w:p>
        </w:tc>
        <w:tc>
          <w:tcPr>
            <w:tcW w:w="1600" w:type="pct"/>
            <w:vAlign w:val="center"/>
          </w:tcPr>
          <w:p w14:paraId="0A05A2CF">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97～102</w:t>
            </w:r>
          </w:p>
        </w:tc>
      </w:tr>
      <w:tr w14:paraId="11B22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92" w:type="pct"/>
          </w:tcPr>
          <w:p w14:paraId="5AC0DB24">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3</w:t>
            </w:r>
          </w:p>
        </w:tc>
        <w:tc>
          <w:tcPr>
            <w:tcW w:w="1309" w:type="pct"/>
            <w:vAlign w:val="center"/>
          </w:tcPr>
          <w:p w14:paraId="33A3DF74">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吊管机</w:t>
            </w:r>
          </w:p>
        </w:tc>
        <w:tc>
          <w:tcPr>
            <w:tcW w:w="1500" w:type="pct"/>
            <w:vAlign w:val="center"/>
          </w:tcPr>
          <w:p w14:paraId="30C023C8">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连续稳态声源</w:t>
            </w:r>
          </w:p>
        </w:tc>
        <w:tc>
          <w:tcPr>
            <w:tcW w:w="1600" w:type="pct"/>
            <w:vAlign w:val="center"/>
          </w:tcPr>
          <w:p w14:paraId="562983CD">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85～93</w:t>
            </w:r>
          </w:p>
        </w:tc>
      </w:tr>
      <w:tr w14:paraId="6E6A9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92" w:type="pct"/>
          </w:tcPr>
          <w:p w14:paraId="7ACDD4E5">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4</w:t>
            </w:r>
          </w:p>
        </w:tc>
        <w:tc>
          <w:tcPr>
            <w:tcW w:w="1309" w:type="pct"/>
            <w:vAlign w:val="center"/>
          </w:tcPr>
          <w:p w14:paraId="456D53AC">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液压顶管机</w:t>
            </w:r>
          </w:p>
        </w:tc>
        <w:tc>
          <w:tcPr>
            <w:tcW w:w="1500" w:type="pct"/>
            <w:vAlign w:val="center"/>
          </w:tcPr>
          <w:p w14:paraId="0E2FB857">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连续稳态声源</w:t>
            </w:r>
          </w:p>
        </w:tc>
        <w:tc>
          <w:tcPr>
            <w:tcW w:w="1600" w:type="pct"/>
            <w:vAlign w:val="center"/>
          </w:tcPr>
          <w:p w14:paraId="57BFA6B0">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85～93</w:t>
            </w:r>
          </w:p>
        </w:tc>
      </w:tr>
      <w:tr w14:paraId="129F0B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92" w:type="pct"/>
          </w:tcPr>
          <w:p w14:paraId="0A9F4FAC">
            <w:pPr>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5</w:t>
            </w:r>
          </w:p>
        </w:tc>
        <w:tc>
          <w:tcPr>
            <w:tcW w:w="1309" w:type="pct"/>
            <w:vAlign w:val="center"/>
          </w:tcPr>
          <w:p w14:paraId="1CC02CAA">
            <w:pPr>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电焊机</w:t>
            </w:r>
          </w:p>
        </w:tc>
        <w:tc>
          <w:tcPr>
            <w:tcW w:w="1500" w:type="pct"/>
            <w:vAlign w:val="center"/>
          </w:tcPr>
          <w:p w14:paraId="137E2B8F">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连续稳态声源</w:t>
            </w:r>
          </w:p>
        </w:tc>
        <w:tc>
          <w:tcPr>
            <w:tcW w:w="1600" w:type="pct"/>
            <w:vAlign w:val="center"/>
          </w:tcPr>
          <w:p w14:paraId="6A59D075">
            <w:pPr>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60</w:t>
            </w:r>
            <w:r>
              <w:rPr>
                <w:rFonts w:ascii="Times New Roman" w:hAnsi="Times New Roman" w:cs="Times New Roman" w:eastAsiaTheme="minorEastAsia"/>
                <w:snapToGrid w:val="0"/>
                <w:color w:val="000000" w:themeColor="text1"/>
                <w:w w:val="99"/>
                <w:szCs w:val="21"/>
                <w14:textFill>
                  <w14:solidFill>
                    <w14:schemeClr w14:val="tx1"/>
                  </w14:solidFill>
                </w14:textFill>
              </w:rPr>
              <w:t>～</w:t>
            </w:r>
            <w:r>
              <w:rPr>
                <w:rFonts w:ascii="Times New Roman" w:hAnsi="Times New Roman" w:cs="Times New Roman" w:eastAsiaTheme="minorEastAsia"/>
                <w:color w:val="000000" w:themeColor="text1"/>
                <w:w w:val="99"/>
                <w:szCs w:val="21"/>
                <w14:textFill>
                  <w14:solidFill>
                    <w14:schemeClr w14:val="tx1"/>
                  </w14:solidFill>
                </w14:textFill>
              </w:rPr>
              <w:t>70</w:t>
            </w:r>
          </w:p>
        </w:tc>
      </w:tr>
      <w:tr w14:paraId="0F78B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92" w:type="pct"/>
          </w:tcPr>
          <w:p w14:paraId="7A8CA00E">
            <w:pPr>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6</w:t>
            </w:r>
          </w:p>
        </w:tc>
        <w:tc>
          <w:tcPr>
            <w:tcW w:w="1309" w:type="pct"/>
            <w:vAlign w:val="center"/>
          </w:tcPr>
          <w:p w14:paraId="7FE5311E">
            <w:pPr>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运输车辆</w:t>
            </w:r>
          </w:p>
        </w:tc>
        <w:tc>
          <w:tcPr>
            <w:tcW w:w="1500" w:type="pct"/>
            <w:vAlign w:val="center"/>
          </w:tcPr>
          <w:p w14:paraId="169A4BCE">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非连续稳态声源</w:t>
            </w:r>
          </w:p>
        </w:tc>
        <w:tc>
          <w:tcPr>
            <w:tcW w:w="1600" w:type="pct"/>
            <w:vAlign w:val="center"/>
          </w:tcPr>
          <w:p w14:paraId="385AD3B6">
            <w:pPr>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96～104</w:t>
            </w:r>
          </w:p>
        </w:tc>
      </w:tr>
    </w:tbl>
    <w:p w14:paraId="25283131">
      <w:pPr>
        <w:spacing w:line="440" w:lineRule="exact"/>
        <w:ind w:firstLine="476" w:firstLineChars="200"/>
        <w:rPr>
          <w:rFonts w:ascii="Times New Roman" w:hAnsi="Times New Roman" w:cs="Times New Roman" w:eastAsiaTheme="minorEastAsia"/>
          <w:b/>
          <w:bCs/>
          <w:color w:val="000000" w:themeColor="text1"/>
          <w:w w:val="99"/>
          <w:sz w:val="24"/>
          <w14:textFill>
            <w14:solidFill>
              <w14:schemeClr w14:val="tx1"/>
            </w14:solidFill>
          </w14:textFill>
        </w:rPr>
      </w:pPr>
      <w:r>
        <w:rPr>
          <w:rFonts w:ascii="Times New Roman" w:hAnsi="Times New Roman" w:cs="Times New Roman" w:eastAsiaTheme="minorEastAsia"/>
          <w:b/>
          <w:bCs/>
          <w:color w:val="000000" w:themeColor="text1"/>
          <w:w w:val="99"/>
          <w:sz w:val="24"/>
          <w14:textFill>
            <w14:solidFill>
              <w14:schemeClr w14:val="tx1"/>
            </w14:solidFill>
          </w14:textFill>
        </w:rPr>
        <w:t>表</w:t>
      </w:r>
      <w:r>
        <w:rPr>
          <w:rFonts w:hint="eastAsia" w:ascii="Times New Roman" w:hAnsi="Times New Roman" w:cs="Times New Roman" w:eastAsiaTheme="minorEastAsia"/>
          <w:b/>
          <w:bCs/>
          <w:color w:val="000000" w:themeColor="text1"/>
          <w:w w:val="99"/>
          <w:sz w:val="24"/>
          <w14:textFill>
            <w14:solidFill>
              <w14:schemeClr w14:val="tx1"/>
            </w14:solidFill>
          </w14:textFill>
        </w:rPr>
        <w:t>3</w:t>
      </w:r>
      <w:r>
        <w:rPr>
          <w:rFonts w:ascii="Times New Roman" w:hAnsi="Times New Roman" w:cs="Times New Roman" w:eastAsiaTheme="minorEastAsia"/>
          <w:b/>
          <w:bCs/>
          <w:color w:val="000000" w:themeColor="text1"/>
          <w:w w:val="99"/>
          <w:sz w:val="24"/>
          <w14:textFill>
            <w14:solidFill>
              <w14:schemeClr w14:val="tx1"/>
            </w14:solidFill>
          </w14:textFill>
        </w:rPr>
        <w:t>.4-4    施工期噪声污染源源强核算结果及相关参数一览表</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7"/>
        <w:gridCol w:w="871"/>
        <w:gridCol w:w="754"/>
        <w:gridCol w:w="1132"/>
        <w:gridCol w:w="726"/>
        <w:gridCol w:w="758"/>
        <w:gridCol w:w="1128"/>
        <w:gridCol w:w="726"/>
        <w:gridCol w:w="870"/>
        <w:gridCol w:w="873"/>
        <w:gridCol w:w="725"/>
      </w:tblGrid>
      <w:tr w14:paraId="3A613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1" w:type="pct"/>
            <w:vMerge w:val="restart"/>
            <w:vAlign w:val="center"/>
          </w:tcPr>
          <w:p w14:paraId="11F3D8A8">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工序</w:t>
            </w:r>
          </w:p>
        </w:tc>
        <w:tc>
          <w:tcPr>
            <w:tcW w:w="469" w:type="pct"/>
            <w:vMerge w:val="restart"/>
            <w:vAlign w:val="center"/>
          </w:tcPr>
          <w:p w14:paraId="52CB4CD1">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装置</w:t>
            </w:r>
          </w:p>
        </w:tc>
        <w:tc>
          <w:tcPr>
            <w:tcW w:w="406" w:type="pct"/>
            <w:vMerge w:val="restart"/>
            <w:vAlign w:val="center"/>
          </w:tcPr>
          <w:p w14:paraId="5C4ED912">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噪声源</w:t>
            </w:r>
          </w:p>
        </w:tc>
        <w:tc>
          <w:tcPr>
            <w:tcW w:w="609" w:type="pct"/>
            <w:vMerge w:val="restart"/>
            <w:vAlign w:val="center"/>
          </w:tcPr>
          <w:p w14:paraId="57EA7E00">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声源类型（频发、偶发等）</w:t>
            </w:r>
          </w:p>
        </w:tc>
        <w:tc>
          <w:tcPr>
            <w:tcW w:w="799" w:type="pct"/>
            <w:gridSpan w:val="2"/>
            <w:vAlign w:val="center"/>
          </w:tcPr>
          <w:p w14:paraId="59F0A682">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噪声源强</w:t>
            </w:r>
          </w:p>
        </w:tc>
        <w:tc>
          <w:tcPr>
            <w:tcW w:w="998" w:type="pct"/>
            <w:gridSpan w:val="2"/>
            <w:vAlign w:val="center"/>
          </w:tcPr>
          <w:p w14:paraId="0030A146">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降噪措施</w:t>
            </w:r>
          </w:p>
        </w:tc>
        <w:tc>
          <w:tcPr>
            <w:tcW w:w="938" w:type="pct"/>
            <w:gridSpan w:val="2"/>
            <w:vAlign w:val="center"/>
          </w:tcPr>
          <w:p w14:paraId="64A797F3">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噪声值排放</w:t>
            </w:r>
          </w:p>
        </w:tc>
        <w:tc>
          <w:tcPr>
            <w:tcW w:w="390" w:type="pct"/>
            <w:vMerge w:val="restart"/>
            <w:vAlign w:val="center"/>
          </w:tcPr>
          <w:p w14:paraId="0C7D34DA">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持续时间</w:t>
            </w:r>
          </w:p>
        </w:tc>
      </w:tr>
      <w:tr w14:paraId="10E4A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1" w:type="pct"/>
            <w:vMerge w:val="continue"/>
            <w:vAlign w:val="center"/>
          </w:tcPr>
          <w:p w14:paraId="3F58FCE4">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p>
        </w:tc>
        <w:tc>
          <w:tcPr>
            <w:tcW w:w="469" w:type="pct"/>
            <w:vMerge w:val="continue"/>
            <w:vAlign w:val="center"/>
          </w:tcPr>
          <w:p w14:paraId="53EA8CFF">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p>
        </w:tc>
        <w:tc>
          <w:tcPr>
            <w:tcW w:w="406" w:type="pct"/>
            <w:vMerge w:val="continue"/>
            <w:vAlign w:val="center"/>
          </w:tcPr>
          <w:p w14:paraId="682FE821">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p>
        </w:tc>
        <w:tc>
          <w:tcPr>
            <w:tcW w:w="609" w:type="pct"/>
            <w:vMerge w:val="continue"/>
            <w:vAlign w:val="center"/>
          </w:tcPr>
          <w:p w14:paraId="10E91D7F">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p>
        </w:tc>
        <w:tc>
          <w:tcPr>
            <w:tcW w:w="391" w:type="pct"/>
            <w:vAlign w:val="center"/>
          </w:tcPr>
          <w:p w14:paraId="5A1D4D01">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核算方法</w:t>
            </w:r>
          </w:p>
        </w:tc>
        <w:tc>
          <w:tcPr>
            <w:tcW w:w="408" w:type="pct"/>
            <w:vAlign w:val="center"/>
          </w:tcPr>
          <w:p w14:paraId="311FFE39">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噪声值/dB（A）</w:t>
            </w:r>
          </w:p>
        </w:tc>
        <w:tc>
          <w:tcPr>
            <w:tcW w:w="607" w:type="pct"/>
            <w:vAlign w:val="center"/>
          </w:tcPr>
          <w:p w14:paraId="3368A8E6">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工艺</w:t>
            </w:r>
          </w:p>
        </w:tc>
        <w:tc>
          <w:tcPr>
            <w:tcW w:w="391" w:type="pct"/>
            <w:vAlign w:val="center"/>
          </w:tcPr>
          <w:p w14:paraId="51245160">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降噪效果/dB（A）</w:t>
            </w:r>
          </w:p>
        </w:tc>
        <w:tc>
          <w:tcPr>
            <w:tcW w:w="468" w:type="pct"/>
            <w:vAlign w:val="center"/>
          </w:tcPr>
          <w:p w14:paraId="7952B733">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核算方法</w:t>
            </w:r>
          </w:p>
        </w:tc>
        <w:tc>
          <w:tcPr>
            <w:tcW w:w="470" w:type="pct"/>
            <w:vAlign w:val="center"/>
          </w:tcPr>
          <w:p w14:paraId="754B0BDF">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噪声值/dB（A）</w:t>
            </w:r>
          </w:p>
        </w:tc>
        <w:tc>
          <w:tcPr>
            <w:tcW w:w="390" w:type="pct"/>
            <w:vMerge w:val="continue"/>
            <w:vAlign w:val="center"/>
          </w:tcPr>
          <w:p w14:paraId="5B135D06">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p>
        </w:tc>
      </w:tr>
      <w:tr w14:paraId="1BDCE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1" w:type="pct"/>
            <w:vMerge w:val="restart"/>
            <w:vAlign w:val="center"/>
          </w:tcPr>
          <w:p w14:paraId="2F20A02C">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场站、</w:t>
            </w:r>
          </w:p>
          <w:p w14:paraId="11AD8CE2">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管线施工</w:t>
            </w:r>
          </w:p>
        </w:tc>
        <w:tc>
          <w:tcPr>
            <w:tcW w:w="469" w:type="pct"/>
            <w:vMerge w:val="restart"/>
            <w:vAlign w:val="center"/>
          </w:tcPr>
          <w:p w14:paraId="4A0265DC">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施工机械</w:t>
            </w:r>
          </w:p>
        </w:tc>
        <w:tc>
          <w:tcPr>
            <w:tcW w:w="406" w:type="pct"/>
            <w:vAlign w:val="center"/>
          </w:tcPr>
          <w:p w14:paraId="590A85C2">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挖掘机</w:t>
            </w:r>
          </w:p>
        </w:tc>
        <w:tc>
          <w:tcPr>
            <w:tcW w:w="609" w:type="pct"/>
            <w:vAlign w:val="center"/>
          </w:tcPr>
          <w:p w14:paraId="03BA3F58">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频发</w:t>
            </w:r>
          </w:p>
        </w:tc>
        <w:tc>
          <w:tcPr>
            <w:tcW w:w="391" w:type="pct"/>
            <w:vMerge w:val="restart"/>
            <w:vAlign w:val="center"/>
          </w:tcPr>
          <w:p w14:paraId="1B1CBA9C">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类比法</w:t>
            </w:r>
          </w:p>
        </w:tc>
        <w:tc>
          <w:tcPr>
            <w:tcW w:w="408" w:type="pct"/>
            <w:vAlign w:val="center"/>
          </w:tcPr>
          <w:p w14:paraId="382FA985">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96～104</w:t>
            </w:r>
          </w:p>
        </w:tc>
        <w:tc>
          <w:tcPr>
            <w:tcW w:w="607" w:type="pct"/>
            <w:vMerge w:val="restart"/>
            <w:vAlign w:val="center"/>
          </w:tcPr>
          <w:p w14:paraId="17872BA9">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定期维护和保养，选用低噪音设备，并采取减振降噪措施</w:t>
            </w:r>
          </w:p>
        </w:tc>
        <w:tc>
          <w:tcPr>
            <w:tcW w:w="391" w:type="pct"/>
            <w:vAlign w:val="center"/>
          </w:tcPr>
          <w:p w14:paraId="37A2ABCA">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-25</w:t>
            </w:r>
          </w:p>
        </w:tc>
        <w:tc>
          <w:tcPr>
            <w:tcW w:w="468" w:type="pct"/>
            <w:vAlign w:val="center"/>
          </w:tcPr>
          <w:p w14:paraId="76A54377">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类比法</w:t>
            </w:r>
          </w:p>
        </w:tc>
        <w:tc>
          <w:tcPr>
            <w:tcW w:w="470" w:type="pct"/>
            <w:vAlign w:val="center"/>
          </w:tcPr>
          <w:p w14:paraId="3D1A1954">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71~79</w:t>
            </w:r>
          </w:p>
        </w:tc>
        <w:tc>
          <w:tcPr>
            <w:tcW w:w="390" w:type="pct"/>
            <w:vMerge w:val="restart"/>
            <w:vAlign w:val="center"/>
          </w:tcPr>
          <w:p w14:paraId="2D4A70FA">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施工期</w:t>
            </w:r>
          </w:p>
        </w:tc>
      </w:tr>
      <w:tr w14:paraId="273B62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1" w:type="pct"/>
            <w:vMerge w:val="continue"/>
            <w:vAlign w:val="center"/>
          </w:tcPr>
          <w:p w14:paraId="04DFEE11">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p>
        </w:tc>
        <w:tc>
          <w:tcPr>
            <w:tcW w:w="469" w:type="pct"/>
            <w:vMerge w:val="continue"/>
            <w:vAlign w:val="center"/>
          </w:tcPr>
          <w:p w14:paraId="1DBCB73A">
            <w:pPr>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p>
        </w:tc>
        <w:tc>
          <w:tcPr>
            <w:tcW w:w="406" w:type="pct"/>
            <w:vAlign w:val="center"/>
          </w:tcPr>
          <w:p w14:paraId="6BCDF69F">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推土机</w:t>
            </w:r>
          </w:p>
        </w:tc>
        <w:tc>
          <w:tcPr>
            <w:tcW w:w="609" w:type="pct"/>
            <w:vAlign w:val="center"/>
          </w:tcPr>
          <w:p w14:paraId="577B27B3">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偶发</w:t>
            </w:r>
          </w:p>
        </w:tc>
        <w:tc>
          <w:tcPr>
            <w:tcW w:w="391" w:type="pct"/>
            <w:vMerge w:val="continue"/>
            <w:vAlign w:val="center"/>
          </w:tcPr>
          <w:p w14:paraId="2AAED445">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p>
        </w:tc>
        <w:tc>
          <w:tcPr>
            <w:tcW w:w="408" w:type="pct"/>
            <w:vAlign w:val="center"/>
          </w:tcPr>
          <w:p w14:paraId="10123788">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97～102</w:t>
            </w:r>
          </w:p>
        </w:tc>
        <w:tc>
          <w:tcPr>
            <w:tcW w:w="607" w:type="pct"/>
            <w:vMerge w:val="continue"/>
            <w:vAlign w:val="center"/>
          </w:tcPr>
          <w:p w14:paraId="25E9156E">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p>
        </w:tc>
        <w:tc>
          <w:tcPr>
            <w:tcW w:w="391" w:type="pct"/>
            <w:vAlign w:val="center"/>
          </w:tcPr>
          <w:p w14:paraId="79E7D933">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-20</w:t>
            </w:r>
          </w:p>
        </w:tc>
        <w:tc>
          <w:tcPr>
            <w:tcW w:w="468" w:type="pct"/>
            <w:vAlign w:val="center"/>
          </w:tcPr>
          <w:p w14:paraId="4E847B3A">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类比法</w:t>
            </w:r>
          </w:p>
        </w:tc>
        <w:tc>
          <w:tcPr>
            <w:tcW w:w="470" w:type="pct"/>
            <w:vAlign w:val="center"/>
          </w:tcPr>
          <w:p w14:paraId="4B784A18">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77～82</w:t>
            </w:r>
          </w:p>
        </w:tc>
        <w:tc>
          <w:tcPr>
            <w:tcW w:w="390" w:type="pct"/>
            <w:vMerge w:val="continue"/>
            <w:vAlign w:val="center"/>
          </w:tcPr>
          <w:p w14:paraId="60BF5561">
            <w:pPr>
              <w:adjustRightInd w:val="0"/>
              <w:spacing w:line="360" w:lineRule="exact"/>
              <w:ind w:firstLine="482"/>
              <w:jc w:val="center"/>
              <w:rPr>
                <w:rFonts w:ascii="Times New Roman" w:hAnsi="Times New Roman" w:cs="Times New Roman" w:eastAsiaTheme="minorEastAsia"/>
                <w:color w:val="000000" w:themeColor="text1"/>
                <w:w w:val="99"/>
                <w:sz w:val="20"/>
                <w:szCs w:val="15"/>
                <w14:textFill>
                  <w14:solidFill>
                    <w14:schemeClr w14:val="tx1"/>
                  </w14:solidFill>
                </w14:textFill>
              </w:rPr>
            </w:pPr>
          </w:p>
        </w:tc>
      </w:tr>
      <w:tr w14:paraId="6965F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1" w:type="pct"/>
            <w:vMerge w:val="continue"/>
            <w:vAlign w:val="center"/>
          </w:tcPr>
          <w:p w14:paraId="2C3310F3">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p>
        </w:tc>
        <w:tc>
          <w:tcPr>
            <w:tcW w:w="469" w:type="pct"/>
            <w:vMerge w:val="continue"/>
            <w:vAlign w:val="center"/>
          </w:tcPr>
          <w:p w14:paraId="3E1E0CA0">
            <w:pPr>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p>
        </w:tc>
        <w:tc>
          <w:tcPr>
            <w:tcW w:w="406" w:type="pct"/>
            <w:vAlign w:val="center"/>
          </w:tcPr>
          <w:p w14:paraId="21D72181">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吊管机</w:t>
            </w:r>
          </w:p>
        </w:tc>
        <w:tc>
          <w:tcPr>
            <w:tcW w:w="609" w:type="pct"/>
            <w:vAlign w:val="center"/>
          </w:tcPr>
          <w:p w14:paraId="552D215C">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偶发</w:t>
            </w:r>
          </w:p>
        </w:tc>
        <w:tc>
          <w:tcPr>
            <w:tcW w:w="391" w:type="pct"/>
            <w:vMerge w:val="continue"/>
            <w:vAlign w:val="center"/>
          </w:tcPr>
          <w:p w14:paraId="3F65BBE9">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p>
        </w:tc>
        <w:tc>
          <w:tcPr>
            <w:tcW w:w="408" w:type="pct"/>
            <w:vAlign w:val="center"/>
          </w:tcPr>
          <w:p w14:paraId="3CE6AC4A">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85～93</w:t>
            </w:r>
          </w:p>
        </w:tc>
        <w:tc>
          <w:tcPr>
            <w:tcW w:w="607" w:type="pct"/>
            <w:vMerge w:val="continue"/>
            <w:vAlign w:val="center"/>
          </w:tcPr>
          <w:p w14:paraId="786C7A22">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p>
        </w:tc>
        <w:tc>
          <w:tcPr>
            <w:tcW w:w="391" w:type="pct"/>
            <w:vAlign w:val="center"/>
          </w:tcPr>
          <w:p w14:paraId="74964FBA">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-20</w:t>
            </w:r>
          </w:p>
        </w:tc>
        <w:tc>
          <w:tcPr>
            <w:tcW w:w="468" w:type="pct"/>
            <w:vAlign w:val="center"/>
          </w:tcPr>
          <w:p w14:paraId="457D89A2">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类比法</w:t>
            </w:r>
          </w:p>
        </w:tc>
        <w:tc>
          <w:tcPr>
            <w:tcW w:w="470" w:type="pct"/>
            <w:vAlign w:val="center"/>
          </w:tcPr>
          <w:p w14:paraId="7C15D773">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65～73</w:t>
            </w:r>
          </w:p>
        </w:tc>
        <w:tc>
          <w:tcPr>
            <w:tcW w:w="390" w:type="pct"/>
            <w:vMerge w:val="continue"/>
            <w:vAlign w:val="center"/>
          </w:tcPr>
          <w:p w14:paraId="6CF7618B">
            <w:pPr>
              <w:adjustRightInd w:val="0"/>
              <w:spacing w:line="360" w:lineRule="exact"/>
              <w:ind w:firstLine="482"/>
              <w:jc w:val="center"/>
              <w:rPr>
                <w:rFonts w:ascii="Times New Roman" w:hAnsi="Times New Roman" w:cs="Times New Roman" w:eastAsiaTheme="minorEastAsia"/>
                <w:color w:val="000000" w:themeColor="text1"/>
                <w:w w:val="99"/>
                <w:sz w:val="20"/>
                <w:szCs w:val="15"/>
                <w14:textFill>
                  <w14:solidFill>
                    <w14:schemeClr w14:val="tx1"/>
                  </w14:solidFill>
                </w14:textFill>
              </w:rPr>
            </w:pPr>
          </w:p>
        </w:tc>
      </w:tr>
      <w:tr w14:paraId="403B8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1" w:type="pct"/>
            <w:vMerge w:val="continue"/>
            <w:vAlign w:val="center"/>
          </w:tcPr>
          <w:p w14:paraId="084C799C">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p>
        </w:tc>
        <w:tc>
          <w:tcPr>
            <w:tcW w:w="469" w:type="pct"/>
            <w:vMerge w:val="continue"/>
            <w:vAlign w:val="center"/>
          </w:tcPr>
          <w:p w14:paraId="78E212F6">
            <w:pPr>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p>
        </w:tc>
        <w:tc>
          <w:tcPr>
            <w:tcW w:w="406" w:type="pct"/>
            <w:vAlign w:val="center"/>
          </w:tcPr>
          <w:p w14:paraId="13FE578A">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液压顶管机</w:t>
            </w:r>
          </w:p>
        </w:tc>
        <w:tc>
          <w:tcPr>
            <w:tcW w:w="609" w:type="pct"/>
            <w:vAlign w:val="center"/>
          </w:tcPr>
          <w:p w14:paraId="1F70F977">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偶发</w:t>
            </w:r>
          </w:p>
        </w:tc>
        <w:tc>
          <w:tcPr>
            <w:tcW w:w="391" w:type="pct"/>
            <w:vMerge w:val="continue"/>
            <w:vAlign w:val="center"/>
          </w:tcPr>
          <w:p w14:paraId="4C1F03C6">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p>
        </w:tc>
        <w:tc>
          <w:tcPr>
            <w:tcW w:w="408" w:type="pct"/>
            <w:vAlign w:val="center"/>
          </w:tcPr>
          <w:p w14:paraId="5CE0AFF3">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85～93</w:t>
            </w:r>
          </w:p>
        </w:tc>
        <w:tc>
          <w:tcPr>
            <w:tcW w:w="607" w:type="pct"/>
            <w:vMerge w:val="continue"/>
            <w:vAlign w:val="center"/>
          </w:tcPr>
          <w:p w14:paraId="32CAE222">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p>
        </w:tc>
        <w:tc>
          <w:tcPr>
            <w:tcW w:w="391" w:type="pct"/>
            <w:vAlign w:val="center"/>
          </w:tcPr>
          <w:p w14:paraId="2C51F890">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-15</w:t>
            </w:r>
          </w:p>
        </w:tc>
        <w:tc>
          <w:tcPr>
            <w:tcW w:w="468" w:type="pct"/>
            <w:vAlign w:val="center"/>
          </w:tcPr>
          <w:p w14:paraId="5FB9675B">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类比法</w:t>
            </w:r>
          </w:p>
        </w:tc>
        <w:tc>
          <w:tcPr>
            <w:tcW w:w="470" w:type="pct"/>
            <w:vAlign w:val="center"/>
          </w:tcPr>
          <w:p w14:paraId="66BEECFE">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70～78</w:t>
            </w:r>
          </w:p>
        </w:tc>
        <w:tc>
          <w:tcPr>
            <w:tcW w:w="390" w:type="pct"/>
            <w:vMerge w:val="continue"/>
            <w:vAlign w:val="center"/>
          </w:tcPr>
          <w:p w14:paraId="4596AB6F">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p>
        </w:tc>
      </w:tr>
      <w:tr w14:paraId="03277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1" w:type="pct"/>
            <w:vMerge w:val="continue"/>
            <w:vAlign w:val="center"/>
          </w:tcPr>
          <w:p w14:paraId="47EAC0E1">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p>
        </w:tc>
        <w:tc>
          <w:tcPr>
            <w:tcW w:w="469" w:type="pct"/>
            <w:vMerge w:val="continue"/>
            <w:vAlign w:val="center"/>
          </w:tcPr>
          <w:p w14:paraId="13F66091">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p>
        </w:tc>
        <w:tc>
          <w:tcPr>
            <w:tcW w:w="406" w:type="pct"/>
            <w:vAlign w:val="center"/>
          </w:tcPr>
          <w:p w14:paraId="6DE35292">
            <w:pPr>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电焊机</w:t>
            </w:r>
          </w:p>
        </w:tc>
        <w:tc>
          <w:tcPr>
            <w:tcW w:w="609" w:type="pct"/>
            <w:vAlign w:val="center"/>
          </w:tcPr>
          <w:p w14:paraId="44E39836">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频发</w:t>
            </w:r>
          </w:p>
        </w:tc>
        <w:tc>
          <w:tcPr>
            <w:tcW w:w="391" w:type="pct"/>
            <w:vMerge w:val="continue"/>
            <w:vAlign w:val="center"/>
          </w:tcPr>
          <w:p w14:paraId="6A531C1E">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p>
        </w:tc>
        <w:tc>
          <w:tcPr>
            <w:tcW w:w="408" w:type="pct"/>
            <w:vAlign w:val="center"/>
          </w:tcPr>
          <w:p w14:paraId="116A9633">
            <w:pPr>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60</w:t>
            </w:r>
            <w:r>
              <w:rPr>
                <w:rFonts w:ascii="Times New Roman" w:hAnsi="Times New Roman" w:cs="Times New Roman" w:eastAsiaTheme="minorEastAsia"/>
                <w:snapToGrid w:val="0"/>
                <w:color w:val="000000" w:themeColor="text1"/>
                <w:w w:val="99"/>
                <w:szCs w:val="21"/>
                <w14:textFill>
                  <w14:solidFill>
                    <w14:schemeClr w14:val="tx1"/>
                  </w14:solidFill>
                </w14:textFill>
              </w:rPr>
              <w:t>～</w:t>
            </w:r>
            <w:r>
              <w:rPr>
                <w:rFonts w:ascii="Times New Roman" w:hAnsi="Times New Roman" w:cs="Times New Roman" w:eastAsiaTheme="minorEastAsia"/>
                <w:color w:val="000000" w:themeColor="text1"/>
                <w:w w:val="99"/>
                <w:szCs w:val="21"/>
                <w14:textFill>
                  <w14:solidFill>
                    <w14:schemeClr w14:val="tx1"/>
                  </w14:solidFill>
                </w14:textFill>
              </w:rPr>
              <w:t>70</w:t>
            </w:r>
          </w:p>
        </w:tc>
        <w:tc>
          <w:tcPr>
            <w:tcW w:w="607" w:type="pct"/>
            <w:vMerge w:val="continue"/>
            <w:vAlign w:val="center"/>
          </w:tcPr>
          <w:p w14:paraId="4110DA33">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p>
        </w:tc>
        <w:tc>
          <w:tcPr>
            <w:tcW w:w="391" w:type="pct"/>
            <w:vAlign w:val="center"/>
          </w:tcPr>
          <w:p w14:paraId="3E8FAECB">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-15</w:t>
            </w:r>
          </w:p>
        </w:tc>
        <w:tc>
          <w:tcPr>
            <w:tcW w:w="468" w:type="pct"/>
            <w:vAlign w:val="center"/>
          </w:tcPr>
          <w:p w14:paraId="29317A8A">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类比法</w:t>
            </w:r>
          </w:p>
        </w:tc>
        <w:tc>
          <w:tcPr>
            <w:tcW w:w="470" w:type="pct"/>
            <w:vAlign w:val="center"/>
          </w:tcPr>
          <w:p w14:paraId="6A36BCF9">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45～55</w:t>
            </w:r>
          </w:p>
        </w:tc>
        <w:tc>
          <w:tcPr>
            <w:tcW w:w="390" w:type="pct"/>
            <w:vMerge w:val="continue"/>
            <w:vAlign w:val="center"/>
          </w:tcPr>
          <w:p w14:paraId="50FC892D">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p>
        </w:tc>
      </w:tr>
      <w:tr w14:paraId="06D7A0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1" w:type="pct"/>
            <w:vMerge w:val="continue"/>
            <w:vAlign w:val="center"/>
          </w:tcPr>
          <w:p w14:paraId="1B67C6FF">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p>
        </w:tc>
        <w:tc>
          <w:tcPr>
            <w:tcW w:w="469" w:type="pct"/>
            <w:vMerge w:val="continue"/>
            <w:vAlign w:val="center"/>
          </w:tcPr>
          <w:p w14:paraId="7749DE2E">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p>
        </w:tc>
        <w:tc>
          <w:tcPr>
            <w:tcW w:w="406" w:type="pct"/>
            <w:vAlign w:val="center"/>
          </w:tcPr>
          <w:p w14:paraId="67DD8EBC">
            <w:pPr>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运输车辆</w:t>
            </w:r>
          </w:p>
        </w:tc>
        <w:tc>
          <w:tcPr>
            <w:tcW w:w="609" w:type="pct"/>
            <w:vAlign w:val="center"/>
          </w:tcPr>
          <w:p w14:paraId="39B99E3C">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频发</w:t>
            </w:r>
          </w:p>
        </w:tc>
        <w:tc>
          <w:tcPr>
            <w:tcW w:w="391" w:type="pct"/>
            <w:vMerge w:val="continue"/>
            <w:vAlign w:val="center"/>
          </w:tcPr>
          <w:p w14:paraId="20F838C5">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p>
        </w:tc>
        <w:tc>
          <w:tcPr>
            <w:tcW w:w="408" w:type="pct"/>
            <w:vAlign w:val="center"/>
          </w:tcPr>
          <w:p w14:paraId="6DA6904A">
            <w:pPr>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96～104</w:t>
            </w:r>
          </w:p>
        </w:tc>
        <w:tc>
          <w:tcPr>
            <w:tcW w:w="607" w:type="pct"/>
            <w:vMerge w:val="continue"/>
            <w:vAlign w:val="center"/>
          </w:tcPr>
          <w:p w14:paraId="29FA65F6">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p>
        </w:tc>
        <w:tc>
          <w:tcPr>
            <w:tcW w:w="391" w:type="pct"/>
            <w:vAlign w:val="center"/>
          </w:tcPr>
          <w:p w14:paraId="06266A9C">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-25</w:t>
            </w:r>
          </w:p>
        </w:tc>
        <w:tc>
          <w:tcPr>
            <w:tcW w:w="468" w:type="pct"/>
            <w:vAlign w:val="center"/>
          </w:tcPr>
          <w:p w14:paraId="0AD486CA">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color w:val="000000" w:themeColor="text1"/>
                <w:w w:val="99"/>
                <w:sz w:val="20"/>
                <w:szCs w:val="15"/>
                <w14:textFill>
                  <w14:solidFill>
                    <w14:schemeClr w14:val="tx1"/>
                  </w14:solidFill>
                </w14:textFill>
              </w:rPr>
              <w:t>类比法</w:t>
            </w:r>
          </w:p>
        </w:tc>
        <w:tc>
          <w:tcPr>
            <w:tcW w:w="470" w:type="pct"/>
            <w:vAlign w:val="center"/>
          </w:tcPr>
          <w:p w14:paraId="1643BBFE">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71～79</w:t>
            </w:r>
          </w:p>
        </w:tc>
        <w:tc>
          <w:tcPr>
            <w:tcW w:w="390" w:type="pct"/>
            <w:vMerge w:val="continue"/>
            <w:vAlign w:val="center"/>
          </w:tcPr>
          <w:p w14:paraId="3F8FB320">
            <w:pPr>
              <w:adjustRightInd w:val="0"/>
              <w:spacing w:line="360" w:lineRule="exact"/>
              <w:jc w:val="center"/>
              <w:rPr>
                <w:rFonts w:ascii="Times New Roman" w:hAnsi="Times New Roman" w:cs="Times New Roman" w:eastAsiaTheme="minorEastAsia"/>
                <w:color w:val="000000" w:themeColor="text1"/>
                <w:w w:val="99"/>
                <w:sz w:val="20"/>
                <w:szCs w:val="15"/>
                <w14:textFill>
                  <w14:solidFill>
                    <w14:schemeClr w14:val="tx1"/>
                  </w14:solidFill>
                </w14:textFill>
              </w:rPr>
            </w:pPr>
          </w:p>
        </w:tc>
      </w:tr>
    </w:tbl>
    <w:p w14:paraId="193FB714">
      <w:pPr>
        <w:spacing w:line="440" w:lineRule="exact"/>
        <w:ind w:firstLine="474" w:firstLineChars="200"/>
        <w:rPr>
          <w:rFonts w:ascii="Times New Roman" w:hAnsi="Times New Roman" w:cs="Times New Roman" w:eastAsiaTheme="minorEastAsia"/>
          <w:color w:val="000000" w:themeColor="text1"/>
          <w:w w:val="99"/>
          <w:sz w:val="24"/>
          <w14:textFill>
            <w14:solidFill>
              <w14:schemeClr w14:val="tx1"/>
            </w14:solidFill>
          </w14:textFill>
        </w:rPr>
      </w:pPr>
      <w:r>
        <w:rPr>
          <w:rFonts w:ascii="Times New Roman" w:hAnsi="Times New Roman" w:cs="Times New Roman" w:eastAsiaTheme="minorEastAsia"/>
          <w:color w:val="000000" w:themeColor="text1"/>
          <w:w w:val="99"/>
          <w:sz w:val="24"/>
          <w14:textFill>
            <w14:solidFill>
              <w14:schemeClr w14:val="tx1"/>
            </w14:solidFill>
          </w14:textFill>
        </w:rPr>
        <w:t>（4）固体废物</w:t>
      </w:r>
    </w:p>
    <w:p w14:paraId="3CED7781">
      <w:pPr>
        <w:spacing w:line="440" w:lineRule="exact"/>
        <w:ind w:firstLine="474" w:firstLineChars="200"/>
        <w:rPr>
          <w:rFonts w:ascii="Times New Roman" w:hAnsi="Times New Roman" w:cs="Times New Roman" w:eastAsiaTheme="minorEastAsia"/>
          <w:color w:val="000000" w:themeColor="text1"/>
          <w:w w:val="99"/>
          <w:sz w:val="24"/>
          <w14:textFill>
            <w14:solidFill>
              <w14:schemeClr w14:val="tx1"/>
            </w14:solidFill>
          </w14:textFill>
        </w:rPr>
      </w:pPr>
      <w:r>
        <w:rPr>
          <w:rFonts w:hint="eastAsia"/>
          <w:color w:val="000000" w:themeColor="text1"/>
          <w:w w:val="99"/>
          <w:sz w:val="24"/>
          <w14:textFill>
            <w14:solidFill>
              <w14:schemeClr w14:val="tx1"/>
            </w14:solidFill>
          </w14:textFill>
        </w:rPr>
        <w:t>①</w:t>
      </w:r>
      <w:r>
        <w:rPr>
          <w:rFonts w:ascii="Times New Roman" w:hAnsi="Times New Roman" w:cs="Times New Roman" w:eastAsiaTheme="minorEastAsia"/>
          <w:color w:val="000000" w:themeColor="text1"/>
          <w:w w:val="99"/>
          <w:sz w:val="24"/>
          <w14:textFill>
            <w14:solidFill>
              <w14:schemeClr w14:val="tx1"/>
            </w14:solidFill>
          </w14:textFill>
        </w:rPr>
        <w:t>清淤油泥</w:t>
      </w:r>
    </w:p>
    <w:p w14:paraId="7D0E6B33">
      <w:pPr>
        <w:spacing w:line="440" w:lineRule="exact"/>
        <w:ind w:firstLine="474" w:firstLineChars="200"/>
        <w:rPr>
          <w:rFonts w:ascii="Times New Roman" w:hAnsi="Times New Roman" w:cs="Times New Roman" w:eastAsiaTheme="minorEastAsia"/>
          <w:color w:val="000000" w:themeColor="text1"/>
          <w:w w:val="99"/>
          <w:sz w:val="24"/>
          <w14:textFill>
            <w14:solidFill>
              <w14:schemeClr w14:val="tx1"/>
            </w14:solidFill>
          </w14:textFill>
        </w:rPr>
      </w:pPr>
      <w:r>
        <w:rPr>
          <w:rFonts w:ascii="Times New Roman" w:hAnsi="Times New Roman" w:cs="Times New Roman" w:eastAsiaTheme="minorEastAsia"/>
          <w:color w:val="000000" w:themeColor="text1"/>
          <w:w w:val="99"/>
          <w:sz w:val="24"/>
          <w14:textFill>
            <w14:solidFill>
              <w14:schemeClr w14:val="tx1"/>
            </w14:solidFill>
          </w14:textFill>
        </w:rPr>
        <w:t>在拆除九合一装置前需对九合一装置罐进行清淤，单座储罐清淤量约0.15t，共计30座储罐，清淤油泥产生量约为4.5t。</w:t>
      </w:r>
      <w:r>
        <w:rPr>
          <w:rFonts w:ascii="Times New Roman" w:hAnsi="Times New Roman" w:cs="Times New Roman" w:eastAsiaTheme="minorEastAsia"/>
          <w:color w:val="000000" w:themeColor="text1"/>
          <w:w w:val="99"/>
          <w:sz w:val="24"/>
          <w:lang w:val="en-US"/>
          <w14:textFill>
            <w14:solidFill>
              <w14:schemeClr w14:val="tx1"/>
            </w14:solidFill>
          </w14:textFill>
        </w:rPr>
        <w:t>根据《国家危险废物名录》，清淤油泥属于危险废物，危废代码为HW08/071-001-08，清淤油泥</w:t>
      </w:r>
      <w:r>
        <w:rPr>
          <w:rFonts w:ascii="Times New Roman" w:hAnsi="Times New Roman" w:cs="Times New Roman" w:eastAsiaTheme="minorEastAsia"/>
          <w:bCs/>
          <w:color w:val="000000" w:themeColor="text1"/>
          <w:w w:val="99"/>
          <w:sz w:val="24"/>
          <w:lang w:val="en-US"/>
          <w14:textFill>
            <w14:solidFill>
              <w14:schemeClr w14:val="tx1"/>
            </w14:solidFill>
          </w14:textFill>
        </w:rPr>
        <w:t>由罐车拉运至</w:t>
      </w:r>
      <w:r>
        <w:rPr>
          <w:rFonts w:hint="eastAsia" w:ascii="Times New Roman" w:hAnsi="Times New Roman" w:cs="Times New Roman" w:eastAsiaTheme="minorEastAsia"/>
          <w:bCs/>
          <w:color w:val="000000" w:themeColor="text1"/>
          <w:w w:val="99"/>
          <w:sz w:val="24"/>
          <w:lang w:val="en-US" w:eastAsia="zh-CN"/>
          <w14:textFill>
            <w14:solidFill>
              <w14:schemeClr w14:val="tx1"/>
            </w14:solidFill>
          </w14:textFill>
        </w:rPr>
        <w:t>第五采油厂</w:t>
      </w:r>
      <w:r>
        <w:rPr>
          <w:rFonts w:ascii="Times New Roman" w:hAnsi="Times New Roman" w:cs="Times New Roman" w:eastAsiaTheme="minorEastAsia"/>
          <w:bCs/>
          <w:color w:val="000000" w:themeColor="text1"/>
          <w:w w:val="99"/>
          <w:sz w:val="24"/>
          <w:lang w:val="en-US"/>
          <w14:textFill>
            <w14:solidFill>
              <w14:schemeClr w14:val="tx1"/>
            </w14:solidFill>
          </w14:textFill>
        </w:rPr>
        <w:t>含油污泥处理站处理满足《油田含油污泥处置与利用污染控制要求》（DB23/T 3104-2022）表1中</w:t>
      </w:r>
      <w:r>
        <w:rPr>
          <w:rFonts w:ascii="Times New Roman" w:hAnsi="Times New Roman" w:cs="Times New Roman" w:eastAsiaTheme="minorEastAsia"/>
          <w:bCs/>
          <w:color w:val="000000" w:themeColor="text1"/>
          <w:w w:val="99"/>
          <w:sz w:val="24"/>
          <w14:textFill>
            <w14:solidFill>
              <w14:schemeClr w14:val="tx1"/>
            </w14:solidFill>
          </w14:textFill>
        </w:rPr>
        <w:t>油田含油污泥经处置后泥渣利用污染物控制限值后用作油田垫井场和通井路</w:t>
      </w:r>
      <w:r>
        <w:rPr>
          <w:rFonts w:ascii="Times New Roman" w:hAnsi="Times New Roman" w:cs="Times New Roman" w:eastAsiaTheme="minorEastAsia"/>
          <w:bCs/>
          <w:color w:val="000000" w:themeColor="text1"/>
          <w:w w:val="99"/>
          <w:sz w:val="24"/>
          <w:lang w:val="en-US"/>
          <w14:textFill>
            <w14:solidFill>
              <w14:schemeClr w14:val="tx1"/>
            </w14:solidFill>
          </w14:textFill>
        </w:rPr>
        <w:t>。</w:t>
      </w:r>
    </w:p>
    <w:p w14:paraId="199468AA">
      <w:pPr>
        <w:spacing w:line="440" w:lineRule="exact"/>
        <w:ind w:firstLine="474" w:firstLineChars="200"/>
        <w:rPr>
          <w:color w:val="000000" w:themeColor="text1"/>
          <w:w w:val="99"/>
          <w:sz w:val="24"/>
          <w14:textFill>
            <w14:solidFill>
              <w14:schemeClr w14:val="tx1"/>
            </w14:solidFill>
          </w14:textFill>
        </w:rPr>
      </w:pPr>
    </w:p>
    <w:p w14:paraId="3C5F4A5D">
      <w:pPr>
        <w:spacing w:line="440" w:lineRule="exact"/>
        <w:ind w:firstLine="474" w:firstLineChars="200"/>
        <w:rPr>
          <w:rFonts w:ascii="Times New Roman" w:hAnsi="Times New Roman" w:cs="Times New Roman" w:eastAsiaTheme="minorEastAsia"/>
          <w:color w:val="000000" w:themeColor="text1"/>
          <w:w w:val="99"/>
          <w:sz w:val="24"/>
          <w14:textFill>
            <w14:solidFill>
              <w14:schemeClr w14:val="tx1"/>
            </w14:solidFill>
          </w14:textFill>
        </w:rPr>
      </w:pPr>
      <w:r>
        <w:rPr>
          <w:rFonts w:hint="eastAsia"/>
          <w:color w:val="000000" w:themeColor="text1"/>
          <w:w w:val="99"/>
          <w:sz w:val="24"/>
          <w14:textFill>
            <w14:solidFill>
              <w14:schemeClr w14:val="tx1"/>
            </w14:solidFill>
          </w14:textFill>
        </w:rPr>
        <w:t>②</w:t>
      </w:r>
      <w:r>
        <w:rPr>
          <w:rFonts w:ascii="Times New Roman" w:hAnsi="Times New Roman" w:cs="Times New Roman" w:eastAsiaTheme="minorEastAsia"/>
          <w:color w:val="000000" w:themeColor="text1"/>
          <w:w w:val="99"/>
          <w:sz w:val="24"/>
          <w14:textFill>
            <w14:solidFill>
              <w14:schemeClr w14:val="tx1"/>
            </w14:solidFill>
          </w14:textFill>
        </w:rPr>
        <w:t>施工废料</w:t>
      </w:r>
    </w:p>
    <w:p w14:paraId="2EB4B24B">
      <w:pPr>
        <w:spacing w:line="440" w:lineRule="exact"/>
        <w:ind w:firstLine="474" w:firstLineChars="200"/>
        <w:rPr>
          <w:rFonts w:ascii="Times New Roman" w:hAnsi="Times New Roman" w:cs="Times New Roman" w:eastAsiaTheme="minorEastAsia"/>
          <w:color w:val="000000" w:themeColor="text1"/>
          <w:w w:val="99"/>
          <w:sz w:val="24"/>
          <w14:textFill>
            <w14:solidFill>
              <w14:schemeClr w14:val="tx1"/>
            </w14:solidFill>
          </w14:textFill>
        </w:rPr>
      </w:pPr>
      <w:r>
        <w:rPr>
          <w:rFonts w:ascii="Times New Roman" w:hAnsi="Times New Roman" w:cs="Times New Roman" w:eastAsiaTheme="minorEastAsia"/>
          <w:color w:val="000000" w:themeColor="text1"/>
          <w:w w:val="99"/>
          <w:sz w:val="24"/>
          <w14:textFill>
            <w14:solidFill>
              <w14:schemeClr w14:val="tx1"/>
            </w14:solidFill>
          </w14:textFill>
        </w:rPr>
        <w:t>本项目施工废料主要为焊接施工中产生废焊条和管道、防腐保温施工过程中产生的废防腐材料，属于一般固体废物，根据《一般固体废物分类与代码》（GB/T39198-2020），施工废料的分类代码为071-001-99。施工废料产生量以20kg/km管道计，本项目新建管道共计23.37km，因此，施工废料产生量约为0.467t。施工废料采用收集桶回收，最大限度回收利用后，剩余废料拉运至</w:t>
      </w:r>
      <w:r>
        <w:rPr>
          <w:rFonts w:ascii="Times New Roman" w:hAnsi="Times New Roman" w:cs="Times New Roman" w:eastAsiaTheme="minorEastAsia"/>
          <w:color w:val="000000" w:themeColor="text1"/>
          <w:w w:val="99"/>
          <w:sz w:val="24"/>
          <w:lang w:val="en-US"/>
          <w14:textFill>
            <w14:solidFill>
              <w14:schemeClr w14:val="tx1"/>
            </w14:solidFill>
          </w14:textFill>
        </w:rPr>
        <w:t>第八采油厂工业固废填埋场</w:t>
      </w:r>
      <w:r>
        <w:rPr>
          <w:rFonts w:ascii="Times New Roman" w:hAnsi="Times New Roman" w:cs="Times New Roman" w:eastAsiaTheme="minorEastAsia"/>
          <w:color w:val="000000" w:themeColor="text1"/>
          <w:w w:val="99"/>
          <w:sz w:val="24"/>
          <w14:textFill>
            <w14:solidFill>
              <w14:schemeClr w14:val="tx1"/>
            </w14:solidFill>
          </w14:textFill>
        </w:rPr>
        <w:t>处理。</w:t>
      </w:r>
    </w:p>
    <w:p w14:paraId="6528BF49">
      <w:pPr>
        <w:spacing w:line="440" w:lineRule="exact"/>
        <w:ind w:firstLine="474" w:firstLineChars="200"/>
        <w:rPr>
          <w:rFonts w:ascii="Times New Roman" w:hAnsi="Times New Roman" w:cs="Times New Roman" w:eastAsiaTheme="minorEastAsia"/>
          <w:color w:val="000000" w:themeColor="text1"/>
          <w:w w:val="99"/>
          <w:sz w:val="24"/>
          <w14:textFill>
            <w14:solidFill>
              <w14:schemeClr w14:val="tx1"/>
            </w14:solidFill>
          </w14:textFill>
        </w:rPr>
      </w:pPr>
      <w:r>
        <w:rPr>
          <w:rFonts w:hint="eastAsia"/>
          <w:color w:val="000000" w:themeColor="text1"/>
          <w:w w:val="99"/>
          <w:sz w:val="24"/>
          <w14:textFill>
            <w14:solidFill>
              <w14:schemeClr w14:val="tx1"/>
            </w14:solidFill>
          </w14:textFill>
        </w:rPr>
        <w:t>③</w:t>
      </w:r>
      <w:r>
        <w:rPr>
          <w:rFonts w:ascii="Times New Roman" w:hAnsi="Times New Roman" w:cs="Times New Roman" w:eastAsiaTheme="minorEastAsia"/>
          <w:color w:val="000000" w:themeColor="text1"/>
          <w:w w:val="99"/>
          <w:sz w:val="24"/>
          <w14:textFill>
            <w14:solidFill>
              <w14:schemeClr w14:val="tx1"/>
            </w14:solidFill>
          </w14:textFill>
        </w:rPr>
        <w:t>建筑垃圾</w:t>
      </w:r>
    </w:p>
    <w:p w14:paraId="673F3DC4">
      <w:pPr>
        <w:spacing w:line="440" w:lineRule="exact"/>
        <w:ind w:firstLine="474" w:firstLineChars="200"/>
        <w:rPr>
          <w:rFonts w:ascii="Times New Roman" w:hAnsi="Times New Roman" w:cs="Times New Roman" w:eastAsiaTheme="minorEastAsia"/>
          <w:color w:val="000000" w:themeColor="text1"/>
          <w:w w:val="99"/>
          <w:sz w:val="24"/>
          <w14:textFill>
            <w14:solidFill>
              <w14:schemeClr w14:val="tx1"/>
            </w14:solidFill>
          </w14:textFill>
        </w:rPr>
      </w:pPr>
      <w:r>
        <w:rPr>
          <w:rFonts w:ascii="Times New Roman" w:hAnsi="Times New Roman" w:cs="Times New Roman" w:eastAsiaTheme="minorEastAsia"/>
          <w:color w:val="000000" w:themeColor="text1"/>
          <w:w w:val="99"/>
          <w:sz w:val="24"/>
          <w14:textFill>
            <w14:solidFill>
              <w14:schemeClr w14:val="tx1"/>
            </w14:solidFill>
          </w14:textFill>
        </w:rPr>
        <w:t>本项目在拆除拉油点九合一</w:t>
      </w:r>
      <w:r>
        <w:rPr>
          <w:rFonts w:hint="eastAsia" w:ascii="Times New Roman" w:hAnsi="Times New Roman" w:cs="Times New Roman" w:eastAsiaTheme="minorEastAsia"/>
          <w:color w:val="000000" w:themeColor="text1"/>
          <w:w w:val="99"/>
          <w:sz w:val="24"/>
          <w14:textFill>
            <w14:solidFill>
              <w14:schemeClr w14:val="tx1"/>
            </w14:solidFill>
          </w14:textFill>
        </w:rPr>
        <w:t>装置</w:t>
      </w:r>
      <w:r>
        <w:rPr>
          <w:rFonts w:ascii="Times New Roman" w:hAnsi="Times New Roman" w:cs="Times New Roman" w:eastAsiaTheme="minorEastAsia"/>
          <w:color w:val="000000" w:themeColor="text1"/>
          <w:w w:val="99"/>
          <w:sz w:val="24"/>
          <w14:textFill>
            <w14:solidFill>
              <w14:schemeClr w14:val="tx1"/>
            </w14:solidFill>
          </w14:textFill>
        </w:rPr>
        <w:t>基础及旱厕过程中将产生废砼块、废砖块等建筑垃圾，产生量约为264m</w:t>
      </w:r>
      <w:r>
        <w:rPr>
          <w:rFonts w:ascii="Times New Roman" w:hAnsi="Times New Roman" w:cs="Times New Roman" w:eastAsiaTheme="minorEastAsia"/>
          <w:color w:val="000000" w:themeColor="text1"/>
          <w:w w:val="99"/>
          <w:sz w:val="24"/>
          <w:vertAlign w:val="superscript"/>
          <w14:textFill>
            <w14:solidFill>
              <w14:schemeClr w14:val="tx1"/>
            </w14:solidFill>
          </w14:textFill>
        </w:rPr>
        <w:t>3</w:t>
      </w:r>
      <w:r>
        <w:rPr>
          <w:rFonts w:ascii="Times New Roman" w:hAnsi="Times New Roman" w:cs="Times New Roman" w:eastAsiaTheme="minorEastAsia"/>
          <w:color w:val="000000" w:themeColor="text1"/>
          <w:w w:val="99"/>
          <w:sz w:val="24"/>
          <w14:textFill>
            <w14:solidFill>
              <w14:schemeClr w14:val="tx1"/>
            </w14:solidFill>
          </w14:textFill>
        </w:rPr>
        <w:t>，建筑垃圾由施工单位拉运至大庆市</w:t>
      </w:r>
      <w:r>
        <w:rPr>
          <w:rFonts w:hint="eastAsia" w:ascii="Times New Roman" w:hAnsi="Times New Roman" w:cs="Times New Roman" w:eastAsiaTheme="minorEastAsia"/>
          <w:color w:val="000000" w:themeColor="text1"/>
          <w:w w:val="99"/>
          <w:sz w:val="24"/>
          <w:lang w:eastAsia="zh-CN"/>
          <w14:textFill>
            <w14:solidFill>
              <w14:schemeClr w14:val="tx1"/>
            </w14:solidFill>
          </w14:textFill>
        </w:rPr>
        <w:t>红岗区杏树岗镇</w:t>
      </w:r>
      <w:r>
        <w:rPr>
          <w:rFonts w:ascii="Times New Roman" w:hAnsi="Times New Roman" w:cs="Times New Roman" w:eastAsiaTheme="minorEastAsia"/>
          <w:color w:val="000000" w:themeColor="text1"/>
          <w:w w:val="99"/>
          <w:sz w:val="24"/>
          <w14:textFill>
            <w14:solidFill>
              <w14:schemeClr w14:val="tx1"/>
            </w14:solidFill>
          </w14:textFill>
        </w:rPr>
        <w:t>建筑垃圾消纳场处理。</w:t>
      </w:r>
    </w:p>
    <w:p w14:paraId="003177C7">
      <w:pPr>
        <w:spacing w:line="440" w:lineRule="exact"/>
        <w:ind w:firstLine="474" w:firstLineChars="200"/>
        <w:rPr>
          <w:rFonts w:ascii="Times New Roman" w:hAnsi="Times New Roman" w:cs="Times New Roman" w:eastAsiaTheme="minorEastAsia"/>
          <w:color w:val="000000" w:themeColor="text1"/>
          <w:w w:val="99"/>
          <w:sz w:val="24"/>
          <w14:textFill>
            <w14:solidFill>
              <w14:schemeClr w14:val="tx1"/>
            </w14:solidFill>
          </w14:textFill>
        </w:rPr>
      </w:pPr>
      <w:r>
        <w:rPr>
          <w:rFonts w:hint="eastAsia"/>
          <w:color w:val="000000" w:themeColor="text1"/>
          <w:w w:val="99"/>
          <w:sz w:val="24"/>
          <w14:textFill>
            <w14:solidFill>
              <w14:schemeClr w14:val="tx1"/>
            </w14:solidFill>
          </w14:textFill>
        </w:rPr>
        <w:t>④</w:t>
      </w:r>
      <w:r>
        <w:rPr>
          <w:rFonts w:ascii="Times New Roman" w:hAnsi="Times New Roman" w:cs="Times New Roman" w:eastAsiaTheme="minorEastAsia"/>
          <w:color w:val="000000" w:themeColor="text1"/>
          <w:w w:val="99"/>
          <w:sz w:val="24"/>
          <w14:textFill>
            <w14:solidFill>
              <w14:schemeClr w14:val="tx1"/>
            </w14:solidFill>
          </w14:textFill>
        </w:rPr>
        <w:t>废旧设备</w:t>
      </w:r>
    </w:p>
    <w:p w14:paraId="74F76963">
      <w:pPr>
        <w:spacing w:line="440" w:lineRule="exact"/>
        <w:ind w:firstLine="474" w:firstLineChars="200"/>
        <w:rPr>
          <w:rFonts w:ascii="Times New Roman" w:hAnsi="Times New Roman" w:cs="Times New Roman" w:eastAsiaTheme="minorEastAsia"/>
          <w:color w:val="000000" w:themeColor="text1"/>
          <w:w w:val="99"/>
          <w:sz w:val="24"/>
          <w14:textFill>
            <w14:solidFill>
              <w14:schemeClr w14:val="tx1"/>
            </w14:solidFill>
          </w14:textFill>
        </w:rPr>
      </w:pPr>
      <w:r>
        <w:rPr>
          <w:rFonts w:ascii="Times New Roman" w:hAnsi="Times New Roman" w:cs="Times New Roman" w:eastAsiaTheme="minorEastAsia"/>
          <w:color w:val="000000" w:themeColor="text1"/>
          <w:w w:val="99"/>
          <w:sz w:val="24"/>
          <w14:textFill>
            <w14:solidFill>
              <w14:schemeClr w14:val="tx1"/>
            </w14:solidFill>
          </w14:textFill>
        </w:rPr>
        <w:t>本项目施工期将拆除九合一装置30座，值班板房11座，共计约322t，拆除的废旧设备</w:t>
      </w:r>
      <w:r>
        <w:rPr>
          <w:rFonts w:ascii="Times New Roman" w:hAnsi="Times New Roman" w:cs="Times New Roman" w:eastAsiaTheme="minorEastAsia"/>
          <w:bCs/>
          <w:color w:val="000000" w:themeColor="text1"/>
          <w:w w:val="99"/>
          <w:sz w:val="24"/>
          <w14:textFill>
            <w14:solidFill>
              <w14:schemeClr w14:val="tx1"/>
            </w14:solidFill>
          </w14:textFill>
        </w:rPr>
        <w:t>全部</w:t>
      </w:r>
      <w:r>
        <w:rPr>
          <w:rFonts w:ascii="Times New Roman" w:hAnsi="Times New Roman" w:cs="Times New Roman" w:eastAsiaTheme="minorEastAsia"/>
          <w:color w:val="000000" w:themeColor="text1"/>
          <w:w w:val="99"/>
          <w:sz w:val="24"/>
          <w14:textFill>
            <w14:solidFill>
              <w14:schemeClr w14:val="tx1"/>
            </w14:solidFill>
          </w14:textFill>
        </w:rPr>
        <w:t>回收至</w:t>
      </w:r>
      <w:r>
        <w:rPr>
          <w:rFonts w:hint="eastAsia" w:ascii="Times New Roman" w:hAnsi="Times New Roman" w:cs="Times New Roman" w:eastAsiaTheme="minorEastAsia"/>
          <w:color w:val="000000" w:themeColor="text1"/>
          <w:w w:val="99"/>
          <w:sz w:val="24"/>
          <w:lang w:eastAsia="zh-CN"/>
          <w14:textFill>
            <w14:solidFill>
              <w14:schemeClr w14:val="tx1"/>
            </w14:solidFill>
          </w14:textFill>
        </w:rPr>
        <w:t>第五采油厂</w:t>
      </w:r>
      <w:r>
        <w:rPr>
          <w:rFonts w:ascii="Times New Roman" w:hAnsi="Times New Roman" w:cs="Times New Roman" w:eastAsiaTheme="minorEastAsia"/>
          <w:color w:val="000000" w:themeColor="text1"/>
          <w:w w:val="99"/>
          <w:sz w:val="24"/>
          <w14:textFill>
            <w14:solidFill>
              <w14:schemeClr w14:val="tx1"/>
            </w14:solidFill>
          </w14:textFill>
        </w:rPr>
        <w:t>物资库再利用。</w:t>
      </w:r>
    </w:p>
    <w:p w14:paraId="3AF59ACE">
      <w:pPr>
        <w:spacing w:line="440" w:lineRule="exact"/>
        <w:ind w:firstLine="474" w:firstLineChars="200"/>
        <w:rPr>
          <w:rFonts w:ascii="Times New Roman" w:hAnsi="Times New Roman" w:cs="Times New Roman" w:eastAsiaTheme="minorEastAsia"/>
          <w:color w:val="000000" w:themeColor="text1"/>
          <w:w w:val="99"/>
          <w:sz w:val="24"/>
          <w14:textFill>
            <w14:solidFill>
              <w14:schemeClr w14:val="tx1"/>
            </w14:solidFill>
          </w14:textFill>
        </w:rPr>
      </w:pPr>
      <w:r>
        <w:rPr>
          <w:rFonts w:hint="eastAsia"/>
          <w:color w:val="000000" w:themeColor="text1"/>
          <w:w w:val="99"/>
          <w:sz w:val="24"/>
          <w14:textFill>
            <w14:solidFill>
              <w14:schemeClr w14:val="tx1"/>
            </w14:solidFill>
          </w14:textFill>
        </w:rPr>
        <w:t>⑤</w:t>
      </w:r>
      <w:r>
        <w:rPr>
          <w:rFonts w:ascii="Times New Roman" w:hAnsi="Times New Roman" w:cs="Times New Roman" w:eastAsiaTheme="minorEastAsia"/>
          <w:color w:val="000000" w:themeColor="text1"/>
          <w:w w:val="99"/>
          <w:sz w:val="24"/>
          <w14:textFill>
            <w14:solidFill>
              <w14:schemeClr w14:val="tx1"/>
            </w14:solidFill>
          </w14:textFill>
        </w:rPr>
        <w:t>生活垃圾</w:t>
      </w:r>
    </w:p>
    <w:p w14:paraId="7B40A6FC">
      <w:pPr>
        <w:spacing w:line="440" w:lineRule="exact"/>
        <w:ind w:firstLine="474" w:firstLineChars="200"/>
        <w:rPr>
          <w:rFonts w:ascii="Times New Roman" w:hAnsi="Times New Roman" w:cs="Times New Roman" w:eastAsiaTheme="minorEastAsia"/>
          <w:color w:val="000000" w:themeColor="text1"/>
          <w:w w:val="99"/>
          <w:sz w:val="24"/>
          <w14:textFill>
            <w14:solidFill>
              <w14:schemeClr w14:val="tx1"/>
            </w14:solidFill>
          </w14:textFill>
        </w:rPr>
      </w:pPr>
      <w:r>
        <w:rPr>
          <w:rFonts w:ascii="Times New Roman" w:hAnsi="Times New Roman" w:cs="Times New Roman" w:eastAsiaTheme="minorEastAsia"/>
          <w:color w:val="000000" w:themeColor="text1"/>
          <w:w w:val="99"/>
          <w:sz w:val="24"/>
          <w14:textFill>
            <w14:solidFill>
              <w14:schemeClr w14:val="tx1"/>
            </w14:solidFill>
          </w14:textFill>
        </w:rPr>
        <w:t>本工程施工期施工人员20人，</w:t>
      </w:r>
      <w:r>
        <w:rPr>
          <w:rFonts w:ascii="Times New Roman" w:hAnsi="Times New Roman" w:cs="Times New Roman" w:eastAsiaTheme="minorEastAsia"/>
          <w:bCs/>
          <w:color w:val="000000" w:themeColor="text1"/>
          <w:w w:val="99"/>
          <w:sz w:val="24"/>
          <w14:textFill>
            <w14:solidFill>
              <w14:schemeClr w14:val="tx1"/>
            </w14:solidFill>
          </w14:textFill>
        </w:rPr>
        <w:t>施工约60d。</w:t>
      </w:r>
      <w:r>
        <w:rPr>
          <w:rFonts w:ascii="Times New Roman" w:hAnsi="Times New Roman" w:cs="Times New Roman" w:eastAsiaTheme="minorEastAsia"/>
          <w:color w:val="000000" w:themeColor="text1"/>
          <w:w w:val="99"/>
          <w:sz w:val="24"/>
          <w14:textFill>
            <w14:solidFill>
              <w14:schemeClr w14:val="tx1"/>
            </w14:solidFill>
          </w14:textFill>
        </w:rPr>
        <w:t>施工期每人产生生活垃圾0.5kg/d计，施工期生活垃圾产生量为0.6t。生活垃圾统一收集后拉运至大庆龙清生物科技有限公司处理。</w:t>
      </w:r>
    </w:p>
    <w:p w14:paraId="7A531CE9">
      <w:pPr>
        <w:spacing w:line="440" w:lineRule="exact"/>
        <w:ind w:firstLine="476" w:firstLineChars="200"/>
        <w:rPr>
          <w:rFonts w:ascii="Times New Roman" w:hAnsi="Times New Roman" w:cs="Times New Roman" w:eastAsiaTheme="minorEastAsia"/>
          <w:b/>
          <w:bCs/>
          <w:color w:val="000000" w:themeColor="text1"/>
          <w:w w:val="99"/>
          <w:sz w:val="24"/>
          <w14:textFill>
            <w14:solidFill>
              <w14:schemeClr w14:val="tx1"/>
            </w14:solidFill>
          </w14:textFill>
        </w:rPr>
      </w:pPr>
      <w:r>
        <w:rPr>
          <w:rFonts w:ascii="Times New Roman" w:hAnsi="Times New Roman" w:cs="Times New Roman" w:eastAsiaTheme="minorEastAsia"/>
          <w:b/>
          <w:bCs/>
          <w:color w:val="000000" w:themeColor="text1"/>
          <w:w w:val="99"/>
          <w:sz w:val="24"/>
          <w14:textFill>
            <w14:solidFill>
              <w14:schemeClr w14:val="tx1"/>
            </w14:solidFill>
          </w14:textFill>
        </w:rPr>
        <w:t>表</w:t>
      </w:r>
      <w:r>
        <w:rPr>
          <w:rFonts w:hint="eastAsia" w:ascii="Times New Roman" w:hAnsi="Times New Roman" w:cs="Times New Roman" w:eastAsiaTheme="minorEastAsia"/>
          <w:b/>
          <w:bCs/>
          <w:color w:val="000000" w:themeColor="text1"/>
          <w:w w:val="99"/>
          <w:sz w:val="24"/>
          <w14:textFill>
            <w14:solidFill>
              <w14:schemeClr w14:val="tx1"/>
            </w14:solidFill>
          </w14:textFill>
        </w:rPr>
        <w:t>3</w:t>
      </w:r>
      <w:r>
        <w:rPr>
          <w:rFonts w:ascii="Times New Roman" w:hAnsi="Times New Roman" w:cs="Times New Roman" w:eastAsiaTheme="minorEastAsia"/>
          <w:b/>
          <w:bCs/>
          <w:color w:val="000000" w:themeColor="text1"/>
          <w:w w:val="99"/>
          <w:sz w:val="24"/>
          <w14:textFill>
            <w14:solidFill>
              <w14:schemeClr w14:val="tx1"/>
            </w14:solidFill>
          </w14:textFill>
        </w:rPr>
        <w:t>.4-5    施工期固体废物污染源强核算结果表</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2"/>
        <w:gridCol w:w="1015"/>
        <w:gridCol w:w="1119"/>
        <w:gridCol w:w="1197"/>
        <w:gridCol w:w="1366"/>
        <w:gridCol w:w="1197"/>
        <w:gridCol w:w="2674"/>
      </w:tblGrid>
      <w:tr w14:paraId="7ED07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9" w:type="pct"/>
            <w:vMerge w:val="restart"/>
            <w:vAlign w:val="center"/>
          </w:tcPr>
          <w:p w14:paraId="61891127">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工序</w:t>
            </w:r>
          </w:p>
        </w:tc>
        <w:tc>
          <w:tcPr>
            <w:tcW w:w="547" w:type="pct"/>
            <w:vMerge w:val="restart"/>
            <w:vAlign w:val="center"/>
          </w:tcPr>
          <w:p w14:paraId="6263DE68">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固体废物名称</w:t>
            </w:r>
          </w:p>
        </w:tc>
        <w:tc>
          <w:tcPr>
            <w:tcW w:w="1246" w:type="pct"/>
            <w:gridSpan w:val="2"/>
            <w:vAlign w:val="center"/>
          </w:tcPr>
          <w:p w14:paraId="2C58226F">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产生情况</w:t>
            </w:r>
          </w:p>
        </w:tc>
        <w:tc>
          <w:tcPr>
            <w:tcW w:w="1379" w:type="pct"/>
            <w:gridSpan w:val="2"/>
            <w:vAlign w:val="center"/>
          </w:tcPr>
          <w:p w14:paraId="4C2DD052">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处置措施</w:t>
            </w:r>
          </w:p>
        </w:tc>
        <w:tc>
          <w:tcPr>
            <w:tcW w:w="1439" w:type="pct"/>
            <w:vMerge w:val="restart"/>
            <w:vAlign w:val="center"/>
          </w:tcPr>
          <w:p w14:paraId="149DA505">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最终排放去向</w:t>
            </w:r>
          </w:p>
        </w:tc>
      </w:tr>
      <w:tr w14:paraId="512E6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9" w:type="pct"/>
            <w:vMerge w:val="continue"/>
            <w:vAlign w:val="center"/>
          </w:tcPr>
          <w:p w14:paraId="1DC0CA9B">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p>
        </w:tc>
        <w:tc>
          <w:tcPr>
            <w:tcW w:w="547" w:type="pct"/>
            <w:vMerge w:val="continue"/>
            <w:vAlign w:val="center"/>
          </w:tcPr>
          <w:p w14:paraId="08296E5C">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p>
        </w:tc>
        <w:tc>
          <w:tcPr>
            <w:tcW w:w="602" w:type="pct"/>
            <w:vAlign w:val="center"/>
          </w:tcPr>
          <w:p w14:paraId="387B6EED">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核算方法</w:t>
            </w:r>
          </w:p>
        </w:tc>
        <w:tc>
          <w:tcPr>
            <w:tcW w:w="644" w:type="pct"/>
            <w:vAlign w:val="center"/>
          </w:tcPr>
          <w:p w14:paraId="725B5A14">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产生量</w:t>
            </w:r>
          </w:p>
        </w:tc>
        <w:tc>
          <w:tcPr>
            <w:tcW w:w="735" w:type="pct"/>
            <w:vAlign w:val="center"/>
          </w:tcPr>
          <w:p w14:paraId="359BA541">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工艺</w:t>
            </w:r>
          </w:p>
        </w:tc>
        <w:tc>
          <w:tcPr>
            <w:tcW w:w="644" w:type="pct"/>
            <w:vAlign w:val="center"/>
          </w:tcPr>
          <w:p w14:paraId="2F1F8F59">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处置量</w:t>
            </w:r>
          </w:p>
        </w:tc>
        <w:tc>
          <w:tcPr>
            <w:tcW w:w="1439" w:type="pct"/>
            <w:vMerge w:val="continue"/>
            <w:vAlign w:val="center"/>
          </w:tcPr>
          <w:p w14:paraId="68CB0FEA">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p>
        </w:tc>
      </w:tr>
      <w:tr w14:paraId="464D42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9" w:type="pct"/>
            <w:vMerge w:val="restart"/>
            <w:vAlign w:val="center"/>
          </w:tcPr>
          <w:p w14:paraId="461B8846">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装置拆除、管线建设</w:t>
            </w:r>
          </w:p>
        </w:tc>
        <w:tc>
          <w:tcPr>
            <w:tcW w:w="547" w:type="pct"/>
            <w:vAlign w:val="center"/>
          </w:tcPr>
          <w:p w14:paraId="2947BD9F">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清淤油泥</w:t>
            </w:r>
          </w:p>
        </w:tc>
        <w:tc>
          <w:tcPr>
            <w:tcW w:w="602" w:type="pct"/>
            <w:vAlign w:val="center"/>
          </w:tcPr>
          <w:p w14:paraId="40424E95">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类比法</w:t>
            </w:r>
          </w:p>
        </w:tc>
        <w:tc>
          <w:tcPr>
            <w:tcW w:w="644" w:type="pct"/>
            <w:vAlign w:val="center"/>
          </w:tcPr>
          <w:p w14:paraId="4ACD9174">
            <w:pPr>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4.5t</w:t>
            </w:r>
          </w:p>
        </w:tc>
        <w:tc>
          <w:tcPr>
            <w:tcW w:w="735" w:type="pct"/>
            <w:vAlign w:val="center"/>
          </w:tcPr>
          <w:p w14:paraId="4B51FB7D">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无害化处理</w:t>
            </w:r>
          </w:p>
        </w:tc>
        <w:tc>
          <w:tcPr>
            <w:tcW w:w="644" w:type="pct"/>
            <w:vAlign w:val="center"/>
          </w:tcPr>
          <w:p w14:paraId="2329B6EA">
            <w:pPr>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4.5t</w:t>
            </w:r>
          </w:p>
        </w:tc>
        <w:tc>
          <w:tcPr>
            <w:tcW w:w="1439" w:type="pct"/>
            <w:vAlign w:val="center"/>
          </w:tcPr>
          <w:p w14:paraId="125AF3F2">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bCs/>
                <w:snapToGrid w:val="0"/>
                <w:color w:val="000000" w:themeColor="text1"/>
                <w:w w:val="99"/>
                <w:szCs w:val="21"/>
                <w:lang w:val="en-US"/>
                <w14:textFill>
                  <w14:solidFill>
                    <w14:schemeClr w14:val="tx1"/>
                  </w14:solidFill>
                </w14:textFill>
              </w:rPr>
              <w:t>由罐车拉运至</w:t>
            </w:r>
            <w:r>
              <w:rPr>
                <w:rFonts w:hint="eastAsia" w:ascii="Times New Roman" w:hAnsi="Times New Roman" w:cs="Times New Roman" w:eastAsiaTheme="minorEastAsia"/>
                <w:bCs/>
                <w:snapToGrid w:val="0"/>
                <w:color w:val="000000" w:themeColor="text1"/>
                <w:w w:val="99"/>
                <w:szCs w:val="21"/>
                <w:lang w:val="en-US" w:eastAsia="zh-CN"/>
                <w14:textFill>
                  <w14:solidFill>
                    <w14:schemeClr w14:val="tx1"/>
                  </w14:solidFill>
                </w14:textFill>
              </w:rPr>
              <w:t>第五采油厂</w:t>
            </w:r>
            <w:r>
              <w:rPr>
                <w:rFonts w:ascii="Times New Roman" w:hAnsi="Times New Roman" w:cs="Times New Roman" w:eastAsiaTheme="minorEastAsia"/>
                <w:bCs/>
                <w:snapToGrid w:val="0"/>
                <w:color w:val="000000" w:themeColor="text1"/>
                <w:w w:val="99"/>
                <w:szCs w:val="21"/>
                <w:lang w:val="en-US"/>
                <w14:textFill>
                  <w14:solidFill>
                    <w14:schemeClr w14:val="tx1"/>
                  </w14:solidFill>
                </w14:textFill>
              </w:rPr>
              <w:t>含油污泥处理站处理</w:t>
            </w:r>
          </w:p>
        </w:tc>
      </w:tr>
      <w:tr w14:paraId="5D190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9" w:type="pct"/>
            <w:vMerge w:val="continue"/>
            <w:vAlign w:val="center"/>
          </w:tcPr>
          <w:p w14:paraId="7B6E5884">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p>
        </w:tc>
        <w:tc>
          <w:tcPr>
            <w:tcW w:w="547" w:type="pct"/>
            <w:vAlign w:val="center"/>
          </w:tcPr>
          <w:p w14:paraId="5346C759">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生活垃圾</w:t>
            </w:r>
          </w:p>
        </w:tc>
        <w:tc>
          <w:tcPr>
            <w:tcW w:w="602" w:type="pct"/>
            <w:vAlign w:val="center"/>
          </w:tcPr>
          <w:p w14:paraId="5D5A83DC">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类比法</w:t>
            </w:r>
          </w:p>
        </w:tc>
        <w:tc>
          <w:tcPr>
            <w:tcW w:w="644" w:type="pct"/>
            <w:vAlign w:val="center"/>
          </w:tcPr>
          <w:p w14:paraId="748189A7">
            <w:pPr>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0.6t</w:t>
            </w:r>
          </w:p>
        </w:tc>
        <w:tc>
          <w:tcPr>
            <w:tcW w:w="735" w:type="pct"/>
            <w:vAlign w:val="center"/>
          </w:tcPr>
          <w:p w14:paraId="288AB9BD">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卫生填埋</w:t>
            </w:r>
          </w:p>
        </w:tc>
        <w:tc>
          <w:tcPr>
            <w:tcW w:w="644" w:type="pct"/>
            <w:vAlign w:val="center"/>
          </w:tcPr>
          <w:p w14:paraId="6D045B0E">
            <w:pPr>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0.6t</w:t>
            </w:r>
          </w:p>
        </w:tc>
        <w:tc>
          <w:tcPr>
            <w:tcW w:w="1439" w:type="pct"/>
            <w:vAlign w:val="center"/>
          </w:tcPr>
          <w:p w14:paraId="5B26084B">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统一收集后运至大庆龙清生物科技有限公司处理</w:t>
            </w:r>
          </w:p>
        </w:tc>
      </w:tr>
      <w:tr w14:paraId="78083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9" w:type="pct"/>
            <w:vMerge w:val="continue"/>
            <w:vAlign w:val="center"/>
          </w:tcPr>
          <w:p w14:paraId="244C31AA">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p>
        </w:tc>
        <w:tc>
          <w:tcPr>
            <w:tcW w:w="547" w:type="pct"/>
            <w:vAlign w:val="center"/>
          </w:tcPr>
          <w:p w14:paraId="1A1A0E78">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施工废料</w:t>
            </w:r>
          </w:p>
        </w:tc>
        <w:tc>
          <w:tcPr>
            <w:tcW w:w="602" w:type="pct"/>
            <w:vAlign w:val="center"/>
          </w:tcPr>
          <w:p w14:paraId="74A9BE8C">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类比法</w:t>
            </w:r>
          </w:p>
        </w:tc>
        <w:tc>
          <w:tcPr>
            <w:tcW w:w="644" w:type="pct"/>
            <w:vAlign w:val="center"/>
          </w:tcPr>
          <w:p w14:paraId="2F000077">
            <w:pPr>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0.467t</w:t>
            </w:r>
          </w:p>
        </w:tc>
        <w:tc>
          <w:tcPr>
            <w:tcW w:w="735" w:type="pct"/>
            <w:vAlign w:val="center"/>
          </w:tcPr>
          <w:p w14:paraId="2E1E9598">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填埋处理</w:t>
            </w:r>
          </w:p>
        </w:tc>
        <w:tc>
          <w:tcPr>
            <w:tcW w:w="644" w:type="pct"/>
            <w:vAlign w:val="center"/>
          </w:tcPr>
          <w:p w14:paraId="665DC32E">
            <w:pPr>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0.467t</w:t>
            </w:r>
          </w:p>
        </w:tc>
        <w:tc>
          <w:tcPr>
            <w:tcW w:w="1439" w:type="pct"/>
            <w:vAlign w:val="center"/>
          </w:tcPr>
          <w:p w14:paraId="3615A92F">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14:textFill>
                  <w14:solidFill>
                    <w14:schemeClr w14:val="tx1"/>
                  </w14:solidFill>
                </w14:textFill>
              </w:rPr>
              <w:t>由施工单位拉运至</w:t>
            </w:r>
            <w:r>
              <w:rPr>
                <w:rFonts w:ascii="Times New Roman" w:hAnsi="Times New Roman" w:cs="Times New Roman" w:eastAsiaTheme="minorEastAsia"/>
                <w:color w:val="000000" w:themeColor="text1"/>
                <w:w w:val="99"/>
                <w:lang w:val="en-US"/>
                <w14:textFill>
                  <w14:solidFill>
                    <w14:schemeClr w14:val="tx1"/>
                  </w14:solidFill>
                </w14:textFill>
              </w:rPr>
              <w:t>第八采油厂工业固废填埋场</w:t>
            </w:r>
            <w:r>
              <w:rPr>
                <w:rFonts w:ascii="Times New Roman" w:hAnsi="Times New Roman" w:cs="Times New Roman" w:eastAsiaTheme="minorEastAsia"/>
                <w:color w:val="000000" w:themeColor="text1"/>
                <w:w w:val="99"/>
                <w14:textFill>
                  <w14:solidFill>
                    <w14:schemeClr w14:val="tx1"/>
                  </w14:solidFill>
                </w14:textFill>
              </w:rPr>
              <w:t>处理</w:t>
            </w:r>
          </w:p>
        </w:tc>
      </w:tr>
      <w:tr w14:paraId="559F5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9" w:type="pct"/>
            <w:vMerge w:val="continue"/>
            <w:vAlign w:val="center"/>
          </w:tcPr>
          <w:p w14:paraId="6D7370EF">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p>
        </w:tc>
        <w:tc>
          <w:tcPr>
            <w:tcW w:w="547" w:type="pct"/>
            <w:vAlign w:val="center"/>
          </w:tcPr>
          <w:p w14:paraId="00C0648F">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建筑垃圾</w:t>
            </w:r>
          </w:p>
        </w:tc>
        <w:tc>
          <w:tcPr>
            <w:tcW w:w="602" w:type="pct"/>
            <w:vAlign w:val="center"/>
          </w:tcPr>
          <w:p w14:paraId="6FDE6C6E">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类比法</w:t>
            </w:r>
          </w:p>
        </w:tc>
        <w:tc>
          <w:tcPr>
            <w:tcW w:w="644" w:type="pct"/>
            <w:vAlign w:val="center"/>
          </w:tcPr>
          <w:p w14:paraId="42F2B7CA">
            <w:pPr>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264m</w:t>
            </w:r>
            <w:r>
              <w:rPr>
                <w:rFonts w:ascii="Times New Roman" w:hAnsi="Times New Roman" w:cs="Times New Roman" w:eastAsiaTheme="minorEastAsia"/>
                <w:color w:val="000000" w:themeColor="text1"/>
                <w:w w:val="99"/>
                <w:szCs w:val="21"/>
                <w:vertAlign w:val="superscript"/>
                <w14:textFill>
                  <w14:solidFill>
                    <w14:schemeClr w14:val="tx1"/>
                  </w14:solidFill>
                </w14:textFill>
              </w:rPr>
              <w:t>3</w:t>
            </w:r>
          </w:p>
        </w:tc>
        <w:tc>
          <w:tcPr>
            <w:tcW w:w="735" w:type="pct"/>
            <w:vAlign w:val="center"/>
          </w:tcPr>
          <w:p w14:paraId="7481A11D">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无害化处理</w:t>
            </w:r>
          </w:p>
        </w:tc>
        <w:tc>
          <w:tcPr>
            <w:tcW w:w="644" w:type="pct"/>
            <w:vAlign w:val="center"/>
          </w:tcPr>
          <w:p w14:paraId="2C0EC27C">
            <w:pPr>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264m</w:t>
            </w:r>
            <w:r>
              <w:rPr>
                <w:rFonts w:ascii="Times New Roman" w:hAnsi="Times New Roman" w:cs="Times New Roman" w:eastAsiaTheme="minorEastAsia"/>
                <w:color w:val="000000" w:themeColor="text1"/>
                <w:w w:val="99"/>
                <w:szCs w:val="21"/>
                <w:vertAlign w:val="superscript"/>
                <w14:textFill>
                  <w14:solidFill>
                    <w14:schemeClr w14:val="tx1"/>
                  </w14:solidFill>
                </w14:textFill>
              </w:rPr>
              <w:t>3</w:t>
            </w:r>
          </w:p>
        </w:tc>
        <w:tc>
          <w:tcPr>
            <w:tcW w:w="1439" w:type="pct"/>
            <w:vAlign w:val="center"/>
          </w:tcPr>
          <w:p w14:paraId="4D47C6B8">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由施工单位拉运至大庆市</w:t>
            </w:r>
            <w:r>
              <w:rPr>
                <w:rFonts w:hint="eastAsia" w:ascii="Times New Roman" w:hAnsi="Times New Roman" w:cs="Times New Roman" w:eastAsiaTheme="minorEastAsia"/>
                <w:color w:val="000000" w:themeColor="text1"/>
                <w:w w:val="99"/>
                <w:szCs w:val="21"/>
                <w:lang w:eastAsia="zh-CN"/>
                <w14:textFill>
                  <w14:solidFill>
                    <w14:schemeClr w14:val="tx1"/>
                  </w14:solidFill>
                </w14:textFill>
              </w:rPr>
              <w:t>红岗区杏树岗镇</w:t>
            </w:r>
            <w:r>
              <w:rPr>
                <w:rFonts w:ascii="Times New Roman" w:hAnsi="Times New Roman" w:cs="Times New Roman" w:eastAsiaTheme="minorEastAsia"/>
                <w:color w:val="000000" w:themeColor="text1"/>
                <w:w w:val="99"/>
                <w:szCs w:val="21"/>
                <w14:textFill>
                  <w14:solidFill>
                    <w14:schemeClr w14:val="tx1"/>
                  </w14:solidFill>
                </w14:textFill>
              </w:rPr>
              <w:t>建筑垃圾消纳场处理</w:t>
            </w:r>
          </w:p>
        </w:tc>
      </w:tr>
      <w:tr w14:paraId="73FE9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9" w:type="pct"/>
            <w:vMerge w:val="continue"/>
            <w:vAlign w:val="center"/>
          </w:tcPr>
          <w:p w14:paraId="5D2A5FF6">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p>
        </w:tc>
        <w:tc>
          <w:tcPr>
            <w:tcW w:w="547" w:type="pct"/>
            <w:vAlign w:val="center"/>
          </w:tcPr>
          <w:p w14:paraId="3DB04393">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废旧设备</w:t>
            </w:r>
          </w:p>
        </w:tc>
        <w:tc>
          <w:tcPr>
            <w:tcW w:w="602" w:type="pct"/>
            <w:vAlign w:val="center"/>
          </w:tcPr>
          <w:p w14:paraId="2E1D24C3">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实测法</w:t>
            </w:r>
          </w:p>
        </w:tc>
        <w:tc>
          <w:tcPr>
            <w:tcW w:w="644" w:type="pct"/>
            <w:vAlign w:val="center"/>
          </w:tcPr>
          <w:p w14:paraId="2F1815D2">
            <w:pPr>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322</w:t>
            </w:r>
            <w:r>
              <w:rPr>
                <w:rFonts w:ascii="Times New Roman" w:hAnsi="Times New Roman" w:cs="Times New Roman" w:eastAsiaTheme="minorEastAsia"/>
                <w:color w:val="000000" w:themeColor="text1"/>
                <w:w w:val="99"/>
                <w:szCs w:val="21"/>
                <w:lang w:bidi="en-US"/>
                <w14:textFill>
                  <w14:solidFill>
                    <w14:schemeClr w14:val="tx1"/>
                  </w14:solidFill>
                </w14:textFill>
              </w:rPr>
              <w:t>t</w:t>
            </w:r>
          </w:p>
        </w:tc>
        <w:tc>
          <w:tcPr>
            <w:tcW w:w="735" w:type="pct"/>
            <w:vAlign w:val="center"/>
          </w:tcPr>
          <w:p w14:paraId="4A09EFFB">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snapToGrid w:val="0"/>
                <w:color w:val="000000" w:themeColor="text1"/>
                <w:w w:val="99"/>
                <w:szCs w:val="21"/>
                <w14:textFill>
                  <w14:solidFill>
                    <w14:schemeClr w14:val="tx1"/>
                  </w14:solidFill>
                </w14:textFill>
              </w:rPr>
              <w:t>回收利用</w:t>
            </w:r>
          </w:p>
        </w:tc>
        <w:tc>
          <w:tcPr>
            <w:tcW w:w="644" w:type="pct"/>
            <w:vAlign w:val="center"/>
          </w:tcPr>
          <w:p w14:paraId="7A485017">
            <w:pPr>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322</w:t>
            </w:r>
            <w:r>
              <w:rPr>
                <w:rFonts w:ascii="Times New Roman" w:hAnsi="Times New Roman" w:cs="Times New Roman" w:eastAsiaTheme="minorEastAsia"/>
                <w:color w:val="000000" w:themeColor="text1"/>
                <w:w w:val="99"/>
                <w:szCs w:val="21"/>
                <w:lang w:bidi="en-US"/>
                <w14:textFill>
                  <w14:solidFill>
                    <w14:schemeClr w14:val="tx1"/>
                  </w14:solidFill>
                </w14:textFill>
              </w:rPr>
              <w:t>t</w:t>
            </w:r>
          </w:p>
        </w:tc>
        <w:tc>
          <w:tcPr>
            <w:tcW w:w="1439" w:type="pct"/>
            <w:vAlign w:val="center"/>
          </w:tcPr>
          <w:p w14:paraId="43356F60">
            <w:pPr>
              <w:spacing w:line="360" w:lineRule="exact"/>
              <w:jc w:val="center"/>
              <w:rPr>
                <w:rFonts w:ascii="Times New Roman" w:hAnsi="Times New Roman" w:cs="Times New Roman" w:eastAsiaTheme="minorEastAsia"/>
                <w:snapToGrid w:val="0"/>
                <w:color w:val="000000" w:themeColor="text1"/>
                <w:w w:val="99"/>
                <w:szCs w:val="21"/>
                <w14:textFill>
                  <w14:solidFill>
                    <w14:schemeClr w14:val="tx1"/>
                  </w14:solidFill>
                </w14:textFill>
              </w:rPr>
            </w:pPr>
            <w:r>
              <w:rPr>
                <w:rFonts w:ascii="Times New Roman" w:hAnsi="Times New Roman" w:cs="Times New Roman" w:eastAsiaTheme="minorEastAsia"/>
                <w:bCs/>
                <w:color w:val="000000" w:themeColor="text1"/>
                <w:w w:val="99"/>
                <w:szCs w:val="21"/>
                <w14:textFill>
                  <w14:solidFill>
                    <w14:schemeClr w14:val="tx1"/>
                  </w14:solidFill>
                </w14:textFill>
              </w:rPr>
              <w:t>全部回收至</w:t>
            </w:r>
            <w:r>
              <w:rPr>
                <w:rFonts w:hint="eastAsia" w:ascii="Times New Roman" w:hAnsi="Times New Roman" w:cs="Times New Roman" w:eastAsiaTheme="minorEastAsia"/>
                <w:bCs/>
                <w:color w:val="000000" w:themeColor="text1"/>
                <w:w w:val="99"/>
                <w:szCs w:val="21"/>
                <w:lang w:eastAsia="zh-CN"/>
                <w14:textFill>
                  <w14:solidFill>
                    <w14:schemeClr w14:val="tx1"/>
                  </w14:solidFill>
                </w14:textFill>
              </w:rPr>
              <w:t>第五采油厂</w:t>
            </w:r>
            <w:r>
              <w:rPr>
                <w:rFonts w:ascii="Times New Roman" w:hAnsi="Times New Roman" w:cs="Times New Roman" w:eastAsiaTheme="minorEastAsia"/>
                <w:bCs/>
                <w:color w:val="000000" w:themeColor="text1"/>
                <w:w w:val="99"/>
                <w:szCs w:val="21"/>
                <w14:textFill>
                  <w14:solidFill>
                    <w14:schemeClr w14:val="tx1"/>
                  </w14:solidFill>
                </w14:textFill>
              </w:rPr>
              <w:t>物资库再利用</w:t>
            </w:r>
          </w:p>
        </w:tc>
      </w:tr>
    </w:tbl>
    <w:p w14:paraId="59995AE8">
      <w:pPr>
        <w:spacing w:line="440" w:lineRule="exact"/>
        <w:outlineLvl w:val="3"/>
        <w:rPr>
          <w:rFonts w:ascii="Times New Roman" w:hAnsi="Times New Roman" w:cs="Times New Roman" w:eastAsiaTheme="minorEastAsia"/>
          <w:b/>
          <w:color w:val="000000" w:themeColor="text1"/>
          <w:w w:val="99"/>
          <w:sz w:val="24"/>
          <w:szCs w:val="24"/>
          <w:lang w:val="en-US"/>
          <w14:textFill>
            <w14:solidFill>
              <w14:schemeClr w14:val="tx1"/>
            </w14:solidFill>
          </w14:textFill>
        </w:rPr>
      </w:pPr>
      <w:r>
        <w:rPr>
          <w:rFonts w:ascii="Times New Roman" w:hAnsi="Times New Roman" w:cs="Times New Roman" w:eastAsiaTheme="minorEastAsia"/>
          <w:b/>
          <w:color w:val="000000" w:themeColor="text1"/>
          <w:w w:val="99"/>
          <w:sz w:val="24"/>
          <w:szCs w:val="24"/>
          <w:lang w:val="en-US"/>
          <w14:textFill>
            <w14:solidFill>
              <w14:schemeClr w14:val="tx1"/>
            </w14:solidFill>
          </w14:textFill>
        </w:rPr>
        <w:t>3.4.2.2 生态影响因素</w:t>
      </w:r>
    </w:p>
    <w:p w14:paraId="6B414A46">
      <w:pPr>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施工期对生态的影响主要为施工活动临时占地破坏地表植被。本工程</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新建</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管线采取机械开挖为主，人工开挖为辅，占地主要为埋地管线敷设产生的临时占地，无新增永久占地。</w:t>
      </w:r>
    </w:p>
    <w:p w14:paraId="42CB5105">
      <w:pPr>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本工程管线主要采用埋地方式敷设，施工中整个施工带范围内的耕地可能受到扰动和破坏，开挖管沟造成的土地扰动将使土地的结构、组成及理化特性等发生变化，进而影响土地的侵蚀状况。</w:t>
      </w:r>
    </w:p>
    <w:p w14:paraId="0CF014BF">
      <w:pPr>
        <w:spacing w:line="440" w:lineRule="exact"/>
        <w:outlineLvl w:val="3"/>
        <w:rPr>
          <w:rFonts w:ascii="Times New Roman" w:hAnsi="Times New Roman" w:cs="Times New Roman" w:eastAsiaTheme="minorEastAsia"/>
          <w:b/>
          <w:color w:val="000000" w:themeColor="text1"/>
          <w:w w:val="99"/>
          <w:sz w:val="24"/>
          <w:szCs w:val="24"/>
          <w:lang w:val="en-US"/>
          <w14:textFill>
            <w14:solidFill>
              <w14:schemeClr w14:val="tx1"/>
            </w14:solidFill>
          </w14:textFill>
        </w:rPr>
      </w:pPr>
      <w:r>
        <w:rPr>
          <w:rFonts w:ascii="Times New Roman" w:hAnsi="Times New Roman" w:cs="Times New Roman" w:eastAsiaTheme="minorEastAsia"/>
          <w:b/>
          <w:color w:val="000000" w:themeColor="text1"/>
          <w:w w:val="99"/>
          <w:sz w:val="24"/>
          <w:szCs w:val="24"/>
          <w:lang w:val="en-US"/>
          <w14:textFill>
            <w14:solidFill>
              <w14:schemeClr w14:val="tx1"/>
            </w14:solidFill>
          </w14:textFill>
        </w:rPr>
        <w:t>3.4.2.3 运行期污染源源强核算</w:t>
      </w:r>
    </w:p>
    <w:p w14:paraId="5A70F50D">
      <w:pPr>
        <w:snapToGrid w:val="0"/>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1</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）废气</w:t>
      </w:r>
    </w:p>
    <w:p w14:paraId="3A75CB3D">
      <w:pPr>
        <w:snapToGrid w:val="0"/>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本项目废气主要为混输阀组间内</w:t>
      </w:r>
      <w:r>
        <w:rPr>
          <w:rFonts w:ascii="Times New Roman" w:hAnsi="Times New Roman" w:cs="Times New Roman" w:eastAsiaTheme="minorEastAsia"/>
          <w:color w:val="000000" w:themeColor="text1"/>
          <w:w w:val="99"/>
          <w:sz w:val="24"/>
          <w:szCs w:val="24"/>
          <w:lang w:val="en-US"/>
          <w14:textFill>
            <w14:solidFill>
              <w14:schemeClr w14:val="tx1"/>
            </w14:solidFill>
          </w14:textFill>
        </w:rPr>
        <w:t>阀门</w:t>
      </w:r>
      <w:r>
        <w:rPr>
          <w:rFonts w:hint="eastAsia" w:ascii="Times New Roman" w:hAnsi="Times New Roman" w:cs="Times New Roman" w:eastAsiaTheme="minorEastAsia"/>
          <w:color w:val="000000" w:themeColor="text1"/>
          <w:w w:val="99"/>
          <w:sz w:val="24"/>
          <w:szCs w:val="24"/>
          <w:lang w:val="en-US"/>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泵等动静密封点无组织排放的非甲烷总烃，</w:t>
      </w:r>
      <w:r>
        <w:rPr>
          <w:rFonts w:hint="eastAsia" w:ascii="Times New Roman" w:hAnsi="Times New Roman" w:cs="Times New Roman" w:eastAsiaTheme="minorEastAsia"/>
          <w:color w:val="000000" w:themeColor="text1"/>
          <w:w w:val="99"/>
          <w:sz w:val="24"/>
          <w:szCs w:val="24"/>
          <w:lang w:val="en-US"/>
          <w14:textFill>
            <w14:solidFill>
              <w14:schemeClr w14:val="tx1"/>
            </w14:solidFill>
          </w14:textFill>
        </w:rPr>
        <w:t>排放面源为混输阀组间，混输阀组间规格为8m×5m。</w:t>
      </w:r>
      <w:r>
        <w:rPr>
          <w:rFonts w:ascii="Times New Roman" w:hAnsi="Times New Roman" w:cs="Times New Roman" w:eastAsiaTheme="minorEastAsia"/>
          <w:color w:val="000000" w:themeColor="text1"/>
          <w:w w:val="99"/>
          <w:sz w:val="24"/>
          <w:szCs w:val="24"/>
          <w:lang w:val="en-US"/>
          <w14:textFill>
            <w14:solidFill>
              <w14:schemeClr w14:val="tx1"/>
            </w14:solidFill>
          </w14:textFill>
        </w:rPr>
        <w:t>阀门属于静密封，泵属于动密封，本项目为石油开采，输送物质为</w:t>
      </w:r>
      <w:r>
        <w:rPr>
          <w:rFonts w:hint="eastAsia" w:ascii="Times New Roman" w:hAnsi="Times New Roman" w:cs="Times New Roman" w:eastAsiaTheme="minorEastAsia"/>
          <w:color w:val="000000" w:themeColor="text1"/>
          <w:w w:val="99"/>
          <w:sz w:val="24"/>
          <w:szCs w:val="24"/>
          <w:lang w:val="en-US"/>
          <w14:textFill>
            <w14:solidFill>
              <w14:schemeClr w14:val="tx1"/>
            </w14:solidFill>
          </w14:textFill>
        </w:rPr>
        <w:t>石油</w:t>
      </w:r>
      <w:r>
        <w:rPr>
          <w:rFonts w:ascii="Times New Roman" w:hAnsi="Times New Roman" w:cs="Times New Roman" w:eastAsiaTheme="minorEastAsia"/>
          <w:color w:val="000000" w:themeColor="text1"/>
          <w:w w:val="99"/>
          <w:sz w:val="24"/>
          <w:szCs w:val="24"/>
          <w:lang w:val="en-US"/>
          <w14:textFill>
            <w14:solidFill>
              <w14:schemeClr w14:val="tx1"/>
            </w14:solidFill>
          </w14:textFill>
        </w:rPr>
        <w:t>，非甲烷总烃</w:t>
      </w:r>
      <w:r>
        <w:rPr>
          <w:rFonts w:hint="eastAsia" w:ascii="Times New Roman" w:hAnsi="Times New Roman" w:cs="Times New Roman" w:eastAsiaTheme="minorEastAsia"/>
          <w:color w:val="000000" w:themeColor="text1"/>
          <w:w w:val="99"/>
          <w:sz w:val="24"/>
          <w:szCs w:val="24"/>
          <w:lang w:val="en-US"/>
          <w14:textFill>
            <w14:solidFill>
              <w14:schemeClr w14:val="tx1"/>
            </w14:solidFill>
          </w14:textFill>
        </w:rPr>
        <w:t>产生量参考</w:t>
      </w:r>
      <w:r>
        <w:rPr>
          <w:rFonts w:ascii="Times New Roman" w:hAnsi="Times New Roman" w:cs="Times New Roman" w:eastAsiaTheme="minorEastAsia"/>
          <w:color w:val="000000" w:themeColor="text1"/>
          <w:w w:val="99"/>
          <w:sz w:val="24"/>
          <w:szCs w:val="24"/>
          <w:lang w:val="en-US"/>
          <w14:textFill>
            <w14:solidFill>
              <w14:schemeClr w14:val="tx1"/>
            </w14:solidFill>
          </w14:textFill>
        </w:rPr>
        <w:t>《污染源源强核算技术指南</w:t>
      </w:r>
      <w:r>
        <w:rPr>
          <w:rFonts w:hint="eastAsia" w:ascii="Times New Roman" w:hAnsi="Times New Roman" w:cs="Times New Roman" w:eastAsiaTheme="minorEastAsia"/>
          <w:color w:val="000000" w:themeColor="text1"/>
          <w:w w:val="99"/>
          <w:sz w:val="24"/>
          <w:szCs w:val="24"/>
          <w:lang w:val="en-US"/>
          <w14:textFill>
            <w14:solidFill>
              <w14:schemeClr w14:val="tx1"/>
            </w14:solidFill>
          </w14:textFill>
        </w:rPr>
        <w:t xml:space="preserve"> 石油炼制工业</w:t>
      </w:r>
      <w:r>
        <w:rPr>
          <w:rFonts w:ascii="Times New Roman" w:hAnsi="Times New Roman" w:cs="Times New Roman" w:eastAsiaTheme="minorEastAsia"/>
          <w:color w:val="000000" w:themeColor="text1"/>
          <w:w w:val="99"/>
          <w:sz w:val="24"/>
          <w:szCs w:val="24"/>
          <w:lang w:val="en-US"/>
          <w14:textFill>
            <w14:solidFill>
              <w14:schemeClr w14:val="tx1"/>
            </w14:solidFill>
          </w14:textFill>
        </w:rPr>
        <w:t>》（HJ982-2018）中设备与管线组件密封点</w:t>
      </w:r>
      <w:r>
        <w:rPr>
          <w:rFonts w:hint="eastAsia" w:ascii="Times New Roman" w:hAnsi="Times New Roman" w:cs="Times New Roman" w:eastAsiaTheme="minorEastAsia"/>
          <w:color w:val="000000" w:themeColor="text1"/>
          <w:w w:val="99"/>
          <w:sz w:val="24"/>
          <w:szCs w:val="24"/>
          <w:lang w:val="en-US"/>
          <w14:textFill>
            <w14:solidFill>
              <w14:schemeClr w14:val="tx1"/>
            </w14:solidFill>
          </w14:textFill>
        </w:rPr>
        <w:t>泄漏</w:t>
      </w:r>
      <w:r>
        <w:rPr>
          <w:rFonts w:ascii="Times New Roman" w:hAnsi="Times New Roman" w:cs="Times New Roman" w:eastAsiaTheme="minorEastAsia"/>
          <w:color w:val="000000" w:themeColor="text1"/>
          <w:w w:val="99"/>
          <w:sz w:val="24"/>
          <w:szCs w:val="24"/>
          <w:lang w:val="en-US"/>
          <w14:textFill>
            <w14:solidFill>
              <w14:schemeClr w14:val="tx1"/>
            </w14:solidFill>
          </w14:textFill>
        </w:rPr>
        <w:t>的挥发性有机物公式进行计算</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，具体如下。</w:t>
      </w:r>
    </w:p>
    <w:p w14:paraId="2512CC8D">
      <w:pPr>
        <w:snapToGrid w:val="0"/>
        <w:jc w:val="center"/>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color w:val="000000" w:themeColor="text1"/>
          <w:lang w:val="en-US" w:bidi="ar-SA"/>
          <w14:textFill>
            <w14:solidFill>
              <w14:schemeClr w14:val="tx1"/>
            </w14:solidFill>
          </w14:textFill>
        </w:rPr>
        <w:drawing>
          <wp:inline distT="0" distB="0" distL="0" distR="0">
            <wp:extent cx="2562225" cy="56451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1"/>
                    <a:stretch>
                      <a:fillRect/>
                    </a:stretch>
                  </pic:blipFill>
                  <pic:spPr>
                    <a:xfrm>
                      <a:off x="0" y="0"/>
                      <a:ext cx="2611911" cy="575979"/>
                    </a:xfrm>
                    <a:prstGeom prst="rect">
                      <a:avLst/>
                    </a:prstGeom>
                  </pic:spPr>
                </pic:pic>
              </a:graphicData>
            </a:graphic>
          </wp:inline>
        </w:drawing>
      </w:r>
    </w:p>
    <w:p w14:paraId="5D3E1603">
      <w:pPr>
        <w:snapToGrid w:val="0"/>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式中：</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D</w:t>
      </w:r>
      <w:r>
        <w:rPr>
          <w:rFonts w:hint="eastAsia"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设备</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—核算时段内设备与管线组件密封点泄漏的挥发性有机物的量，kg；</w:t>
      </w:r>
    </w:p>
    <w:p w14:paraId="1A0A84E0">
      <w:pPr>
        <w:snapToGrid w:val="0"/>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 xml:space="preserve"> </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 xml:space="preserve">           α—设备与管线组件密封点的泄漏比例</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，保持静密封点泄漏率在万分之五以下，动密封在千分之2以下，本项目静密封</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取</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万分之五，动密封取千分之二</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w:t>
      </w:r>
    </w:p>
    <w:p w14:paraId="09EB4E40">
      <w:pPr>
        <w:snapToGrid w:val="0"/>
        <w:spacing w:line="440" w:lineRule="exact"/>
        <w:ind w:firstLine="1185" w:firstLineChars="5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n</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挥发性</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有机物流经的设备与管线组件密封点数，阀门</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3个，泵1个</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w:t>
      </w:r>
    </w:p>
    <w:p w14:paraId="7609ABF0">
      <w:pPr>
        <w:snapToGrid w:val="0"/>
        <w:spacing w:line="440" w:lineRule="exact"/>
        <w:ind w:firstLine="1185" w:firstLineChars="5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e</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TOC,i</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密封点</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i的总有机碳</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（T</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OC</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）排放速率（泄漏浓度大于1</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0000μmol/mol</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），根据</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《污染源源强核算技术指南</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 xml:space="preserve"> 石油炼制工业</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》（HJ982-2018）表</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4，阀门取0</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.064kg/h，泵取</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0</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.074 kg/h；</w:t>
      </w:r>
    </w:p>
    <w:p w14:paraId="240187B3">
      <w:pPr>
        <w:snapToGrid w:val="0"/>
        <w:spacing w:line="440" w:lineRule="exact"/>
        <w:ind w:firstLine="1185" w:firstLineChars="5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WF</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VOCs,i</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—流经密封点i的物料中挥发性有机物的设计平均质量分数，</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%，本项目</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WF</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VOCs,i</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 WF</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TOC,i</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取</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1</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w:t>
      </w:r>
    </w:p>
    <w:p w14:paraId="57757805">
      <w:pPr>
        <w:snapToGrid w:val="0"/>
        <w:spacing w:line="440" w:lineRule="exact"/>
        <w:ind w:firstLine="1185" w:firstLineChars="5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WF</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TOC,i</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—流经密封点i的物料中总有机碳</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（T</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OC</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的设计平均质量分数，</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%，本项目</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WF</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VOCs,i</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 WF</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TOC,i</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取</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1</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w:t>
      </w:r>
    </w:p>
    <w:p w14:paraId="5DA63B16">
      <w:pPr>
        <w:snapToGrid w:val="0"/>
        <w:spacing w:line="440" w:lineRule="exact"/>
        <w:ind w:firstLine="1185" w:firstLineChars="5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t</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i</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—核算时段内密封点i的运行时间，h，年运行</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8</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760h；</w:t>
      </w:r>
    </w:p>
    <w:p w14:paraId="2098346F">
      <w:pPr>
        <w:snapToGrid w:val="0"/>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经</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计算，本项目运营期混输阀组间</w:t>
      </w:r>
      <w:r>
        <w:rPr>
          <w:rFonts w:ascii="Times New Roman" w:hAnsi="Times New Roman" w:cs="Times New Roman" w:eastAsiaTheme="minorEastAsia"/>
          <w:color w:val="000000" w:themeColor="text1"/>
          <w:w w:val="99"/>
          <w:sz w:val="24"/>
          <w:szCs w:val="24"/>
          <w:lang w:val="en-US"/>
          <w14:textFill>
            <w14:solidFill>
              <w14:schemeClr w14:val="tx1"/>
            </w14:solidFill>
          </w14:textFill>
        </w:rPr>
        <w:t>动静密封点无组织非甲烷总烃量</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为0.002t/a。</w:t>
      </w:r>
    </w:p>
    <w:p w14:paraId="55833E40">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本项目</w:t>
      </w:r>
      <w:r>
        <w:rPr>
          <w:rFonts w:hint="eastAsia" w:ascii="Times New Roman" w:hAnsi="Times New Roman" w:cs="Times New Roman" w:eastAsiaTheme="minorEastAsia"/>
          <w:color w:val="000000" w:themeColor="text1"/>
          <w:w w:val="99"/>
          <w:kern w:val="2"/>
          <w:sz w:val="24"/>
          <w:szCs w:val="24"/>
          <w:lang w:val="en-US" w:bidi="ar-SA"/>
          <w14:textFill>
            <w14:solidFill>
              <w14:schemeClr w14:val="tx1"/>
            </w14:solidFill>
          </w14:textFill>
        </w:rPr>
        <w:t>运营</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期废气污染源源强核算结果及相关参数一览表见表</w:t>
      </w:r>
      <w:r>
        <w:rPr>
          <w:rFonts w:hint="eastAsia" w:ascii="Times New Roman" w:hAnsi="Times New Roman" w:cs="Times New Roman" w:eastAsiaTheme="minorEastAsia"/>
          <w:color w:val="000000" w:themeColor="text1"/>
          <w:w w:val="99"/>
          <w:kern w:val="2"/>
          <w:sz w:val="24"/>
          <w:szCs w:val="24"/>
          <w:lang w:val="en-US" w:bidi="ar-SA"/>
          <w14:textFill>
            <w14:solidFill>
              <w14:schemeClr w14:val="tx1"/>
            </w14:solidFill>
          </w14:textFill>
        </w:rPr>
        <w:t>3</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.4-6。</w:t>
      </w:r>
    </w:p>
    <w:p w14:paraId="26F7F225">
      <w:pPr>
        <w:spacing w:line="440" w:lineRule="exact"/>
        <w:ind w:firstLine="476" w:firstLineChars="200"/>
        <w:rPr>
          <w:rFonts w:ascii="Times New Roman" w:hAnsi="Times New Roman" w:cs="Times New Roman" w:eastAsiaTheme="minorEastAsia"/>
          <w:b/>
          <w:color w:val="000000" w:themeColor="text1"/>
          <w:w w:val="99"/>
          <w:kern w:val="21"/>
          <w:sz w:val="24"/>
          <w14:textFill>
            <w14:solidFill>
              <w14:schemeClr w14:val="tx1"/>
            </w14:solidFill>
          </w14:textFill>
        </w:rPr>
      </w:pPr>
      <w:r>
        <w:rPr>
          <w:rFonts w:ascii="Times New Roman" w:hAnsi="Times New Roman" w:cs="Times New Roman" w:eastAsiaTheme="minorEastAsia"/>
          <w:b/>
          <w:color w:val="000000" w:themeColor="text1"/>
          <w:w w:val="99"/>
          <w:kern w:val="21"/>
          <w:sz w:val="24"/>
          <w14:textFill>
            <w14:solidFill>
              <w14:schemeClr w14:val="tx1"/>
            </w14:solidFill>
          </w14:textFill>
        </w:rPr>
        <w:t>表</w:t>
      </w:r>
      <w:r>
        <w:rPr>
          <w:rFonts w:hint="eastAsia" w:ascii="Times New Roman" w:hAnsi="Times New Roman" w:cs="Times New Roman" w:eastAsiaTheme="minorEastAsia"/>
          <w:b/>
          <w:color w:val="000000" w:themeColor="text1"/>
          <w:w w:val="99"/>
          <w:kern w:val="21"/>
          <w:sz w:val="24"/>
          <w14:textFill>
            <w14:solidFill>
              <w14:schemeClr w14:val="tx1"/>
            </w14:solidFill>
          </w14:textFill>
        </w:rPr>
        <w:t>3</w:t>
      </w:r>
      <w:r>
        <w:rPr>
          <w:rFonts w:ascii="Times New Roman" w:hAnsi="Times New Roman" w:cs="Times New Roman" w:eastAsiaTheme="minorEastAsia"/>
          <w:b/>
          <w:color w:val="000000" w:themeColor="text1"/>
          <w:w w:val="99"/>
          <w:kern w:val="21"/>
          <w:sz w:val="24"/>
          <w14:textFill>
            <w14:solidFill>
              <w14:schemeClr w14:val="tx1"/>
            </w14:solidFill>
          </w14:textFill>
        </w:rPr>
        <w:t>.4-6</w:t>
      </w:r>
      <w:r>
        <w:rPr>
          <w:rFonts w:ascii="Times New Roman" w:hAnsi="Times New Roman" w:cs="Times New Roman" w:eastAsiaTheme="minorEastAsia"/>
          <w:b/>
          <w:color w:val="000000" w:themeColor="text1"/>
          <w:w w:val="99"/>
          <w14:textFill>
            <w14:solidFill>
              <w14:schemeClr w14:val="tx1"/>
            </w14:solidFill>
          </w14:textFill>
        </w:rPr>
        <w:t xml:space="preserve">    运营期</w:t>
      </w:r>
      <w:r>
        <w:rPr>
          <w:rFonts w:ascii="Times New Roman" w:hAnsi="Times New Roman" w:cs="Times New Roman" w:eastAsiaTheme="minorEastAsia"/>
          <w:b/>
          <w:color w:val="000000" w:themeColor="text1"/>
          <w:w w:val="99"/>
          <w:kern w:val="21"/>
          <w:sz w:val="24"/>
          <w14:textFill>
            <w14:solidFill>
              <w14:schemeClr w14:val="tx1"/>
            </w14:solidFill>
          </w14:textFill>
        </w:rPr>
        <w:t>废气污染源源强核算结果及相关参数一览表</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0"/>
        <w:gridCol w:w="431"/>
        <w:gridCol w:w="660"/>
        <w:gridCol w:w="656"/>
        <w:gridCol w:w="580"/>
        <w:gridCol w:w="697"/>
        <w:gridCol w:w="786"/>
        <w:gridCol w:w="758"/>
        <w:gridCol w:w="429"/>
        <w:gridCol w:w="609"/>
        <w:gridCol w:w="431"/>
        <w:gridCol w:w="699"/>
        <w:gridCol w:w="788"/>
        <w:gridCol w:w="758"/>
        <w:gridCol w:w="578"/>
      </w:tblGrid>
      <w:tr w14:paraId="3F79E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1" w:type="pct"/>
            <w:vMerge w:val="restart"/>
            <w:vAlign w:val="center"/>
          </w:tcPr>
          <w:p w14:paraId="11114791">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工序</w:t>
            </w:r>
          </w:p>
        </w:tc>
        <w:tc>
          <w:tcPr>
            <w:tcW w:w="232" w:type="pct"/>
            <w:vMerge w:val="restart"/>
            <w:vAlign w:val="center"/>
          </w:tcPr>
          <w:p w14:paraId="5EF33C26">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装置</w:t>
            </w:r>
          </w:p>
        </w:tc>
        <w:tc>
          <w:tcPr>
            <w:tcW w:w="355" w:type="pct"/>
            <w:vMerge w:val="restart"/>
            <w:vAlign w:val="center"/>
          </w:tcPr>
          <w:p w14:paraId="345759AB">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污染源</w:t>
            </w:r>
          </w:p>
        </w:tc>
        <w:tc>
          <w:tcPr>
            <w:tcW w:w="353" w:type="pct"/>
            <w:vMerge w:val="restart"/>
            <w:vAlign w:val="center"/>
          </w:tcPr>
          <w:p w14:paraId="1617C320">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污染物</w:t>
            </w:r>
          </w:p>
        </w:tc>
        <w:tc>
          <w:tcPr>
            <w:tcW w:w="1518" w:type="pct"/>
            <w:gridSpan w:val="4"/>
            <w:vAlign w:val="center"/>
          </w:tcPr>
          <w:p w14:paraId="28A55979">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污染物产生</w:t>
            </w:r>
          </w:p>
        </w:tc>
        <w:tc>
          <w:tcPr>
            <w:tcW w:w="559" w:type="pct"/>
            <w:gridSpan w:val="2"/>
            <w:vAlign w:val="center"/>
          </w:tcPr>
          <w:p w14:paraId="6A664F4C">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治理措施</w:t>
            </w:r>
          </w:p>
        </w:tc>
        <w:tc>
          <w:tcPr>
            <w:tcW w:w="1440" w:type="pct"/>
            <w:gridSpan w:val="4"/>
            <w:vAlign w:val="center"/>
          </w:tcPr>
          <w:p w14:paraId="71FCF65D">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污染物排放</w:t>
            </w:r>
          </w:p>
        </w:tc>
        <w:tc>
          <w:tcPr>
            <w:tcW w:w="311" w:type="pct"/>
            <w:vMerge w:val="restart"/>
            <w:vAlign w:val="center"/>
          </w:tcPr>
          <w:p w14:paraId="1084533C">
            <w:pPr>
              <w:keepNext/>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排放时间</w:t>
            </w:r>
          </w:p>
        </w:tc>
      </w:tr>
      <w:tr w14:paraId="7D79F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1" w:type="pct"/>
            <w:vMerge w:val="continue"/>
            <w:vAlign w:val="center"/>
          </w:tcPr>
          <w:p w14:paraId="435065BC">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p>
        </w:tc>
        <w:tc>
          <w:tcPr>
            <w:tcW w:w="232" w:type="pct"/>
            <w:vMerge w:val="continue"/>
            <w:vAlign w:val="center"/>
          </w:tcPr>
          <w:p w14:paraId="7E5BC19F">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p>
        </w:tc>
        <w:tc>
          <w:tcPr>
            <w:tcW w:w="355" w:type="pct"/>
            <w:vMerge w:val="continue"/>
            <w:vAlign w:val="center"/>
          </w:tcPr>
          <w:p w14:paraId="211FF949">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p>
        </w:tc>
        <w:tc>
          <w:tcPr>
            <w:tcW w:w="353" w:type="pct"/>
            <w:vMerge w:val="continue"/>
            <w:vAlign w:val="center"/>
          </w:tcPr>
          <w:p w14:paraId="62AB1732">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p>
        </w:tc>
        <w:tc>
          <w:tcPr>
            <w:tcW w:w="312" w:type="pct"/>
            <w:vAlign w:val="center"/>
          </w:tcPr>
          <w:p w14:paraId="58A5C369">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核算方法</w:t>
            </w:r>
          </w:p>
        </w:tc>
        <w:tc>
          <w:tcPr>
            <w:tcW w:w="375" w:type="pct"/>
            <w:vAlign w:val="center"/>
          </w:tcPr>
          <w:p w14:paraId="6A4682B6">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废气产生量m</w:t>
            </w:r>
            <w:r>
              <w:rPr>
                <w:rFonts w:ascii="Times New Roman" w:hAnsi="Times New Roman" w:cs="Times New Roman" w:eastAsiaTheme="minorEastAsia"/>
                <w:color w:val="000000" w:themeColor="text1"/>
                <w:w w:val="99"/>
                <w:szCs w:val="21"/>
                <w:vertAlign w:val="superscript"/>
                <w14:textFill>
                  <w14:solidFill>
                    <w14:schemeClr w14:val="tx1"/>
                  </w14:solidFill>
                </w14:textFill>
              </w:rPr>
              <w:t>3</w:t>
            </w:r>
          </w:p>
        </w:tc>
        <w:tc>
          <w:tcPr>
            <w:tcW w:w="423" w:type="pct"/>
            <w:vAlign w:val="center"/>
          </w:tcPr>
          <w:p w14:paraId="2E116BB7">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产生</w:t>
            </w:r>
          </w:p>
          <w:p w14:paraId="6D5E1F06">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浓度mg/m</w:t>
            </w:r>
            <w:r>
              <w:rPr>
                <w:rFonts w:ascii="Times New Roman" w:hAnsi="Times New Roman" w:cs="Times New Roman" w:eastAsiaTheme="minorEastAsia"/>
                <w:color w:val="000000" w:themeColor="text1"/>
                <w:w w:val="99"/>
                <w:szCs w:val="21"/>
                <w:vertAlign w:val="superscript"/>
                <w14:textFill>
                  <w14:solidFill>
                    <w14:schemeClr w14:val="tx1"/>
                  </w14:solidFill>
                </w14:textFill>
              </w:rPr>
              <w:t>3</w:t>
            </w:r>
          </w:p>
        </w:tc>
        <w:tc>
          <w:tcPr>
            <w:tcW w:w="408" w:type="pct"/>
            <w:vAlign w:val="center"/>
          </w:tcPr>
          <w:p w14:paraId="4ED91753">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产生量t/a</w:t>
            </w:r>
          </w:p>
        </w:tc>
        <w:tc>
          <w:tcPr>
            <w:tcW w:w="231" w:type="pct"/>
            <w:vAlign w:val="center"/>
          </w:tcPr>
          <w:p w14:paraId="7960A596">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工艺</w:t>
            </w:r>
          </w:p>
        </w:tc>
        <w:tc>
          <w:tcPr>
            <w:tcW w:w="328" w:type="pct"/>
            <w:vAlign w:val="center"/>
          </w:tcPr>
          <w:p w14:paraId="0BBD74EA">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效率%</w:t>
            </w:r>
          </w:p>
        </w:tc>
        <w:tc>
          <w:tcPr>
            <w:tcW w:w="232" w:type="pct"/>
            <w:vAlign w:val="center"/>
          </w:tcPr>
          <w:p w14:paraId="7E3AED93">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核算方法</w:t>
            </w:r>
          </w:p>
        </w:tc>
        <w:tc>
          <w:tcPr>
            <w:tcW w:w="376" w:type="pct"/>
            <w:vAlign w:val="center"/>
          </w:tcPr>
          <w:p w14:paraId="35B925ED">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废气排放量</w:t>
            </w:r>
          </w:p>
        </w:tc>
        <w:tc>
          <w:tcPr>
            <w:tcW w:w="424" w:type="pct"/>
            <w:vAlign w:val="center"/>
          </w:tcPr>
          <w:p w14:paraId="1AF0C2F3">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排放</w:t>
            </w:r>
          </w:p>
          <w:p w14:paraId="2173B38E">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浓度mg/m</w:t>
            </w:r>
            <w:r>
              <w:rPr>
                <w:rFonts w:ascii="Times New Roman" w:hAnsi="Times New Roman" w:cs="Times New Roman" w:eastAsiaTheme="minorEastAsia"/>
                <w:color w:val="000000" w:themeColor="text1"/>
                <w:w w:val="99"/>
                <w:szCs w:val="21"/>
                <w:vertAlign w:val="superscript"/>
                <w14:textFill>
                  <w14:solidFill>
                    <w14:schemeClr w14:val="tx1"/>
                  </w14:solidFill>
                </w14:textFill>
              </w:rPr>
              <w:t>3</w:t>
            </w:r>
          </w:p>
        </w:tc>
        <w:tc>
          <w:tcPr>
            <w:tcW w:w="408" w:type="pct"/>
            <w:vAlign w:val="center"/>
          </w:tcPr>
          <w:p w14:paraId="6EBC08CD">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排放量</w:t>
            </w:r>
          </w:p>
          <w:p w14:paraId="3EAAA5D8">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t/a</w:t>
            </w:r>
          </w:p>
        </w:tc>
        <w:tc>
          <w:tcPr>
            <w:tcW w:w="311" w:type="pct"/>
            <w:vMerge w:val="continue"/>
            <w:vAlign w:val="center"/>
          </w:tcPr>
          <w:p w14:paraId="33A93599">
            <w:pPr>
              <w:keepNext/>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p>
        </w:tc>
      </w:tr>
      <w:tr w14:paraId="48987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31" w:type="pct"/>
            <w:vAlign w:val="center"/>
          </w:tcPr>
          <w:p w14:paraId="4B3224F8">
            <w:pPr>
              <w:adjustRightInd w:val="0"/>
              <w:spacing w:line="360" w:lineRule="exact"/>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原油集输</w:t>
            </w:r>
          </w:p>
        </w:tc>
        <w:tc>
          <w:tcPr>
            <w:tcW w:w="232" w:type="pct"/>
            <w:vAlign w:val="center"/>
          </w:tcPr>
          <w:p w14:paraId="5DC12378">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hint="eastAsia" w:ascii="Times New Roman" w:hAnsi="Times New Roman" w:cs="Times New Roman" w:eastAsiaTheme="minorEastAsia"/>
                <w:color w:val="000000" w:themeColor="text1"/>
                <w:w w:val="99"/>
                <w:szCs w:val="21"/>
                <w14:textFill>
                  <w14:solidFill>
                    <w14:schemeClr w14:val="tx1"/>
                  </w14:solidFill>
                </w14:textFill>
              </w:rPr>
              <w:t>阀门</w:t>
            </w:r>
            <w:r>
              <w:rPr>
                <w:rFonts w:ascii="Times New Roman" w:hAnsi="Times New Roman" w:cs="Times New Roman" w:eastAsiaTheme="minorEastAsia"/>
                <w:color w:val="000000" w:themeColor="text1"/>
                <w:w w:val="99"/>
                <w:szCs w:val="21"/>
                <w14:textFill>
                  <w14:solidFill>
                    <w14:schemeClr w14:val="tx1"/>
                  </w14:solidFill>
                </w14:textFill>
              </w:rPr>
              <w:t>、泵</w:t>
            </w:r>
          </w:p>
        </w:tc>
        <w:tc>
          <w:tcPr>
            <w:tcW w:w="355" w:type="pct"/>
            <w:vAlign w:val="center"/>
          </w:tcPr>
          <w:p w14:paraId="557AA994">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hint="eastAsia" w:ascii="Times New Roman" w:hAnsi="Times New Roman" w:cs="Times New Roman" w:eastAsiaTheme="minorEastAsia"/>
                <w:color w:val="000000" w:themeColor="text1"/>
                <w:w w:val="99"/>
                <w:szCs w:val="21"/>
                <w14:textFill>
                  <w14:solidFill>
                    <w14:schemeClr w14:val="tx1"/>
                  </w14:solidFill>
                </w14:textFill>
              </w:rPr>
              <w:t>混输</w:t>
            </w:r>
            <w:r>
              <w:rPr>
                <w:rFonts w:ascii="Times New Roman" w:hAnsi="Times New Roman" w:cs="Times New Roman" w:eastAsiaTheme="minorEastAsia"/>
                <w:color w:val="000000" w:themeColor="text1"/>
                <w:w w:val="99"/>
                <w:szCs w:val="21"/>
                <w14:textFill>
                  <w14:solidFill>
                    <w14:schemeClr w14:val="tx1"/>
                  </w14:solidFill>
                </w14:textFill>
              </w:rPr>
              <w:t>阀组间</w:t>
            </w:r>
          </w:p>
        </w:tc>
        <w:tc>
          <w:tcPr>
            <w:tcW w:w="353" w:type="pct"/>
            <w:vAlign w:val="center"/>
          </w:tcPr>
          <w:p w14:paraId="5DC87DB0">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hint="eastAsia" w:ascii="Times New Roman" w:hAnsi="Times New Roman" w:cs="Times New Roman" w:eastAsiaTheme="minorEastAsia"/>
                <w:color w:val="000000" w:themeColor="text1"/>
                <w:w w:val="99"/>
                <w:szCs w:val="21"/>
                <w14:textFill>
                  <w14:solidFill>
                    <w14:schemeClr w14:val="tx1"/>
                  </w14:solidFill>
                </w14:textFill>
              </w:rPr>
              <w:t>非甲烷总烃</w:t>
            </w:r>
          </w:p>
        </w:tc>
        <w:tc>
          <w:tcPr>
            <w:tcW w:w="312" w:type="pct"/>
            <w:vAlign w:val="center"/>
          </w:tcPr>
          <w:p w14:paraId="6F8AAA7E">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类比法</w:t>
            </w:r>
          </w:p>
        </w:tc>
        <w:tc>
          <w:tcPr>
            <w:tcW w:w="375" w:type="pct"/>
            <w:vAlign w:val="center"/>
          </w:tcPr>
          <w:p w14:paraId="35BB90A5">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w:t>
            </w:r>
          </w:p>
        </w:tc>
        <w:tc>
          <w:tcPr>
            <w:tcW w:w="423" w:type="pct"/>
            <w:vAlign w:val="center"/>
          </w:tcPr>
          <w:p w14:paraId="77A8E0EE">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w:t>
            </w:r>
          </w:p>
        </w:tc>
        <w:tc>
          <w:tcPr>
            <w:tcW w:w="408" w:type="pct"/>
            <w:vAlign w:val="center"/>
          </w:tcPr>
          <w:p w14:paraId="24CA063F">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bCs/>
                <w:color w:val="000000" w:themeColor="text1"/>
                <w:w w:val="99"/>
                <w:szCs w:val="21"/>
                <w:lang w:val="en-US"/>
                <w14:textFill>
                  <w14:solidFill>
                    <w14:schemeClr w14:val="tx1"/>
                  </w14:solidFill>
                </w14:textFill>
              </w:rPr>
              <w:t>0.002</w:t>
            </w:r>
          </w:p>
        </w:tc>
        <w:tc>
          <w:tcPr>
            <w:tcW w:w="559" w:type="pct"/>
            <w:gridSpan w:val="2"/>
            <w:vAlign w:val="center"/>
          </w:tcPr>
          <w:p w14:paraId="755E550F">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hint="eastAsia" w:ascii="Times New Roman" w:hAnsi="Times New Roman" w:cs="Times New Roman" w:eastAsiaTheme="minorEastAsia"/>
                <w:color w:val="000000" w:themeColor="text1"/>
                <w:w w:val="99"/>
                <w:szCs w:val="21"/>
                <w14:textFill>
                  <w14:solidFill>
                    <w14:schemeClr w14:val="tx1"/>
                  </w14:solidFill>
                </w14:textFill>
              </w:rPr>
              <w:t>安装</w:t>
            </w:r>
            <w:r>
              <w:rPr>
                <w:rFonts w:ascii="Times New Roman" w:hAnsi="Times New Roman" w:cs="Times New Roman" w:eastAsiaTheme="minorEastAsia"/>
                <w:color w:val="000000" w:themeColor="text1"/>
                <w:w w:val="99"/>
                <w:szCs w:val="21"/>
                <w14:textFill>
                  <w14:solidFill>
                    <w14:schemeClr w14:val="tx1"/>
                  </w14:solidFill>
                </w14:textFill>
              </w:rPr>
              <w:t>密封垫</w:t>
            </w:r>
          </w:p>
        </w:tc>
        <w:tc>
          <w:tcPr>
            <w:tcW w:w="232" w:type="pct"/>
            <w:vAlign w:val="center"/>
          </w:tcPr>
          <w:p w14:paraId="3EF206CD">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类比法</w:t>
            </w:r>
          </w:p>
        </w:tc>
        <w:tc>
          <w:tcPr>
            <w:tcW w:w="376" w:type="pct"/>
            <w:vAlign w:val="center"/>
          </w:tcPr>
          <w:p w14:paraId="65FBC51B">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w:t>
            </w:r>
          </w:p>
        </w:tc>
        <w:tc>
          <w:tcPr>
            <w:tcW w:w="424" w:type="pct"/>
            <w:vAlign w:val="center"/>
          </w:tcPr>
          <w:p w14:paraId="06C58676">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w:t>
            </w:r>
          </w:p>
        </w:tc>
        <w:tc>
          <w:tcPr>
            <w:tcW w:w="408" w:type="pct"/>
            <w:vAlign w:val="center"/>
          </w:tcPr>
          <w:p w14:paraId="62C414B0">
            <w:pPr>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bCs/>
                <w:color w:val="000000" w:themeColor="text1"/>
                <w:w w:val="99"/>
                <w:szCs w:val="21"/>
                <w:lang w:val="en-US"/>
                <w14:textFill>
                  <w14:solidFill>
                    <w14:schemeClr w14:val="tx1"/>
                  </w14:solidFill>
                </w14:textFill>
              </w:rPr>
              <w:t>0.002</w:t>
            </w:r>
          </w:p>
        </w:tc>
        <w:tc>
          <w:tcPr>
            <w:tcW w:w="311" w:type="pct"/>
            <w:vAlign w:val="center"/>
          </w:tcPr>
          <w:p w14:paraId="077257A1">
            <w:pPr>
              <w:keepNext/>
              <w:adjustRightInd w:val="0"/>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hint="eastAsia" w:ascii="Times New Roman" w:hAnsi="Times New Roman" w:cs="Times New Roman" w:eastAsiaTheme="minorEastAsia"/>
                <w:color w:val="000000" w:themeColor="text1"/>
                <w:w w:val="99"/>
                <w:szCs w:val="21"/>
                <w14:textFill>
                  <w14:solidFill>
                    <w14:schemeClr w14:val="tx1"/>
                  </w14:solidFill>
                </w14:textFill>
              </w:rPr>
              <w:t>8</w:t>
            </w:r>
            <w:r>
              <w:rPr>
                <w:rFonts w:ascii="Times New Roman" w:hAnsi="Times New Roman" w:cs="Times New Roman" w:eastAsiaTheme="minorEastAsia"/>
                <w:color w:val="000000" w:themeColor="text1"/>
                <w:w w:val="99"/>
                <w:szCs w:val="21"/>
                <w14:textFill>
                  <w14:solidFill>
                    <w14:schemeClr w14:val="tx1"/>
                  </w14:solidFill>
                </w14:textFill>
              </w:rPr>
              <w:t>760</w:t>
            </w:r>
          </w:p>
        </w:tc>
      </w:tr>
    </w:tbl>
    <w:p w14:paraId="4A850920">
      <w:pPr>
        <w:snapToGrid w:val="0"/>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2</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）噪声</w:t>
      </w:r>
    </w:p>
    <w:p w14:paraId="5FAFD5B6">
      <w:pPr>
        <w:snapToGrid w:val="0"/>
        <w:spacing w:line="440" w:lineRule="exact"/>
        <w:ind w:firstLine="474" w:firstLineChars="200"/>
        <w:rPr>
          <w:rFonts w:ascii="Times New Roman" w:hAnsi="Times New Roman" w:cs="Times New Roman" w:eastAsiaTheme="minorEastAsia"/>
          <w:snapToGrid w:val="0"/>
          <w:color w:val="000000" w:themeColor="text1"/>
          <w:w w:val="99"/>
          <w:sz w:val="24"/>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本项目运营期</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噪声</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主要为混输阀组间内混输泵噪声，</w:t>
      </w:r>
      <w:r>
        <w:rPr>
          <w:rFonts w:ascii="Times New Roman" w:hAnsi="Times New Roman" w:cs="Times New Roman" w:eastAsiaTheme="minorEastAsia"/>
          <w:color w:val="000000" w:themeColor="text1"/>
          <w:w w:val="99"/>
          <w:sz w:val="24"/>
          <w:lang w:val="en-US"/>
          <w14:textFill>
            <w14:solidFill>
              <w14:schemeClr w14:val="tx1"/>
            </w14:solidFill>
          </w14:textFill>
        </w:rPr>
        <w:t>参考《环境噪声与振动控制工程技术导则》（HJ2034-2013）附录A中</w:t>
      </w:r>
      <w:r>
        <w:rPr>
          <w:rFonts w:hint="eastAsia" w:ascii="Times New Roman" w:hAnsi="Times New Roman" w:cs="Times New Roman" w:eastAsiaTheme="minorEastAsia"/>
          <w:color w:val="000000" w:themeColor="text1"/>
          <w:w w:val="99"/>
          <w:sz w:val="24"/>
          <w:lang w:val="en-US"/>
          <w14:textFill>
            <w14:solidFill>
              <w14:schemeClr w14:val="tx1"/>
            </w14:solidFill>
          </w14:textFill>
        </w:rPr>
        <w:t>表</w:t>
      </w:r>
      <w:r>
        <w:rPr>
          <w:rFonts w:ascii="Times New Roman" w:hAnsi="Times New Roman" w:cs="Times New Roman" w:eastAsiaTheme="minorEastAsia"/>
          <w:color w:val="000000" w:themeColor="text1"/>
          <w:w w:val="99"/>
          <w:sz w:val="24"/>
          <w:lang w:val="en-US"/>
          <w14:textFill>
            <w14:solidFill>
              <w14:schemeClr w14:val="tx1"/>
            </w14:solidFill>
          </w14:textFill>
        </w:rPr>
        <w:t xml:space="preserve"> A.2</w:t>
      </w:r>
      <w:r>
        <w:rPr>
          <w:rFonts w:hint="eastAsia" w:ascii="Times New Roman" w:hAnsi="Times New Roman" w:cs="Times New Roman" w:eastAsiaTheme="minorEastAsia"/>
          <w:color w:val="000000" w:themeColor="text1"/>
          <w:w w:val="99"/>
          <w:sz w:val="24"/>
          <w:lang w:val="en-US"/>
          <w14:textFill>
            <w14:solidFill>
              <w14:schemeClr w14:val="tx1"/>
            </w14:solidFill>
          </w14:textFill>
        </w:rPr>
        <w:t>混凝土输送泵</w:t>
      </w:r>
      <w:r>
        <w:rPr>
          <w:rFonts w:ascii="Times New Roman" w:hAnsi="Times New Roman" w:cs="Times New Roman" w:eastAsiaTheme="minorEastAsia"/>
          <w:color w:val="000000" w:themeColor="text1"/>
          <w:w w:val="99"/>
          <w:sz w:val="24"/>
          <w:lang w:val="en-US"/>
          <w14:textFill>
            <w14:solidFill>
              <w14:schemeClr w14:val="tx1"/>
            </w14:solidFill>
          </w14:textFill>
        </w:rPr>
        <w:t>的噪声源强数据</w:t>
      </w:r>
      <w:r>
        <w:rPr>
          <w:rFonts w:ascii="Times New Roman" w:hAnsi="Times New Roman" w:cs="Times New Roman" w:eastAsiaTheme="minorEastAsia"/>
          <w:color w:val="000000" w:themeColor="text1"/>
          <w:w w:val="99"/>
          <w:sz w:val="24"/>
          <w14:textFill>
            <w14:solidFill>
              <w14:schemeClr w14:val="tx1"/>
            </w14:solidFill>
          </w14:textFill>
        </w:rPr>
        <w:t>，距声源</w:t>
      </w:r>
      <w:r>
        <w:rPr>
          <w:rFonts w:hint="eastAsia" w:ascii="Times New Roman" w:hAnsi="Times New Roman" w:cs="Times New Roman" w:eastAsiaTheme="minorEastAsia"/>
          <w:color w:val="000000" w:themeColor="text1"/>
          <w:w w:val="99"/>
          <w:sz w:val="24"/>
          <w14:textFill>
            <w14:solidFill>
              <w14:schemeClr w14:val="tx1"/>
            </w14:solidFill>
          </w14:textFill>
        </w:rPr>
        <w:t>5m处的噪声源强为</w:t>
      </w:r>
      <w:r>
        <w:rPr>
          <w:rFonts w:ascii="Times New Roman" w:hAnsi="Times New Roman" w:cs="Times New Roman" w:eastAsiaTheme="minorEastAsia"/>
          <w:color w:val="000000" w:themeColor="text1"/>
          <w:w w:val="99"/>
          <w:sz w:val="24"/>
          <w:lang w:val="en-US"/>
          <w14:textFill>
            <w14:solidFill>
              <w14:schemeClr w14:val="tx1"/>
            </w14:solidFill>
          </w14:textFill>
        </w:rPr>
        <w:t>88-95dB(A)之间，反推</w:t>
      </w:r>
      <w:r>
        <w:rPr>
          <w:rFonts w:ascii="Times New Roman" w:hAnsi="Times New Roman" w:cs="Times New Roman" w:eastAsiaTheme="minorEastAsia"/>
          <w:color w:val="000000" w:themeColor="text1"/>
          <w:w w:val="99"/>
          <w:sz w:val="24"/>
          <w14:textFill>
            <w14:solidFill>
              <w14:schemeClr w14:val="tx1"/>
            </w14:solidFill>
          </w14:textFill>
        </w:rPr>
        <w:t>混输泵噪声源强在</w:t>
      </w:r>
      <w:r>
        <w:rPr>
          <w:rFonts w:ascii="Times New Roman" w:hAnsi="Times New Roman" w:cs="Times New Roman" w:eastAsiaTheme="minorEastAsia"/>
          <w:color w:val="000000" w:themeColor="text1"/>
          <w:w w:val="99"/>
          <w:sz w:val="24"/>
          <w:lang w:val="en-US"/>
          <w14:textFill>
            <w14:solidFill>
              <w14:schemeClr w14:val="tx1"/>
            </w14:solidFill>
          </w14:textFill>
        </w:rPr>
        <w:t>102-109dB(A)之间</w:t>
      </w:r>
      <w:r>
        <w:rPr>
          <w:rFonts w:ascii="Times New Roman" w:hAnsi="Times New Roman" w:cs="Times New Roman" w:eastAsiaTheme="minorEastAsia"/>
          <w:color w:val="000000" w:themeColor="text1"/>
          <w:w w:val="99"/>
          <w:sz w:val="24"/>
          <w14:textFill>
            <w14:solidFill>
              <w14:schemeClr w14:val="tx1"/>
            </w14:solidFill>
          </w14:textFill>
        </w:rPr>
        <w:t>。</w:t>
      </w:r>
    </w:p>
    <w:p w14:paraId="2E4B02CF">
      <w:pPr>
        <w:spacing w:line="440" w:lineRule="exact"/>
        <w:ind w:firstLine="476" w:firstLineChars="200"/>
        <w:rPr>
          <w:rFonts w:ascii="Times New Roman" w:hAnsi="Times New Roman" w:cs="Times New Roman" w:eastAsiaTheme="minorEastAsia"/>
          <w:b/>
          <w:bCs/>
          <w:color w:val="000000" w:themeColor="text1"/>
          <w:w w:val="99"/>
          <w:sz w:val="24"/>
          <w14:textFill>
            <w14:solidFill>
              <w14:schemeClr w14:val="tx1"/>
            </w14:solidFill>
          </w14:textFill>
        </w:rPr>
      </w:pPr>
      <w:r>
        <w:rPr>
          <w:rFonts w:ascii="Times New Roman" w:hAnsi="Times New Roman" w:cs="Times New Roman" w:eastAsiaTheme="minorEastAsia"/>
          <w:b/>
          <w:bCs/>
          <w:color w:val="000000" w:themeColor="text1"/>
          <w:w w:val="99"/>
          <w:sz w:val="24"/>
          <w14:textFill>
            <w14:solidFill>
              <w14:schemeClr w14:val="tx1"/>
            </w14:solidFill>
          </w14:textFill>
        </w:rPr>
        <w:t xml:space="preserve">表3.4-7    </w:t>
      </w:r>
      <w:r>
        <w:rPr>
          <w:rFonts w:hint="eastAsia" w:ascii="Times New Roman" w:hAnsi="Times New Roman" w:cs="Times New Roman" w:eastAsiaTheme="minorEastAsia"/>
          <w:b/>
          <w:bCs/>
          <w:color w:val="000000" w:themeColor="text1"/>
          <w:w w:val="99"/>
          <w:sz w:val="24"/>
          <w14:textFill>
            <w14:solidFill>
              <w14:schemeClr w14:val="tx1"/>
            </w14:solidFill>
          </w14:textFill>
        </w:rPr>
        <w:t>运营期</w:t>
      </w:r>
      <w:r>
        <w:rPr>
          <w:rFonts w:ascii="Times New Roman" w:hAnsi="Times New Roman" w:cs="Times New Roman" w:eastAsiaTheme="minorEastAsia"/>
          <w:b/>
          <w:bCs/>
          <w:color w:val="000000" w:themeColor="text1"/>
          <w:w w:val="99"/>
          <w:sz w:val="24"/>
          <w14:textFill>
            <w14:solidFill>
              <w14:schemeClr w14:val="tx1"/>
            </w14:solidFill>
          </w14:textFill>
        </w:rPr>
        <w:t>噪声污染源源强核算结果及相关参数一览表</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61"/>
        <w:gridCol w:w="788"/>
        <w:gridCol w:w="671"/>
        <w:gridCol w:w="684"/>
        <w:gridCol w:w="825"/>
        <w:gridCol w:w="936"/>
        <w:gridCol w:w="1635"/>
        <w:gridCol w:w="712"/>
        <w:gridCol w:w="713"/>
        <w:gridCol w:w="909"/>
        <w:gridCol w:w="756"/>
      </w:tblGrid>
      <w:tr w14:paraId="5E289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356" w:type="pct"/>
            <w:vMerge w:val="restart"/>
            <w:vAlign w:val="center"/>
          </w:tcPr>
          <w:p w14:paraId="57E8A9CF">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工序/生产线</w:t>
            </w:r>
          </w:p>
        </w:tc>
        <w:tc>
          <w:tcPr>
            <w:tcW w:w="424" w:type="pct"/>
            <w:vMerge w:val="restart"/>
            <w:vAlign w:val="center"/>
          </w:tcPr>
          <w:p w14:paraId="13C74790">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装置</w:t>
            </w:r>
          </w:p>
        </w:tc>
        <w:tc>
          <w:tcPr>
            <w:tcW w:w="361" w:type="pct"/>
            <w:vMerge w:val="restart"/>
            <w:vAlign w:val="center"/>
          </w:tcPr>
          <w:p w14:paraId="5F111F3A">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噪声源</w:t>
            </w:r>
          </w:p>
        </w:tc>
        <w:tc>
          <w:tcPr>
            <w:tcW w:w="368" w:type="pct"/>
            <w:vMerge w:val="restart"/>
            <w:vAlign w:val="center"/>
          </w:tcPr>
          <w:p w14:paraId="2EE7CB97">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声源类型</w:t>
            </w:r>
          </w:p>
        </w:tc>
        <w:tc>
          <w:tcPr>
            <w:tcW w:w="948" w:type="pct"/>
            <w:gridSpan w:val="2"/>
            <w:vAlign w:val="center"/>
          </w:tcPr>
          <w:p w14:paraId="0D7A1954">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噪声声源</w:t>
            </w:r>
          </w:p>
        </w:tc>
        <w:tc>
          <w:tcPr>
            <w:tcW w:w="1263" w:type="pct"/>
            <w:gridSpan w:val="2"/>
            <w:vAlign w:val="center"/>
          </w:tcPr>
          <w:p w14:paraId="202A6B35">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降噪措施</w:t>
            </w:r>
          </w:p>
        </w:tc>
        <w:tc>
          <w:tcPr>
            <w:tcW w:w="873" w:type="pct"/>
            <w:gridSpan w:val="2"/>
            <w:vAlign w:val="center"/>
          </w:tcPr>
          <w:p w14:paraId="165F92DE">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噪声排放值</w:t>
            </w:r>
          </w:p>
        </w:tc>
        <w:tc>
          <w:tcPr>
            <w:tcW w:w="407" w:type="pct"/>
            <w:vMerge w:val="restart"/>
            <w:vAlign w:val="center"/>
          </w:tcPr>
          <w:p w14:paraId="6B92147B">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持续时间（h）</w:t>
            </w:r>
          </w:p>
        </w:tc>
      </w:tr>
      <w:tr w14:paraId="0F851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356" w:type="pct"/>
            <w:vMerge w:val="continue"/>
            <w:vAlign w:val="center"/>
          </w:tcPr>
          <w:p w14:paraId="564D2F49">
            <w:pPr>
              <w:jc w:val="center"/>
              <w:rPr>
                <w:rFonts w:ascii="Times New Roman" w:hAnsi="Times New Roman" w:cs="Times New Roman" w:eastAsiaTheme="minorEastAsia"/>
                <w:color w:val="000000" w:themeColor="text1"/>
                <w:w w:val="99"/>
                <w:sz w:val="21"/>
                <w:szCs w:val="21"/>
                <w14:textFill>
                  <w14:solidFill>
                    <w14:schemeClr w14:val="tx1"/>
                  </w14:solidFill>
                </w14:textFill>
              </w:rPr>
            </w:pPr>
          </w:p>
        </w:tc>
        <w:tc>
          <w:tcPr>
            <w:tcW w:w="424" w:type="pct"/>
            <w:vMerge w:val="continue"/>
            <w:vAlign w:val="center"/>
          </w:tcPr>
          <w:p w14:paraId="6A1BE7C5">
            <w:pPr>
              <w:jc w:val="center"/>
              <w:rPr>
                <w:rFonts w:ascii="Times New Roman" w:hAnsi="Times New Roman" w:cs="Times New Roman" w:eastAsiaTheme="minorEastAsia"/>
                <w:color w:val="000000" w:themeColor="text1"/>
                <w:w w:val="99"/>
                <w:sz w:val="21"/>
                <w:szCs w:val="21"/>
                <w14:textFill>
                  <w14:solidFill>
                    <w14:schemeClr w14:val="tx1"/>
                  </w14:solidFill>
                </w14:textFill>
              </w:rPr>
            </w:pPr>
          </w:p>
        </w:tc>
        <w:tc>
          <w:tcPr>
            <w:tcW w:w="361" w:type="pct"/>
            <w:vMerge w:val="continue"/>
            <w:vAlign w:val="center"/>
          </w:tcPr>
          <w:p w14:paraId="4B97721E">
            <w:pPr>
              <w:jc w:val="center"/>
              <w:rPr>
                <w:rFonts w:ascii="Times New Roman" w:hAnsi="Times New Roman" w:cs="Times New Roman" w:eastAsiaTheme="minorEastAsia"/>
                <w:color w:val="000000" w:themeColor="text1"/>
                <w:w w:val="99"/>
                <w:sz w:val="21"/>
                <w:szCs w:val="21"/>
                <w14:textFill>
                  <w14:solidFill>
                    <w14:schemeClr w14:val="tx1"/>
                  </w14:solidFill>
                </w14:textFill>
              </w:rPr>
            </w:pPr>
          </w:p>
        </w:tc>
        <w:tc>
          <w:tcPr>
            <w:tcW w:w="368" w:type="pct"/>
            <w:vMerge w:val="continue"/>
            <w:vAlign w:val="center"/>
          </w:tcPr>
          <w:p w14:paraId="0C01C4EA">
            <w:pPr>
              <w:jc w:val="center"/>
              <w:rPr>
                <w:rFonts w:ascii="Times New Roman" w:hAnsi="Times New Roman" w:cs="Times New Roman" w:eastAsiaTheme="minorEastAsia"/>
                <w:color w:val="000000" w:themeColor="text1"/>
                <w:w w:val="99"/>
                <w:sz w:val="21"/>
                <w:szCs w:val="21"/>
                <w14:textFill>
                  <w14:solidFill>
                    <w14:schemeClr w14:val="tx1"/>
                  </w14:solidFill>
                </w14:textFill>
              </w:rPr>
            </w:pPr>
          </w:p>
        </w:tc>
        <w:tc>
          <w:tcPr>
            <w:tcW w:w="444" w:type="pct"/>
            <w:vAlign w:val="center"/>
          </w:tcPr>
          <w:p w14:paraId="3AEBFA95">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核算方法</w:t>
            </w:r>
          </w:p>
        </w:tc>
        <w:tc>
          <w:tcPr>
            <w:tcW w:w="504" w:type="pct"/>
            <w:vAlign w:val="center"/>
          </w:tcPr>
          <w:p w14:paraId="09F8FB1A">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噪声值</w:t>
            </w:r>
          </w:p>
          <w:p w14:paraId="2FC5C72C">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dB（A）</w:t>
            </w:r>
          </w:p>
        </w:tc>
        <w:tc>
          <w:tcPr>
            <w:tcW w:w="880" w:type="pct"/>
            <w:vAlign w:val="center"/>
          </w:tcPr>
          <w:p w14:paraId="5176BBB3">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工艺</w:t>
            </w:r>
          </w:p>
        </w:tc>
        <w:tc>
          <w:tcPr>
            <w:tcW w:w="383" w:type="pct"/>
            <w:vAlign w:val="center"/>
          </w:tcPr>
          <w:p w14:paraId="530B9E43">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降噪效果</w:t>
            </w:r>
          </w:p>
        </w:tc>
        <w:tc>
          <w:tcPr>
            <w:tcW w:w="384" w:type="pct"/>
            <w:vAlign w:val="center"/>
          </w:tcPr>
          <w:p w14:paraId="7FC3612E">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核算方法</w:t>
            </w:r>
          </w:p>
        </w:tc>
        <w:tc>
          <w:tcPr>
            <w:tcW w:w="489" w:type="pct"/>
            <w:vAlign w:val="center"/>
          </w:tcPr>
          <w:p w14:paraId="057410AF">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噪声值</w:t>
            </w:r>
          </w:p>
          <w:p w14:paraId="50B0BD80">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dB（A）</w:t>
            </w:r>
          </w:p>
        </w:tc>
        <w:tc>
          <w:tcPr>
            <w:tcW w:w="407" w:type="pct"/>
            <w:vMerge w:val="continue"/>
            <w:vAlign w:val="center"/>
          </w:tcPr>
          <w:p w14:paraId="2762AC9F">
            <w:pPr>
              <w:jc w:val="center"/>
              <w:rPr>
                <w:rFonts w:ascii="Times New Roman" w:hAnsi="Times New Roman" w:cs="Times New Roman" w:eastAsiaTheme="minorEastAsia"/>
                <w:color w:val="000000" w:themeColor="text1"/>
                <w:w w:val="99"/>
                <w:sz w:val="21"/>
                <w:szCs w:val="21"/>
                <w14:textFill>
                  <w14:solidFill>
                    <w14:schemeClr w14:val="tx1"/>
                  </w14:solidFill>
                </w14:textFill>
              </w:rPr>
            </w:pPr>
          </w:p>
        </w:tc>
      </w:tr>
      <w:tr w14:paraId="45EF5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356" w:type="pct"/>
            <w:vAlign w:val="center"/>
          </w:tcPr>
          <w:p w14:paraId="7ED3F611">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原油集输</w:t>
            </w:r>
          </w:p>
        </w:tc>
        <w:tc>
          <w:tcPr>
            <w:tcW w:w="424" w:type="pct"/>
            <w:vAlign w:val="center"/>
          </w:tcPr>
          <w:p w14:paraId="2493ED87">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混输泵</w:t>
            </w:r>
          </w:p>
        </w:tc>
        <w:tc>
          <w:tcPr>
            <w:tcW w:w="361" w:type="pct"/>
            <w:vAlign w:val="center"/>
          </w:tcPr>
          <w:p w14:paraId="5A0C178D">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混输阀组间</w:t>
            </w:r>
          </w:p>
        </w:tc>
        <w:tc>
          <w:tcPr>
            <w:tcW w:w="368" w:type="pct"/>
            <w:vAlign w:val="center"/>
          </w:tcPr>
          <w:p w14:paraId="1CF06F51">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snapToGrid w:val="0"/>
                <w:color w:val="000000" w:themeColor="text1"/>
                <w:w w:val="99"/>
                <w:sz w:val="21"/>
                <w:szCs w:val="21"/>
                <w14:textFill>
                  <w14:solidFill>
                    <w14:schemeClr w14:val="tx1"/>
                  </w14:solidFill>
                </w14:textFill>
              </w:rPr>
              <w:t>频发</w:t>
            </w:r>
          </w:p>
        </w:tc>
        <w:tc>
          <w:tcPr>
            <w:tcW w:w="444" w:type="pct"/>
            <w:vAlign w:val="center"/>
          </w:tcPr>
          <w:p w14:paraId="4EEB29E7">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类比法</w:t>
            </w:r>
          </w:p>
        </w:tc>
        <w:tc>
          <w:tcPr>
            <w:tcW w:w="504" w:type="pct"/>
            <w:vAlign w:val="center"/>
          </w:tcPr>
          <w:p w14:paraId="2EB35497">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snapToGrid w:val="0"/>
                <w:color w:val="000000" w:themeColor="text1"/>
                <w:w w:val="99"/>
                <w:sz w:val="21"/>
                <w:szCs w:val="21"/>
                <w14:textFill>
                  <w14:solidFill>
                    <w14:schemeClr w14:val="tx1"/>
                  </w14:solidFill>
                </w14:textFill>
              </w:rPr>
              <w:t>102-109</w:t>
            </w:r>
          </w:p>
        </w:tc>
        <w:tc>
          <w:tcPr>
            <w:tcW w:w="880" w:type="pct"/>
            <w:vAlign w:val="center"/>
          </w:tcPr>
          <w:p w14:paraId="30C0FE3F">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低噪声设备、基础减振、泵房隔声</w:t>
            </w:r>
          </w:p>
        </w:tc>
        <w:tc>
          <w:tcPr>
            <w:tcW w:w="383" w:type="pct"/>
            <w:vAlign w:val="center"/>
          </w:tcPr>
          <w:p w14:paraId="76E6851C">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-25</w:t>
            </w:r>
          </w:p>
        </w:tc>
        <w:tc>
          <w:tcPr>
            <w:tcW w:w="384" w:type="pct"/>
            <w:vAlign w:val="center"/>
          </w:tcPr>
          <w:p w14:paraId="048D754B">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类比法</w:t>
            </w:r>
          </w:p>
        </w:tc>
        <w:tc>
          <w:tcPr>
            <w:tcW w:w="489" w:type="pct"/>
            <w:vAlign w:val="center"/>
          </w:tcPr>
          <w:p w14:paraId="41D963EF">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＜84</w:t>
            </w:r>
          </w:p>
        </w:tc>
        <w:tc>
          <w:tcPr>
            <w:tcW w:w="407" w:type="pct"/>
            <w:vAlign w:val="center"/>
          </w:tcPr>
          <w:p w14:paraId="4BDBAFAD">
            <w:pPr>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8760</w:t>
            </w:r>
          </w:p>
        </w:tc>
      </w:tr>
    </w:tbl>
    <w:p w14:paraId="01B641C7">
      <w:pPr>
        <w:spacing w:line="440" w:lineRule="exact"/>
        <w:outlineLvl w:val="3"/>
        <w:rPr>
          <w:rFonts w:ascii="Times New Roman" w:hAnsi="Times New Roman" w:cs="Times New Roman" w:eastAsiaTheme="minorEastAsia"/>
          <w:b/>
          <w:color w:val="000000" w:themeColor="text1"/>
          <w:w w:val="99"/>
          <w:sz w:val="24"/>
          <w:szCs w:val="24"/>
          <w:lang w:val="en-US"/>
          <w14:textFill>
            <w14:solidFill>
              <w14:schemeClr w14:val="tx1"/>
            </w14:solidFill>
          </w14:textFill>
        </w:rPr>
      </w:pPr>
      <w:r>
        <w:rPr>
          <w:rFonts w:ascii="Times New Roman" w:hAnsi="Times New Roman" w:cs="Times New Roman" w:eastAsiaTheme="minorEastAsia"/>
          <w:b/>
          <w:color w:val="000000" w:themeColor="text1"/>
          <w:w w:val="99"/>
          <w:sz w:val="24"/>
          <w:szCs w:val="24"/>
          <w:lang w:val="en-US"/>
          <w14:textFill>
            <w14:solidFill>
              <w14:schemeClr w14:val="tx1"/>
            </w14:solidFill>
          </w14:textFill>
        </w:rPr>
        <w:t xml:space="preserve">3.4.2.4 </w:t>
      </w:r>
      <w:r>
        <w:rPr>
          <w:rFonts w:hint="eastAsia" w:ascii="Times New Roman" w:hAnsi="Times New Roman" w:cs="Times New Roman" w:eastAsiaTheme="minorEastAsia"/>
          <w:b/>
          <w:color w:val="000000" w:themeColor="text1"/>
          <w:w w:val="99"/>
          <w:sz w:val="24"/>
          <w:szCs w:val="24"/>
          <w:lang w:val="en-US"/>
          <w14:textFill>
            <w14:solidFill>
              <w14:schemeClr w14:val="tx1"/>
            </w14:solidFill>
          </w14:textFill>
        </w:rPr>
        <w:t>可</w:t>
      </w:r>
      <w:r>
        <w:rPr>
          <w:rFonts w:ascii="Times New Roman" w:hAnsi="Times New Roman" w:cs="Times New Roman" w:eastAsiaTheme="minorEastAsia"/>
          <w:b/>
          <w:color w:val="000000" w:themeColor="text1"/>
          <w:w w:val="99"/>
          <w:sz w:val="24"/>
          <w:szCs w:val="24"/>
          <w:lang w:val="en-US"/>
          <w14:textFill>
            <w14:solidFill>
              <w14:schemeClr w14:val="tx1"/>
            </w14:solidFill>
          </w14:textFill>
        </w:rPr>
        <w:t>达标性分析</w:t>
      </w:r>
    </w:p>
    <w:p w14:paraId="473BDCC5">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本项目各项污染物达标性分析见表</w:t>
      </w:r>
      <w:r>
        <w:rPr>
          <w:rFonts w:hint="eastAsia" w:ascii="Times New Roman" w:hAnsi="Times New Roman" w:cs="Times New Roman" w:eastAsiaTheme="minorEastAsia"/>
          <w:color w:val="000000" w:themeColor="text1"/>
          <w:w w:val="99"/>
          <w:kern w:val="2"/>
          <w:sz w:val="24"/>
          <w:szCs w:val="20"/>
          <w:lang w:val="en-US" w:bidi="ar-SA"/>
          <w14:textFill>
            <w14:solidFill>
              <w14:schemeClr w14:val="tx1"/>
            </w14:solidFill>
          </w14:textFill>
        </w:rPr>
        <w:t>3</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.4-8。</w:t>
      </w:r>
    </w:p>
    <w:p w14:paraId="0F813512">
      <w:pPr>
        <w:pStyle w:val="105"/>
        <w:spacing w:beforeLines="0" w:line="440" w:lineRule="exact"/>
        <w:ind w:firstLine="476" w:firstLineChars="200"/>
        <w:jc w:val="both"/>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表</w:t>
      </w:r>
      <w:r>
        <w:rPr>
          <w:rFonts w:hint="eastAsia" w:ascii="Times New Roman" w:hAnsi="Times New Roman" w:cs="Times New Roman" w:eastAsiaTheme="minorEastAsia"/>
          <w:b/>
          <w:bCs/>
          <w:color w:val="000000" w:themeColor="text1"/>
          <w:w w:val="99"/>
          <w:sz w:val="24"/>
          <w:szCs w:val="24"/>
          <w:lang w:val="en-US"/>
          <w14:textFill>
            <w14:solidFill>
              <w14:schemeClr w14:val="tx1"/>
            </w14:solidFill>
          </w14:textFill>
        </w:rPr>
        <w:t>3</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.4-8        各项污染物达标性分析表</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99"/>
        <w:gridCol w:w="836"/>
        <w:gridCol w:w="620"/>
        <w:gridCol w:w="905"/>
        <w:gridCol w:w="885"/>
        <w:gridCol w:w="1021"/>
        <w:gridCol w:w="2401"/>
        <w:gridCol w:w="1717"/>
      </w:tblGrid>
      <w:tr w14:paraId="02144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5" w:type="pct"/>
            <w:tcBorders>
              <w:tl2br w:val="nil"/>
              <w:tr2bl w:val="nil"/>
            </w:tcBorders>
            <w:vAlign w:val="center"/>
          </w:tcPr>
          <w:p w14:paraId="6ADDBD0B">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污染物种类</w:t>
            </w:r>
          </w:p>
        </w:tc>
        <w:tc>
          <w:tcPr>
            <w:tcW w:w="460" w:type="pct"/>
            <w:tcBorders>
              <w:tl2br w:val="nil"/>
              <w:tr2bl w:val="nil"/>
            </w:tcBorders>
            <w:vAlign w:val="center"/>
          </w:tcPr>
          <w:p w14:paraId="57AA301A">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污染物名称</w:t>
            </w:r>
          </w:p>
        </w:tc>
        <w:tc>
          <w:tcPr>
            <w:tcW w:w="341" w:type="pct"/>
            <w:tcBorders>
              <w:tl2br w:val="nil"/>
              <w:tr2bl w:val="nil"/>
            </w:tcBorders>
            <w:vAlign w:val="center"/>
          </w:tcPr>
          <w:p w14:paraId="37043EDF">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主要污染因子</w:t>
            </w:r>
          </w:p>
        </w:tc>
        <w:tc>
          <w:tcPr>
            <w:tcW w:w="498" w:type="pct"/>
            <w:tcBorders>
              <w:tl2br w:val="nil"/>
              <w:tr2bl w:val="nil"/>
            </w:tcBorders>
            <w:vAlign w:val="center"/>
          </w:tcPr>
          <w:p w14:paraId="034AED0C">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hint="eastAsia" w:eastAsiaTheme="minorEastAsia"/>
                <w:color w:val="000000" w:themeColor="text1"/>
                <w:w w:val="99"/>
                <w:kern w:val="2"/>
                <w:sz w:val="21"/>
                <w:szCs w:val="21"/>
                <w:lang w:val="en-US" w:bidi="ar-SA"/>
                <w14:textFill>
                  <w14:solidFill>
                    <w14:schemeClr w14:val="tx1"/>
                  </w14:solidFill>
                </w14:textFill>
              </w:rPr>
              <w:t>排放</w:t>
            </w:r>
            <w:r>
              <w:rPr>
                <w:rFonts w:eastAsiaTheme="minorEastAsia"/>
                <w:color w:val="000000" w:themeColor="text1"/>
                <w:w w:val="99"/>
                <w:kern w:val="2"/>
                <w:sz w:val="21"/>
                <w:szCs w:val="21"/>
                <w:lang w:val="en-US" w:bidi="ar-SA"/>
                <w14:textFill>
                  <w14:solidFill>
                    <w14:schemeClr w14:val="tx1"/>
                  </w14:solidFill>
                </w14:textFill>
              </w:rPr>
              <w:t>位置</w:t>
            </w:r>
          </w:p>
        </w:tc>
        <w:tc>
          <w:tcPr>
            <w:tcW w:w="487" w:type="pct"/>
            <w:tcBorders>
              <w:tl2br w:val="nil"/>
              <w:tr2bl w:val="nil"/>
            </w:tcBorders>
            <w:vAlign w:val="center"/>
          </w:tcPr>
          <w:p w14:paraId="38ECBA4B">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hint="eastAsia" w:eastAsiaTheme="minorEastAsia"/>
                <w:color w:val="000000" w:themeColor="text1"/>
                <w:w w:val="99"/>
                <w:kern w:val="2"/>
                <w:sz w:val="21"/>
                <w:szCs w:val="21"/>
                <w:lang w:val="en-US" w:bidi="ar-SA"/>
                <w14:textFill>
                  <w14:solidFill>
                    <w14:schemeClr w14:val="tx1"/>
                  </w14:solidFill>
                </w14:textFill>
              </w:rPr>
              <w:t>产生</w:t>
            </w:r>
            <w:r>
              <w:rPr>
                <w:rFonts w:eastAsiaTheme="minorEastAsia"/>
                <w:color w:val="000000" w:themeColor="text1"/>
                <w:w w:val="99"/>
                <w:kern w:val="2"/>
                <w:sz w:val="21"/>
                <w:szCs w:val="21"/>
                <w:lang w:val="en-US" w:bidi="ar-SA"/>
                <w14:textFill>
                  <w14:solidFill>
                    <w14:schemeClr w14:val="tx1"/>
                  </w14:solidFill>
                </w14:textFill>
              </w:rPr>
              <w:t>量</w:t>
            </w:r>
          </w:p>
        </w:tc>
        <w:tc>
          <w:tcPr>
            <w:tcW w:w="562" w:type="pct"/>
            <w:tcBorders>
              <w:tl2br w:val="nil"/>
              <w:tr2bl w:val="nil"/>
            </w:tcBorders>
            <w:vAlign w:val="center"/>
          </w:tcPr>
          <w:p w14:paraId="57573674">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hint="eastAsia" w:eastAsiaTheme="minorEastAsia"/>
                <w:color w:val="000000" w:themeColor="text1"/>
                <w:w w:val="99"/>
                <w:kern w:val="2"/>
                <w:sz w:val="21"/>
                <w:szCs w:val="21"/>
                <w:lang w:val="en-US" w:bidi="ar-SA"/>
                <w14:textFill>
                  <w14:solidFill>
                    <w14:schemeClr w14:val="tx1"/>
                  </w14:solidFill>
                </w14:textFill>
              </w:rPr>
              <w:t>排放量</w:t>
            </w:r>
          </w:p>
        </w:tc>
        <w:tc>
          <w:tcPr>
            <w:tcW w:w="1321" w:type="pct"/>
            <w:tcBorders>
              <w:tl2br w:val="nil"/>
              <w:tr2bl w:val="nil"/>
            </w:tcBorders>
            <w:vAlign w:val="center"/>
          </w:tcPr>
          <w:p w14:paraId="768BD473">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hint="eastAsia" w:eastAsiaTheme="minorEastAsia"/>
                <w:color w:val="000000" w:themeColor="text1"/>
                <w:w w:val="99"/>
                <w:kern w:val="2"/>
                <w:sz w:val="21"/>
                <w:szCs w:val="21"/>
                <w:lang w:val="en-US" w:bidi="ar-SA"/>
                <w14:textFill>
                  <w14:solidFill>
                    <w14:schemeClr w14:val="tx1"/>
                  </w14:solidFill>
                </w14:textFill>
              </w:rPr>
              <w:t>执行</w:t>
            </w:r>
            <w:r>
              <w:rPr>
                <w:rFonts w:eastAsiaTheme="minorEastAsia"/>
                <w:color w:val="000000" w:themeColor="text1"/>
                <w:w w:val="99"/>
                <w:kern w:val="2"/>
                <w:sz w:val="21"/>
                <w:szCs w:val="21"/>
                <w:lang w:val="en-US" w:bidi="ar-SA"/>
                <w14:textFill>
                  <w14:solidFill>
                    <w14:schemeClr w14:val="tx1"/>
                  </w14:solidFill>
                </w14:textFill>
              </w:rPr>
              <w:t>标准</w:t>
            </w:r>
          </w:p>
        </w:tc>
        <w:tc>
          <w:tcPr>
            <w:tcW w:w="945" w:type="pct"/>
            <w:tcBorders>
              <w:tl2br w:val="nil"/>
              <w:tr2bl w:val="nil"/>
            </w:tcBorders>
            <w:vAlign w:val="center"/>
          </w:tcPr>
          <w:p w14:paraId="6CB39B72">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hint="eastAsia" w:eastAsiaTheme="minorEastAsia"/>
                <w:color w:val="000000" w:themeColor="text1"/>
                <w:w w:val="99"/>
                <w:kern w:val="2"/>
                <w:sz w:val="21"/>
                <w:szCs w:val="21"/>
                <w:lang w:val="en-US" w:bidi="ar-SA"/>
                <w14:textFill>
                  <w14:solidFill>
                    <w14:schemeClr w14:val="tx1"/>
                  </w14:solidFill>
                </w14:textFill>
              </w:rPr>
              <w:t>标准</w:t>
            </w:r>
            <w:r>
              <w:rPr>
                <w:rFonts w:eastAsiaTheme="minorEastAsia"/>
                <w:color w:val="000000" w:themeColor="text1"/>
                <w:w w:val="99"/>
                <w:kern w:val="2"/>
                <w:sz w:val="21"/>
                <w:szCs w:val="21"/>
                <w:lang w:val="en-US" w:bidi="ar-SA"/>
                <w14:textFill>
                  <w14:solidFill>
                    <w14:schemeClr w14:val="tx1"/>
                  </w14:solidFill>
                </w14:textFill>
              </w:rPr>
              <w:t>数值</w:t>
            </w:r>
          </w:p>
        </w:tc>
      </w:tr>
      <w:tr w14:paraId="39DAA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5" w:type="pct"/>
            <w:vMerge w:val="restart"/>
            <w:tcBorders>
              <w:tl2br w:val="nil"/>
              <w:tr2bl w:val="nil"/>
            </w:tcBorders>
            <w:vAlign w:val="center"/>
          </w:tcPr>
          <w:p w14:paraId="5EA9B420">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废气</w:t>
            </w:r>
          </w:p>
        </w:tc>
        <w:tc>
          <w:tcPr>
            <w:tcW w:w="460" w:type="pct"/>
            <w:tcBorders>
              <w:tl2br w:val="nil"/>
              <w:tr2bl w:val="nil"/>
            </w:tcBorders>
            <w:vAlign w:val="center"/>
          </w:tcPr>
          <w:p w14:paraId="2F701681">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扬尘</w:t>
            </w:r>
          </w:p>
        </w:tc>
        <w:tc>
          <w:tcPr>
            <w:tcW w:w="341" w:type="pct"/>
            <w:tcBorders>
              <w:tl2br w:val="nil"/>
              <w:tr2bl w:val="nil"/>
            </w:tcBorders>
            <w:vAlign w:val="center"/>
          </w:tcPr>
          <w:p w14:paraId="7A1C2C66">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颗粒物</w:t>
            </w:r>
          </w:p>
        </w:tc>
        <w:tc>
          <w:tcPr>
            <w:tcW w:w="498" w:type="pct"/>
            <w:vMerge w:val="restart"/>
            <w:tcBorders>
              <w:tl2br w:val="nil"/>
              <w:tr2bl w:val="nil"/>
            </w:tcBorders>
            <w:vAlign w:val="center"/>
          </w:tcPr>
          <w:p w14:paraId="4F20E68A">
            <w:pPr>
              <w:pStyle w:val="108"/>
              <w:spacing w:line="360" w:lineRule="exact"/>
              <w:rPr>
                <w:rFonts w:eastAsiaTheme="minorEastAsia"/>
                <w:bCs/>
                <w:color w:val="000000" w:themeColor="text1"/>
                <w:w w:val="99"/>
                <w:kern w:val="2"/>
                <w:sz w:val="21"/>
                <w:szCs w:val="21"/>
                <w:lang w:val="en-US" w:bidi="ar-SA"/>
                <w14:textFill>
                  <w14:solidFill>
                    <w14:schemeClr w14:val="tx1"/>
                  </w14:solidFill>
                </w14:textFill>
              </w:rPr>
            </w:pPr>
            <w:r>
              <w:rPr>
                <w:rFonts w:eastAsiaTheme="minorEastAsia"/>
                <w:bCs/>
                <w:color w:val="000000" w:themeColor="text1"/>
                <w:w w:val="99"/>
                <w:kern w:val="2"/>
                <w:sz w:val="21"/>
                <w:szCs w:val="21"/>
                <w:lang w:val="en-US" w:bidi="ar-SA"/>
                <w14:textFill>
                  <w14:solidFill>
                    <w14:schemeClr w14:val="tx1"/>
                  </w14:solidFill>
                </w14:textFill>
              </w:rPr>
              <w:t>施工场地</w:t>
            </w:r>
          </w:p>
        </w:tc>
        <w:tc>
          <w:tcPr>
            <w:tcW w:w="487" w:type="pct"/>
            <w:tcBorders>
              <w:tl2br w:val="nil"/>
              <w:tr2bl w:val="nil"/>
            </w:tcBorders>
            <w:vAlign w:val="center"/>
          </w:tcPr>
          <w:p w14:paraId="25E04795">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bCs/>
                <w:color w:val="000000" w:themeColor="text1"/>
                <w:w w:val="99"/>
                <w:kern w:val="2"/>
                <w:sz w:val="21"/>
                <w:szCs w:val="21"/>
                <w:lang w:val="en-US" w:bidi="ar-SA"/>
                <w14:textFill>
                  <w14:solidFill>
                    <w14:schemeClr w14:val="tx1"/>
                  </w14:solidFill>
                </w14:textFill>
              </w:rPr>
              <w:t>5.97t</w:t>
            </w:r>
          </w:p>
        </w:tc>
        <w:tc>
          <w:tcPr>
            <w:tcW w:w="562" w:type="pct"/>
            <w:tcBorders>
              <w:tl2br w:val="nil"/>
              <w:tr2bl w:val="nil"/>
            </w:tcBorders>
            <w:vAlign w:val="center"/>
          </w:tcPr>
          <w:p w14:paraId="35638008">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bCs/>
                <w:color w:val="000000" w:themeColor="text1"/>
                <w:w w:val="99"/>
                <w:kern w:val="2"/>
                <w:sz w:val="21"/>
                <w:szCs w:val="21"/>
                <w:lang w:val="en-US" w:bidi="ar-SA"/>
                <w14:textFill>
                  <w14:solidFill>
                    <w14:schemeClr w14:val="tx1"/>
                  </w14:solidFill>
                </w14:textFill>
              </w:rPr>
              <w:t>5.97t</w:t>
            </w:r>
          </w:p>
        </w:tc>
        <w:tc>
          <w:tcPr>
            <w:tcW w:w="1321" w:type="pct"/>
            <w:vMerge w:val="restart"/>
            <w:tcBorders>
              <w:tl2br w:val="nil"/>
              <w:tr2bl w:val="nil"/>
            </w:tcBorders>
            <w:vAlign w:val="center"/>
          </w:tcPr>
          <w:p w14:paraId="6C20BEA8">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执行《大气污染物综合排放标准》（GB16297-1996）表2中无组织排放监控浓度限值要求</w:t>
            </w:r>
          </w:p>
        </w:tc>
        <w:tc>
          <w:tcPr>
            <w:tcW w:w="945" w:type="pct"/>
            <w:vMerge w:val="restart"/>
            <w:tcBorders>
              <w:tl2br w:val="nil"/>
              <w:tr2bl w:val="nil"/>
            </w:tcBorders>
            <w:vAlign w:val="center"/>
          </w:tcPr>
          <w:p w14:paraId="2826E2CA">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hint="eastAsia" w:eastAsiaTheme="minorEastAsia"/>
                <w:color w:val="000000" w:themeColor="text1"/>
                <w:w w:val="99"/>
                <w:kern w:val="2"/>
                <w:sz w:val="21"/>
                <w:szCs w:val="21"/>
                <w:lang w:val="en-US" w:bidi="ar-SA"/>
                <w14:textFill>
                  <w14:solidFill>
                    <w14:schemeClr w14:val="tx1"/>
                  </w14:solidFill>
                </w14:textFill>
              </w:rPr>
              <w:t>≤</w:t>
            </w:r>
            <w:r>
              <w:rPr>
                <w:rFonts w:eastAsiaTheme="minorEastAsia"/>
                <w:color w:val="000000" w:themeColor="text1"/>
                <w:w w:val="99"/>
                <w:kern w:val="2"/>
                <w:sz w:val="21"/>
                <w:szCs w:val="21"/>
                <w:lang w:val="en-US" w:bidi="ar-SA"/>
                <w14:textFill>
                  <w14:solidFill>
                    <w14:schemeClr w14:val="tx1"/>
                  </w14:solidFill>
                </w14:textFill>
              </w:rPr>
              <w:t>1.0mg/m</w:t>
            </w:r>
            <w:r>
              <w:rPr>
                <w:rFonts w:eastAsiaTheme="minorEastAsia"/>
                <w:color w:val="000000" w:themeColor="text1"/>
                <w:w w:val="99"/>
                <w:kern w:val="2"/>
                <w:sz w:val="21"/>
                <w:szCs w:val="21"/>
                <w:vertAlign w:val="superscript"/>
                <w:lang w:val="en-US" w:bidi="ar-SA"/>
                <w14:textFill>
                  <w14:solidFill>
                    <w14:schemeClr w14:val="tx1"/>
                  </w14:solidFill>
                </w14:textFill>
              </w:rPr>
              <w:t>3</w:t>
            </w:r>
          </w:p>
        </w:tc>
      </w:tr>
      <w:tr w14:paraId="16945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5" w:type="pct"/>
            <w:vMerge w:val="continue"/>
            <w:tcBorders>
              <w:tl2br w:val="nil"/>
              <w:tr2bl w:val="nil"/>
            </w:tcBorders>
            <w:vAlign w:val="center"/>
          </w:tcPr>
          <w:p w14:paraId="159D1C81">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p>
        </w:tc>
        <w:tc>
          <w:tcPr>
            <w:tcW w:w="460" w:type="pct"/>
            <w:tcBorders>
              <w:tl2br w:val="nil"/>
              <w:tr2bl w:val="nil"/>
            </w:tcBorders>
            <w:vAlign w:val="center"/>
          </w:tcPr>
          <w:p w14:paraId="475B33D0">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焊接烟尘</w:t>
            </w:r>
          </w:p>
        </w:tc>
        <w:tc>
          <w:tcPr>
            <w:tcW w:w="341" w:type="pct"/>
            <w:tcBorders>
              <w:tl2br w:val="nil"/>
              <w:tr2bl w:val="nil"/>
            </w:tcBorders>
            <w:vAlign w:val="center"/>
          </w:tcPr>
          <w:p w14:paraId="10DFA030">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颗粒物</w:t>
            </w:r>
          </w:p>
        </w:tc>
        <w:tc>
          <w:tcPr>
            <w:tcW w:w="498" w:type="pct"/>
            <w:vMerge w:val="continue"/>
            <w:tcBorders>
              <w:tl2br w:val="nil"/>
              <w:tr2bl w:val="nil"/>
            </w:tcBorders>
            <w:vAlign w:val="center"/>
          </w:tcPr>
          <w:p w14:paraId="740FCE82">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p>
        </w:tc>
        <w:tc>
          <w:tcPr>
            <w:tcW w:w="487" w:type="pct"/>
            <w:tcBorders>
              <w:tl2br w:val="nil"/>
              <w:tr2bl w:val="nil"/>
            </w:tcBorders>
            <w:vAlign w:val="center"/>
          </w:tcPr>
          <w:p w14:paraId="6E10FAF2">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0.0027t</w:t>
            </w:r>
          </w:p>
        </w:tc>
        <w:tc>
          <w:tcPr>
            <w:tcW w:w="562" w:type="pct"/>
            <w:tcBorders>
              <w:tl2br w:val="nil"/>
              <w:tr2bl w:val="nil"/>
            </w:tcBorders>
            <w:vAlign w:val="center"/>
          </w:tcPr>
          <w:p w14:paraId="67015DAB">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0.0027t</w:t>
            </w:r>
          </w:p>
        </w:tc>
        <w:tc>
          <w:tcPr>
            <w:tcW w:w="1321" w:type="pct"/>
            <w:vMerge w:val="continue"/>
            <w:tcBorders>
              <w:tl2br w:val="nil"/>
              <w:tr2bl w:val="nil"/>
            </w:tcBorders>
            <w:vAlign w:val="center"/>
          </w:tcPr>
          <w:p w14:paraId="74756F5F">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p>
        </w:tc>
        <w:tc>
          <w:tcPr>
            <w:tcW w:w="945" w:type="pct"/>
            <w:vMerge w:val="continue"/>
            <w:tcBorders>
              <w:tl2br w:val="nil"/>
              <w:tr2bl w:val="nil"/>
            </w:tcBorders>
            <w:vAlign w:val="center"/>
          </w:tcPr>
          <w:p w14:paraId="1C7807E2">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p>
        </w:tc>
      </w:tr>
      <w:tr w14:paraId="0D784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5" w:type="pct"/>
            <w:vMerge w:val="continue"/>
            <w:tcBorders>
              <w:tl2br w:val="nil"/>
              <w:tr2bl w:val="nil"/>
            </w:tcBorders>
            <w:vAlign w:val="center"/>
          </w:tcPr>
          <w:p w14:paraId="72D9C88B">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p>
        </w:tc>
        <w:tc>
          <w:tcPr>
            <w:tcW w:w="460" w:type="pct"/>
            <w:vMerge w:val="restart"/>
            <w:tcBorders>
              <w:tl2br w:val="nil"/>
              <w:tr2bl w:val="nil"/>
            </w:tcBorders>
            <w:vAlign w:val="center"/>
          </w:tcPr>
          <w:p w14:paraId="27EF7043">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非甲烷总烃</w:t>
            </w:r>
          </w:p>
        </w:tc>
        <w:tc>
          <w:tcPr>
            <w:tcW w:w="341" w:type="pct"/>
            <w:vMerge w:val="restart"/>
            <w:tcBorders>
              <w:tl2br w:val="nil"/>
              <w:tr2bl w:val="nil"/>
            </w:tcBorders>
            <w:vAlign w:val="center"/>
          </w:tcPr>
          <w:p w14:paraId="27B2863E">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非甲烷总烃</w:t>
            </w:r>
          </w:p>
        </w:tc>
        <w:tc>
          <w:tcPr>
            <w:tcW w:w="498" w:type="pct"/>
            <w:vMerge w:val="restart"/>
            <w:tcBorders>
              <w:tl2br w:val="nil"/>
              <w:tr2bl w:val="nil"/>
            </w:tcBorders>
            <w:vAlign w:val="center"/>
          </w:tcPr>
          <w:p w14:paraId="06D4D271">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阀门、泵</w:t>
            </w:r>
          </w:p>
        </w:tc>
        <w:tc>
          <w:tcPr>
            <w:tcW w:w="487" w:type="pct"/>
            <w:vMerge w:val="restart"/>
            <w:tcBorders>
              <w:tl2br w:val="nil"/>
              <w:tr2bl w:val="nil"/>
            </w:tcBorders>
            <w:vAlign w:val="center"/>
          </w:tcPr>
          <w:p w14:paraId="2D99EB54">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hint="eastAsia" w:eastAsiaTheme="minorEastAsia"/>
                <w:color w:val="000000" w:themeColor="text1"/>
                <w:w w:val="99"/>
                <w:kern w:val="2"/>
                <w:sz w:val="21"/>
                <w:szCs w:val="21"/>
                <w:lang w:val="en-US" w:bidi="ar-SA"/>
                <w14:textFill>
                  <w14:solidFill>
                    <w14:schemeClr w14:val="tx1"/>
                  </w14:solidFill>
                </w14:textFill>
              </w:rPr>
              <w:t>0.002</w:t>
            </w:r>
            <w:r>
              <w:rPr>
                <w:rFonts w:eastAsiaTheme="minorEastAsia"/>
                <w:color w:val="000000" w:themeColor="text1"/>
                <w:w w:val="99"/>
                <w:kern w:val="2"/>
                <w:sz w:val="21"/>
                <w:szCs w:val="21"/>
                <w:lang w:val="en-US" w:bidi="ar-SA"/>
                <w14:textFill>
                  <w14:solidFill>
                    <w14:schemeClr w14:val="tx1"/>
                  </w14:solidFill>
                </w14:textFill>
              </w:rPr>
              <w:t>t/a</w:t>
            </w:r>
          </w:p>
        </w:tc>
        <w:tc>
          <w:tcPr>
            <w:tcW w:w="562" w:type="pct"/>
            <w:vMerge w:val="restart"/>
            <w:tcBorders>
              <w:tl2br w:val="nil"/>
              <w:tr2bl w:val="nil"/>
            </w:tcBorders>
            <w:vAlign w:val="center"/>
          </w:tcPr>
          <w:p w14:paraId="740A7B75">
            <w:pPr>
              <w:pStyle w:val="108"/>
              <w:spacing w:line="360" w:lineRule="exact"/>
              <w:rPr>
                <w:rFonts w:eastAsiaTheme="minorEastAsia"/>
                <w:bCs/>
                <w:color w:val="000000" w:themeColor="text1"/>
                <w:w w:val="99"/>
                <w:kern w:val="2"/>
                <w:sz w:val="21"/>
                <w:szCs w:val="21"/>
                <w:lang w:val="en-US" w:bidi="ar-SA"/>
                <w14:textFill>
                  <w14:solidFill>
                    <w14:schemeClr w14:val="tx1"/>
                  </w14:solidFill>
                </w14:textFill>
              </w:rPr>
            </w:pPr>
            <w:r>
              <w:rPr>
                <w:rFonts w:hint="eastAsia" w:eastAsiaTheme="minorEastAsia"/>
                <w:bCs/>
                <w:color w:val="000000" w:themeColor="text1"/>
                <w:w w:val="99"/>
                <w:kern w:val="2"/>
                <w:sz w:val="21"/>
                <w:szCs w:val="21"/>
                <w:lang w:val="en-US" w:bidi="ar-SA"/>
                <w14:textFill>
                  <w14:solidFill>
                    <w14:schemeClr w14:val="tx1"/>
                  </w14:solidFill>
                </w14:textFill>
              </w:rPr>
              <w:t>0.002</w:t>
            </w:r>
            <w:r>
              <w:rPr>
                <w:rFonts w:eastAsiaTheme="minorEastAsia"/>
                <w:bCs/>
                <w:color w:val="000000" w:themeColor="text1"/>
                <w:w w:val="99"/>
                <w:kern w:val="2"/>
                <w:sz w:val="21"/>
                <w:szCs w:val="21"/>
                <w:lang w:val="en-US" w:bidi="ar-SA"/>
                <w14:textFill>
                  <w14:solidFill>
                    <w14:schemeClr w14:val="tx1"/>
                  </w14:solidFill>
                </w14:textFill>
              </w:rPr>
              <w:t>t/a</w:t>
            </w:r>
          </w:p>
        </w:tc>
        <w:tc>
          <w:tcPr>
            <w:tcW w:w="1321" w:type="pct"/>
            <w:tcBorders>
              <w:tl2br w:val="nil"/>
              <w:tr2bl w:val="nil"/>
            </w:tcBorders>
            <w:vAlign w:val="center"/>
          </w:tcPr>
          <w:p w14:paraId="04E5CACA">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hint="eastAsia" w:eastAsiaTheme="minorEastAsia"/>
                <w:bCs/>
                <w:color w:val="000000" w:themeColor="text1"/>
                <w:w w:val="99"/>
                <w:kern w:val="2"/>
                <w:sz w:val="21"/>
                <w:szCs w:val="21"/>
                <w:lang w:val="en-US" w:bidi="ar-SA"/>
                <w14:textFill>
                  <w14:solidFill>
                    <w14:schemeClr w14:val="tx1"/>
                  </w14:solidFill>
                </w14:textFill>
              </w:rPr>
              <w:t>边界执行</w:t>
            </w:r>
            <w:r>
              <w:rPr>
                <w:rFonts w:eastAsiaTheme="minorEastAsia"/>
                <w:bCs/>
                <w:color w:val="000000" w:themeColor="text1"/>
                <w:w w:val="99"/>
                <w:kern w:val="2"/>
                <w:sz w:val="21"/>
                <w:szCs w:val="21"/>
                <w:lang w:val="en-US" w:bidi="ar-SA"/>
                <w14:textFill>
                  <w14:solidFill>
                    <w14:schemeClr w14:val="tx1"/>
                  </w14:solidFill>
                </w14:textFill>
              </w:rPr>
              <w:t>《陆上石油天然气开采工业大气污染物排放标准》（GB39728-2020）5.9中规定要求</w:t>
            </w:r>
          </w:p>
        </w:tc>
        <w:tc>
          <w:tcPr>
            <w:tcW w:w="945" w:type="pct"/>
            <w:tcBorders>
              <w:tl2br w:val="nil"/>
              <w:tr2bl w:val="nil"/>
            </w:tcBorders>
            <w:vAlign w:val="center"/>
          </w:tcPr>
          <w:p w14:paraId="7EA14F9E">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≤4mg/m</w:t>
            </w:r>
            <w:r>
              <w:rPr>
                <w:rFonts w:eastAsiaTheme="minorEastAsia"/>
                <w:color w:val="000000" w:themeColor="text1"/>
                <w:w w:val="99"/>
                <w:kern w:val="2"/>
                <w:sz w:val="21"/>
                <w:szCs w:val="21"/>
                <w:vertAlign w:val="superscript"/>
                <w:lang w:val="en-US" w:bidi="ar-SA"/>
                <w14:textFill>
                  <w14:solidFill>
                    <w14:schemeClr w14:val="tx1"/>
                  </w14:solidFill>
                </w14:textFill>
              </w:rPr>
              <w:t>3</w:t>
            </w:r>
          </w:p>
        </w:tc>
      </w:tr>
      <w:tr w14:paraId="1462C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5" w:type="pct"/>
            <w:vMerge w:val="continue"/>
            <w:tcBorders>
              <w:tl2br w:val="nil"/>
              <w:tr2bl w:val="nil"/>
            </w:tcBorders>
            <w:vAlign w:val="center"/>
          </w:tcPr>
          <w:p w14:paraId="37F565C9">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p>
        </w:tc>
        <w:tc>
          <w:tcPr>
            <w:tcW w:w="460" w:type="pct"/>
            <w:vMerge w:val="continue"/>
            <w:tcBorders>
              <w:tl2br w:val="nil"/>
              <w:tr2bl w:val="nil"/>
            </w:tcBorders>
            <w:vAlign w:val="center"/>
          </w:tcPr>
          <w:p w14:paraId="5C4E9C85">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p>
        </w:tc>
        <w:tc>
          <w:tcPr>
            <w:tcW w:w="341" w:type="pct"/>
            <w:vMerge w:val="continue"/>
            <w:tcBorders>
              <w:tl2br w:val="nil"/>
              <w:tr2bl w:val="nil"/>
            </w:tcBorders>
            <w:vAlign w:val="center"/>
          </w:tcPr>
          <w:p w14:paraId="4ED7859D">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p>
        </w:tc>
        <w:tc>
          <w:tcPr>
            <w:tcW w:w="498" w:type="pct"/>
            <w:vMerge w:val="continue"/>
            <w:tcBorders>
              <w:tl2br w:val="nil"/>
              <w:tr2bl w:val="nil"/>
            </w:tcBorders>
            <w:vAlign w:val="center"/>
          </w:tcPr>
          <w:p w14:paraId="3D2DB612">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p>
        </w:tc>
        <w:tc>
          <w:tcPr>
            <w:tcW w:w="487" w:type="pct"/>
            <w:vMerge w:val="continue"/>
            <w:tcBorders>
              <w:tl2br w:val="nil"/>
              <w:tr2bl w:val="nil"/>
            </w:tcBorders>
            <w:vAlign w:val="center"/>
          </w:tcPr>
          <w:p w14:paraId="1DAEA8CF">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p>
        </w:tc>
        <w:tc>
          <w:tcPr>
            <w:tcW w:w="562" w:type="pct"/>
            <w:vMerge w:val="continue"/>
            <w:tcBorders>
              <w:tl2br w:val="nil"/>
              <w:tr2bl w:val="nil"/>
            </w:tcBorders>
            <w:vAlign w:val="center"/>
          </w:tcPr>
          <w:p w14:paraId="19CC9FD9">
            <w:pPr>
              <w:pStyle w:val="108"/>
              <w:spacing w:line="360" w:lineRule="exact"/>
              <w:rPr>
                <w:rFonts w:eastAsiaTheme="minorEastAsia"/>
                <w:bCs/>
                <w:color w:val="000000" w:themeColor="text1"/>
                <w:w w:val="99"/>
                <w:kern w:val="2"/>
                <w:sz w:val="21"/>
                <w:szCs w:val="21"/>
                <w:lang w:val="en-US" w:bidi="ar-SA"/>
                <w14:textFill>
                  <w14:solidFill>
                    <w14:schemeClr w14:val="tx1"/>
                  </w14:solidFill>
                </w14:textFill>
              </w:rPr>
            </w:pPr>
          </w:p>
        </w:tc>
        <w:tc>
          <w:tcPr>
            <w:tcW w:w="1321" w:type="pct"/>
            <w:tcBorders>
              <w:tl2br w:val="nil"/>
              <w:tr2bl w:val="nil"/>
            </w:tcBorders>
            <w:vAlign w:val="center"/>
          </w:tcPr>
          <w:p w14:paraId="508EBFA0">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bCs/>
                <w:color w:val="000000" w:themeColor="text1"/>
                <w:w w:val="99"/>
                <w:kern w:val="2"/>
                <w:sz w:val="21"/>
                <w:szCs w:val="21"/>
                <w:lang w:val="en-US" w:bidi="ar-SA"/>
                <w14:textFill>
                  <w14:solidFill>
                    <w14:schemeClr w14:val="tx1"/>
                  </w14:solidFill>
                </w14:textFill>
              </w:rPr>
              <w:t>厂区内</w:t>
            </w:r>
            <w:r>
              <w:rPr>
                <w:rFonts w:hint="eastAsia" w:eastAsiaTheme="minorEastAsia"/>
                <w:bCs/>
                <w:color w:val="000000" w:themeColor="text1"/>
                <w:w w:val="99"/>
                <w:kern w:val="2"/>
                <w:sz w:val="21"/>
                <w:szCs w:val="21"/>
                <w:lang w:val="en-US" w:bidi="ar-SA"/>
                <w14:textFill>
                  <w14:solidFill>
                    <w14:schemeClr w14:val="tx1"/>
                  </w14:solidFill>
                </w14:textFill>
              </w:rPr>
              <w:t>执行</w:t>
            </w:r>
            <w:r>
              <w:rPr>
                <w:rFonts w:eastAsiaTheme="minorEastAsia"/>
                <w:bCs/>
                <w:color w:val="000000" w:themeColor="text1"/>
                <w:w w:val="99"/>
                <w:kern w:val="2"/>
                <w:sz w:val="21"/>
                <w:szCs w:val="21"/>
                <w:lang w:val="en-US" w:bidi="ar-SA"/>
                <w14:textFill>
                  <w14:solidFill>
                    <w14:schemeClr w14:val="tx1"/>
                  </w14:solidFill>
                </w14:textFill>
              </w:rPr>
              <w:t>《挥发性有机物无组织排放控制标准》（GB 37822-2019）附录A 中VOCs 无组织排放一般限值要求</w:t>
            </w:r>
          </w:p>
        </w:tc>
        <w:tc>
          <w:tcPr>
            <w:tcW w:w="945" w:type="pct"/>
            <w:tcBorders>
              <w:tl2br w:val="nil"/>
              <w:tr2bl w:val="nil"/>
            </w:tcBorders>
            <w:vAlign w:val="center"/>
          </w:tcPr>
          <w:p w14:paraId="0F5A4055">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监控点处 1 h 平均浓度值≤10mg/m</w:t>
            </w:r>
            <w:r>
              <w:rPr>
                <w:rFonts w:eastAsiaTheme="minorEastAsia"/>
                <w:color w:val="000000" w:themeColor="text1"/>
                <w:w w:val="99"/>
                <w:kern w:val="2"/>
                <w:sz w:val="21"/>
                <w:szCs w:val="21"/>
                <w:vertAlign w:val="superscript"/>
                <w:lang w:val="en-US" w:bidi="ar-SA"/>
                <w14:textFill>
                  <w14:solidFill>
                    <w14:schemeClr w14:val="tx1"/>
                  </w14:solidFill>
                </w14:textFill>
              </w:rPr>
              <w:t>3</w:t>
            </w:r>
            <w:r>
              <w:rPr>
                <w:rFonts w:eastAsiaTheme="minorEastAsia"/>
                <w:color w:val="000000" w:themeColor="text1"/>
                <w:w w:val="99"/>
                <w:kern w:val="2"/>
                <w:sz w:val="21"/>
                <w:szCs w:val="21"/>
                <w:lang w:val="en-US" w:bidi="ar-SA"/>
                <w14:textFill>
                  <w14:solidFill>
                    <w14:schemeClr w14:val="tx1"/>
                  </w14:solidFill>
                </w14:textFill>
              </w:rPr>
              <w:t>，监控点处任意一次浓度值≤30mg/m</w:t>
            </w:r>
            <w:r>
              <w:rPr>
                <w:rFonts w:eastAsiaTheme="minorEastAsia"/>
                <w:color w:val="000000" w:themeColor="text1"/>
                <w:w w:val="99"/>
                <w:kern w:val="2"/>
                <w:sz w:val="21"/>
                <w:szCs w:val="21"/>
                <w:vertAlign w:val="superscript"/>
                <w:lang w:val="en-US" w:bidi="ar-SA"/>
                <w14:textFill>
                  <w14:solidFill>
                    <w14:schemeClr w14:val="tx1"/>
                  </w14:solidFill>
                </w14:textFill>
              </w:rPr>
              <w:t>3</w:t>
            </w:r>
          </w:p>
        </w:tc>
      </w:tr>
      <w:tr w14:paraId="267294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5" w:type="pct"/>
            <w:vMerge w:val="restart"/>
            <w:tcBorders>
              <w:tl2br w:val="nil"/>
              <w:tr2bl w:val="nil"/>
            </w:tcBorders>
            <w:vAlign w:val="center"/>
          </w:tcPr>
          <w:p w14:paraId="5429FD8D">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废水</w:t>
            </w:r>
          </w:p>
        </w:tc>
        <w:tc>
          <w:tcPr>
            <w:tcW w:w="460" w:type="pct"/>
            <w:tcBorders>
              <w:tl2br w:val="nil"/>
              <w:tr2bl w:val="nil"/>
            </w:tcBorders>
            <w:vAlign w:val="center"/>
          </w:tcPr>
          <w:p w14:paraId="69F0E748">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生活污水</w:t>
            </w:r>
          </w:p>
        </w:tc>
        <w:tc>
          <w:tcPr>
            <w:tcW w:w="341" w:type="pct"/>
            <w:tcBorders>
              <w:tl2br w:val="nil"/>
              <w:tr2bl w:val="nil"/>
            </w:tcBorders>
            <w:vAlign w:val="center"/>
          </w:tcPr>
          <w:p w14:paraId="59E5A5EC">
            <w:pPr>
              <w:adjustRightInd w:val="0"/>
              <w:snapToGrid w:val="0"/>
              <w:spacing w:line="36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COD</w:t>
            </w:r>
          </w:p>
          <w:p w14:paraId="5A1B36BC">
            <w:pPr>
              <w:adjustRightInd w:val="0"/>
              <w:snapToGrid w:val="0"/>
              <w:spacing w:line="36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NH</w:t>
            </w:r>
            <w:r>
              <w:rPr>
                <w:rFonts w:ascii="Times New Roman" w:hAnsi="Times New Roman" w:cs="Times New Roman" w:eastAsiaTheme="minorEastAsia"/>
                <w:color w:val="000000" w:themeColor="text1"/>
                <w:w w:val="99"/>
                <w:sz w:val="21"/>
                <w:szCs w:val="21"/>
                <w:vertAlign w:val="subscript"/>
                <w14:textFill>
                  <w14:solidFill>
                    <w14:schemeClr w14:val="tx1"/>
                  </w14:solidFill>
                </w14:textFill>
              </w:rPr>
              <w:t>3</w:t>
            </w:r>
            <w:r>
              <w:rPr>
                <w:rFonts w:ascii="Times New Roman" w:hAnsi="Times New Roman" w:cs="Times New Roman" w:eastAsiaTheme="minorEastAsia"/>
                <w:color w:val="000000" w:themeColor="text1"/>
                <w:w w:val="99"/>
                <w:sz w:val="21"/>
                <w:szCs w:val="21"/>
                <w14:textFill>
                  <w14:solidFill>
                    <w14:schemeClr w14:val="tx1"/>
                  </w14:solidFill>
                </w14:textFill>
              </w:rPr>
              <w:t>-N</w:t>
            </w:r>
          </w:p>
        </w:tc>
        <w:tc>
          <w:tcPr>
            <w:tcW w:w="498" w:type="pct"/>
            <w:tcBorders>
              <w:tl2br w:val="nil"/>
              <w:tr2bl w:val="nil"/>
            </w:tcBorders>
            <w:vAlign w:val="center"/>
          </w:tcPr>
          <w:p w14:paraId="42749FB2">
            <w:pPr>
              <w:adjustRightInd w:val="0"/>
              <w:snapToGrid w:val="0"/>
              <w:spacing w:line="36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施工人员</w:t>
            </w:r>
          </w:p>
        </w:tc>
        <w:tc>
          <w:tcPr>
            <w:tcW w:w="487" w:type="pct"/>
            <w:tcBorders>
              <w:tl2br w:val="nil"/>
              <w:tr2bl w:val="nil"/>
            </w:tcBorders>
            <w:vAlign w:val="center"/>
          </w:tcPr>
          <w:p w14:paraId="610FA8A1">
            <w:pPr>
              <w:adjustRightInd w:val="0"/>
              <w:snapToGrid w:val="0"/>
              <w:spacing w:line="36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76.8t</w:t>
            </w:r>
          </w:p>
        </w:tc>
        <w:tc>
          <w:tcPr>
            <w:tcW w:w="562" w:type="pct"/>
            <w:tcBorders>
              <w:tl2br w:val="nil"/>
              <w:tr2bl w:val="nil"/>
            </w:tcBorders>
            <w:vAlign w:val="center"/>
          </w:tcPr>
          <w:p w14:paraId="26EFDFB5">
            <w:pPr>
              <w:autoSpaceDE/>
              <w:autoSpaceDN/>
              <w:adjustRightInd w:val="0"/>
              <w:snapToGrid w:val="0"/>
              <w:spacing w:line="360" w:lineRule="exact"/>
              <w:jc w:val="center"/>
              <w:rPr>
                <w:rFonts w:eastAsiaTheme="minorEastAsia"/>
                <w:color w:val="000000" w:themeColor="text1"/>
                <w:w w:val="99"/>
                <w:kern w:val="2"/>
                <w:sz w:val="21"/>
                <w:szCs w:val="21"/>
                <w:lang w:val="en-US" w:bidi="ar-SA"/>
                <w14:textFill>
                  <w14:solidFill>
                    <w14:schemeClr w14:val="tx1"/>
                  </w14:solidFill>
                </w14:textFill>
              </w:rPr>
            </w:pPr>
            <w:r>
              <w:rPr>
                <w:rFonts w:hint="eastAsia" w:eastAsiaTheme="minorEastAsia"/>
                <w:color w:val="000000" w:themeColor="text1"/>
                <w:w w:val="99"/>
                <w:kern w:val="2"/>
                <w:sz w:val="21"/>
                <w:szCs w:val="21"/>
                <w:lang w:val="en-US" w:bidi="ar-SA"/>
                <w14:textFill>
                  <w14:solidFill>
                    <w14:schemeClr w14:val="tx1"/>
                  </w14:solidFill>
                </w14:textFill>
              </w:rPr>
              <w:t>0</w:t>
            </w:r>
          </w:p>
        </w:tc>
        <w:tc>
          <w:tcPr>
            <w:tcW w:w="1321" w:type="pct"/>
            <w:tcBorders>
              <w:tl2br w:val="nil"/>
              <w:tr2bl w:val="nil"/>
            </w:tcBorders>
            <w:vAlign w:val="center"/>
          </w:tcPr>
          <w:p w14:paraId="71EE5EE1">
            <w:pPr>
              <w:autoSpaceDE/>
              <w:autoSpaceDN/>
              <w:adjustRightInd w:val="0"/>
              <w:snapToGrid w:val="0"/>
              <w:spacing w:line="36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不外排</w:t>
            </w:r>
          </w:p>
        </w:tc>
        <w:tc>
          <w:tcPr>
            <w:tcW w:w="945" w:type="pct"/>
            <w:tcBorders>
              <w:tl2br w:val="nil"/>
              <w:tr2bl w:val="nil"/>
            </w:tcBorders>
            <w:vAlign w:val="center"/>
          </w:tcPr>
          <w:p w14:paraId="30C51CA1">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val="en-US"/>
                <w14:textFill>
                  <w14:solidFill>
                    <w14:schemeClr w14:val="tx1"/>
                  </w14:solidFill>
                </w14:textFill>
              </w:rPr>
              <w:t>/</w:t>
            </w:r>
          </w:p>
        </w:tc>
      </w:tr>
      <w:tr w14:paraId="2EABB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5" w:type="pct"/>
            <w:vMerge w:val="continue"/>
            <w:tcBorders>
              <w:tl2br w:val="nil"/>
              <w:tr2bl w:val="nil"/>
            </w:tcBorders>
            <w:vAlign w:val="center"/>
          </w:tcPr>
          <w:p w14:paraId="14B5DE6A">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p>
        </w:tc>
        <w:tc>
          <w:tcPr>
            <w:tcW w:w="460" w:type="pct"/>
            <w:tcBorders>
              <w:tl2br w:val="nil"/>
              <w:tr2bl w:val="nil"/>
            </w:tcBorders>
            <w:vAlign w:val="center"/>
          </w:tcPr>
          <w:p w14:paraId="20224BCC">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试压废水</w:t>
            </w:r>
          </w:p>
        </w:tc>
        <w:tc>
          <w:tcPr>
            <w:tcW w:w="341" w:type="pct"/>
            <w:tcBorders>
              <w:tl2br w:val="nil"/>
              <w:tr2bl w:val="nil"/>
            </w:tcBorders>
            <w:vAlign w:val="center"/>
          </w:tcPr>
          <w:p w14:paraId="5EC288EE">
            <w:pPr>
              <w:adjustRightInd w:val="0"/>
              <w:snapToGrid w:val="0"/>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SS</w:t>
            </w:r>
          </w:p>
        </w:tc>
        <w:tc>
          <w:tcPr>
            <w:tcW w:w="498" w:type="pct"/>
            <w:tcBorders>
              <w:tl2br w:val="nil"/>
              <w:tr2bl w:val="nil"/>
            </w:tcBorders>
            <w:vAlign w:val="center"/>
          </w:tcPr>
          <w:p w14:paraId="3DB592A6">
            <w:pPr>
              <w:adjustRightInd w:val="0"/>
              <w:snapToGrid w:val="0"/>
              <w:spacing w:line="360" w:lineRule="exact"/>
              <w:jc w:val="center"/>
              <w:rPr>
                <w:rFonts w:ascii="Times New Roman" w:hAnsi="Times New Roman" w:cs="Times New Roman" w:eastAsiaTheme="minorEastAsia"/>
                <w:bCs/>
                <w:color w:val="000000" w:themeColor="text1"/>
                <w:w w:val="99"/>
                <w:sz w:val="21"/>
                <w:szCs w:val="21"/>
                <w14:textFill>
                  <w14:solidFill>
                    <w14:schemeClr w14:val="tx1"/>
                  </w14:solidFill>
                </w14:textFill>
              </w:rPr>
            </w:pPr>
            <w:r>
              <w:rPr>
                <w:rFonts w:ascii="Times New Roman" w:hAnsi="Times New Roman" w:cs="Times New Roman" w:eastAsiaTheme="minorEastAsia"/>
                <w:bCs/>
                <w:color w:val="000000" w:themeColor="text1"/>
                <w:w w:val="99"/>
                <w:sz w:val="21"/>
                <w:szCs w:val="21"/>
                <w14:textFill>
                  <w14:solidFill>
                    <w14:schemeClr w14:val="tx1"/>
                  </w14:solidFill>
                </w14:textFill>
              </w:rPr>
              <w:t>管线试压</w:t>
            </w:r>
          </w:p>
        </w:tc>
        <w:tc>
          <w:tcPr>
            <w:tcW w:w="487" w:type="pct"/>
            <w:tcBorders>
              <w:tl2br w:val="nil"/>
              <w:tr2bl w:val="nil"/>
            </w:tcBorders>
            <w:vAlign w:val="center"/>
          </w:tcPr>
          <w:p w14:paraId="680BF8A9">
            <w:pPr>
              <w:adjustRightInd w:val="0"/>
              <w:snapToGrid w:val="0"/>
              <w:spacing w:line="36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bCs/>
                <w:color w:val="000000" w:themeColor="text1"/>
                <w:w w:val="99"/>
                <w:sz w:val="21"/>
                <w:szCs w:val="21"/>
                <w14:textFill>
                  <w14:solidFill>
                    <w14:schemeClr w14:val="tx1"/>
                  </w14:solidFill>
                </w14:textFill>
              </w:rPr>
              <w:t>225.5m</w:t>
            </w:r>
            <w:r>
              <w:rPr>
                <w:rFonts w:ascii="Times New Roman" w:hAnsi="Times New Roman" w:cs="Times New Roman" w:eastAsiaTheme="minorEastAsia"/>
                <w:bCs/>
                <w:color w:val="000000" w:themeColor="text1"/>
                <w:w w:val="99"/>
                <w:sz w:val="21"/>
                <w:szCs w:val="21"/>
                <w:vertAlign w:val="superscript"/>
                <w14:textFill>
                  <w14:solidFill>
                    <w14:schemeClr w14:val="tx1"/>
                  </w14:solidFill>
                </w14:textFill>
              </w:rPr>
              <w:t>3</w:t>
            </w:r>
          </w:p>
        </w:tc>
        <w:tc>
          <w:tcPr>
            <w:tcW w:w="562" w:type="pct"/>
            <w:tcBorders>
              <w:tl2br w:val="nil"/>
              <w:tr2bl w:val="nil"/>
            </w:tcBorders>
            <w:vAlign w:val="center"/>
          </w:tcPr>
          <w:p w14:paraId="6EBE313F">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0</w:t>
            </w:r>
          </w:p>
        </w:tc>
        <w:tc>
          <w:tcPr>
            <w:tcW w:w="1321" w:type="pct"/>
            <w:tcBorders>
              <w:tl2br w:val="nil"/>
              <w:tr2bl w:val="nil"/>
            </w:tcBorders>
            <w:vAlign w:val="center"/>
          </w:tcPr>
          <w:p w14:paraId="79C1F0D0">
            <w:pPr>
              <w:autoSpaceDE/>
              <w:autoSpaceDN/>
              <w:adjustRightInd w:val="0"/>
              <w:snapToGrid w:val="0"/>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执行《大庆油田地面工程建设设计规定》（Q/SYDQ0639-2015）限值要求</w:t>
            </w:r>
          </w:p>
        </w:tc>
        <w:tc>
          <w:tcPr>
            <w:tcW w:w="945" w:type="pct"/>
            <w:tcBorders>
              <w:tl2br w:val="nil"/>
              <w:tr2bl w:val="nil"/>
            </w:tcBorders>
            <w:vAlign w:val="center"/>
          </w:tcPr>
          <w:p w14:paraId="2E4F624F">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含油量≤8mg/L、悬浮固体含量≤3mg/L、粒径中值≤2μm</w:t>
            </w:r>
          </w:p>
        </w:tc>
      </w:tr>
      <w:tr w14:paraId="65EDF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5" w:type="pct"/>
            <w:vMerge w:val="restart"/>
            <w:tcBorders>
              <w:tl2br w:val="nil"/>
              <w:tr2bl w:val="nil"/>
            </w:tcBorders>
            <w:vAlign w:val="center"/>
          </w:tcPr>
          <w:p w14:paraId="0BEE0473">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固废</w:t>
            </w:r>
          </w:p>
        </w:tc>
        <w:tc>
          <w:tcPr>
            <w:tcW w:w="460" w:type="pct"/>
            <w:tcBorders>
              <w:tl2br w:val="nil"/>
              <w:tr2bl w:val="nil"/>
            </w:tcBorders>
            <w:vAlign w:val="center"/>
          </w:tcPr>
          <w:p w14:paraId="452D63DA">
            <w:pPr>
              <w:autoSpaceDE/>
              <w:autoSpaceDN/>
              <w:adjustRightInd w:val="0"/>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清淤油泥</w:t>
            </w:r>
          </w:p>
        </w:tc>
        <w:tc>
          <w:tcPr>
            <w:tcW w:w="341" w:type="pct"/>
            <w:tcBorders>
              <w:tl2br w:val="nil"/>
              <w:tr2bl w:val="nil"/>
            </w:tcBorders>
            <w:vAlign w:val="center"/>
          </w:tcPr>
          <w:p w14:paraId="795C853F">
            <w:pPr>
              <w:autoSpaceDE/>
              <w:autoSpaceDN/>
              <w:adjustRightInd w:val="0"/>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498" w:type="pct"/>
            <w:tcBorders>
              <w:tl2br w:val="nil"/>
              <w:tr2bl w:val="nil"/>
            </w:tcBorders>
            <w:vAlign w:val="center"/>
          </w:tcPr>
          <w:p w14:paraId="7F2437F7">
            <w:pPr>
              <w:autoSpaceDE/>
              <w:autoSpaceDN/>
              <w:adjustRightInd w:val="0"/>
              <w:snapToGrid w:val="0"/>
              <w:spacing w:line="320" w:lineRule="exact"/>
              <w:jc w:val="cente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九合一装置</w:t>
            </w:r>
          </w:p>
        </w:tc>
        <w:tc>
          <w:tcPr>
            <w:tcW w:w="487" w:type="pct"/>
            <w:tcBorders>
              <w:tl2br w:val="nil"/>
              <w:tr2bl w:val="nil"/>
            </w:tcBorders>
            <w:vAlign w:val="center"/>
          </w:tcPr>
          <w:p w14:paraId="6D70C708">
            <w:pPr>
              <w:autoSpaceDE/>
              <w:autoSpaceDN/>
              <w:adjustRightInd w:val="0"/>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4.5t</w:t>
            </w:r>
          </w:p>
        </w:tc>
        <w:tc>
          <w:tcPr>
            <w:tcW w:w="562" w:type="pct"/>
            <w:tcBorders>
              <w:tl2br w:val="nil"/>
              <w:tr2bl w:val="nil"/>
            </w:tcBorders>
            <w:vAlign w:val="center"/>
          </w:tcPr>
          <w:p w14:paraId="328A752C">
            <w:pPr>
              <w:pStyle w:val="108"/>
              <w:spacing w:line="320" w:lineRule="exact"/>
              <w:rPr>
                <w:rFonts w:eastAsiaTheme="minorEastAsia"/>
                <w:color w:val="000000" w:themeColor="text1"/>
                <w:w w:val="99"/>
                <w:kern w:val="2"/>
                <w:sz w:val="21"/>
                <w:szCs w:val="21"/>
                <w:lang w:val="en-US" w:bidi="ar-SA"/>
                <w14:textFill>
                  <w14:solidFill>
                    <w14:schemeClr w14:val="tx1"/>
                  </w14:solidFill>
                </w14:textFill>
              </w:rPr>
            </w:pPr>
            <w:r>
              <w:rPr>
                <w:rFonts w:hint="eastAsia" w:eastAsiaTheme="minorEastAsia"/>
                <w:color w:val="000000" w:themeColor="text1"/>
                <w:w w:val="99"/>
                <w:kern w:val="2"/>
                <w:sz w:val="21"/>
                <w:szCs w:val="21"/>
                <w:lang w:val="en-US" w:bidi="ar-SA"/>
                <w14:textFill>
                  <w14:solidFill>
                    <w14:schemeClr w14:val="tx1"/>
                  </w14:solidFill>
                </w14:textFill>
              </w:rPr>
              <w:t>0</w:t>
            </w:r>
          </w:p>
        </w:tc>
        <w:tc>
          <w:tcPr>
            <w:tcW w:w="1321" w:type="pct"/>
            <w:tcBorders>
              <w:tl2br w:val="nil"/>
              <w:tr2bl w:val="nil"/>
            </w:tcBorders>
            <w:vAlign w:val="center"/>
          </w:tcPr>
          <w:p w14:paraId="5E1076EA">
            <w:pPr>
              <w:pStyle w:val="108"/>
              <w:spacing w:line="320" w:lineRule="exact"/>
              <w:rPr>
                <w:rFonts w:eastAsiaTheme="minorEastAsia"/>
                <w:bCs/>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执行</w:t>
            </w:r>
            <w:r>
              <w:rPr>
                <w:rFonts w:eastAsiaTheme="minorEastAsia"/>
                <w:bCs/>
                <w:color w:val="000000" w:themeColor="text1"/>
                <w:w w:val="99"/>
                <w:kern w:val="2"/>
                <w:sz w:val="21"/>
                <w:szCs w:val="21"/>
                <w:lang w:val="en-US" w:bidi="ar-SA"/>
                <w14:textFill>
                  <w14:solidFill>
                    <w14:schemeClr w14:val="tx1"/>
                  </w14:solidFill>
                </w14:textFill>
              </w:rPr>
              <w:t>《油田含油污泥处置与利用污染控制要求》（DB23/T 3104-2022）表1中限制要求</w:t>
            </w:r>
          </w:p>
        </w:tc>
        <w:tc>
          <w:tcPr>
            <w:tcW w:w="945" w:type="pct"/>
            <w:tcBorders>
              <w:tl2br w:val="nil"/>
              <w:tr2bl w:val="nil"/>
            </w:tcBorders>
            <w:vAlign w:val="center"/>
          </w:tcPr>
          <w:p w14:paraId="25121964">
            <w:pPr>
              <w:pStyle w:val="108"/>
              <w:spacing w:line="320" w:lineRule="exact"/>
              <w:rPr>
                <w:rFonts w:eastAsiaTheme="minorEastAsia"/>
                <w:bCs/>
                <w:color w:val="000000" w:themeColor="text1"/>
                <w:w w:val="99"/>
                <w:kern w:val="2"/>
                <w:sz w:val="21"/>
                <w:szCs w:val="21"/>
                <w:lang w:val="en-US" w:bidi="ar-SA"/>
                <w14:textFill>
                  <w14:solidFill>
                    <w14:schemeClr w14:val="tx1"/>
                  </w14:solidFill>
                </w14:textFill>
              </w:rPr>
            </w:pPr>
            <w:r>
              <w:rPr>
                <w:rFonts w:eastAsiaTheme="minorEastAsia"/>
                <w:bCs/>
                <w:color w:val="000000" w:themeColor="text1"/>
                <w:w w:val="99"/>
                <w:kern w:val="2"/>
                <w:sz w:val="21"/>
                <w:szCs w:val="21"/>
                <w:lang w:val="en-US" w:bidi="ar-SA"/>
                <w14:textFill>
                  <w14:solidFill>
                    <w14:schemeClr w14:val="tx1"/>
                  </w14:solidFill>
                </w14:textFill>
              </w:rPr>
              <w:t>As≤30mg/kg</w:t>
            </w:r>
          </w:p>
          <w:p w14:paraId="6A51A7C2">
            <w:pPr>
              <w:pStyle w:val="108"/>
              <w:spacing w:line="320" w:lineRule="exact"/>
              <w:rPr>
                <w:rFonts w:eastAsiaTheme="minorEastAsia"/>
                <w:bCs/>
                <w:color w:val="000000" w:themeColor="text1"/>
                <w:w w:val="99"/>
                <w:kern w:val="2"/>
                <w:sz w:val="21"/>
                <w:szCs w:val="21"/>
                <w:lang w:val="en-US" w:bidi="ar-SA"/>
                <w14:textFill>
                  <w14:solidFill>
                    <w14:schemeClr w14:val="tx1"/>
                  </w14:solidFill>
                </w14:textFill>
              </w:rPr>
            </w:pPr>
            <w:r>
              <w:rPr>
                <w:rFonts w:eastAsiaTheme="minorEastAsia"/>
                <w:bCs/>
                <w:color w:val="000000" w:themeColor="text1"/>
                <w:w w:val="99"/>
                <w:kern w:val="2"/>
                <w:sz w:val="21"/>
                <w:szCs w:val="21"/>
                <w:lang w:val="en-US" w:bidi="ar-SA"/>
                <w14:textFill>
                  <w14:solidFill>
                    <w14:schemeClr w14:val="tx1"/>
                  </w14:solidFill>
                </w14:textFill>
              </w:rPr>
              <w:t>Hg≤0.8mg/kg</w:t>
            </w:r>
          </w:p>
          <w:p w14:paraId="1BD1C1E4">
            <w:pPr>
              <w:pStyle w:val="108"/>
              <w:spacing w:line="320" w:lineRule="exact"/>
              <w:rPr>
                <w:rFonts w:eastAsiaTheme="minorEastAsia"/>
                <w:bCs/>
                <w:color w:val="000000" w:themeColor="text1"/>
                <w:w w:val="99"/>
                <w:kern w:val="2"/>
                <w:sz w:val="21"/>
                <w:szCs w:val="21"/>
                <w:lang w:val="en-US" w:bidi="ar-SA"/>
                <w14:textFill>
                  <w14:solidFill>
                    <w14:schemeClr w14:val="tx1"/>
                  </w14:solidFill>
                </w14:textFill>
              </w:rPr>
            </w:pPr>
            <w:r>
              <w:rPr>
                <w:rFonts w:eastAsiaTheme="minorEastAsia"/>
                <w:bCs/>
                <w:color w:val="000000" w:themeColor="text1"/>
                <w:w w:val="99"/>
                <w:kern w:val="2"/>
                <w:sz w:val="21"/>
                <w:szCs w:val="21"/>
                <w:lang w:val="en-US" w:bidi="ar-SA"/>
                <w14:textFill>
                  <w14:solidFill>
                    <w14:schemeClr w14:val="tx1"/>
                  </w14:solidFill>
                </w14:textFill>
              </w:rPr>
              <w:t>Cr</w:t>
            </w:r>
            <w:r>
              <w:rPr>
                <w:rFonts w:eastAsiaTheme="minorEastAsia"/>
                <w:bCs/>
                <w:color w:val="000000" w:themeColor="text1"/>
                <w:w w:val="99"/>
                <w:kern w:val="2"/>
                <w:sz w:val="21"/>
                <w:szCs w:val="21"/>
                <w:vertAlign w:val="superscript"/>
                <w:lang w:val="en-US" w:bidi="ar-SA"/>
                <w14:textFill>
                  <w14:solidFill>
                    <w14:schemeClr w14:val="tx1"/>
                  </w14:solidFill>
                </w14:textFill>
              </w:rPr>
              <w:t>6+</w:t>
            </w:r>
            <w:r>
              <w:rPr>
                <w:rFonts w:eastAsiaTheme="minorEastAsia"/>
                <w:bCs/>
                <w:color w:val="000000" w:themeColor="text1"/>
                <w:w w:val="99"/>
                <w:kern w:val="2"/>
                <w:sz w:val="21"/>
                <w:szCs w:val="21"/>
                <w:lang w:val="en-US" w:bidi="ar-SA"/>
                <w14:textFill>
                  <w14:solidFill>
                    <w14:schemeClr w14:val="tx1"/>
                  </w14:solidFill>
                </w14:textFill>
              </w:rPr>
              <w:t>≤5mg/kg</w:t>
            </w:r>
          </w:p>
          <w:p w14:paraId="752E6E83">
            <w:pPr>
              <w:pStyle w:val="108"/>
              <w:spacing w:line="320" w:lineRule="exact"/>
              <w:rPr>
                <w:rFonts w:eastAsiaTheme="minorEastAsia"/>
                <w:bCs/>
                <w:color w:val="000000" w:themeColor="text1"/>
                <w:w w:val="99"/>
                <w:kern w:val="2"/>
                <w:sz w:val="21"/>
                <w:szCs w:val="21"/>
                <w:lang w:val="en-US" w:bidi="ar-SA"/>
                <w14:textFill>
                  <w14:solidFill>
                    <w14:schemeClr w14:val="tx1"/>
                  </w14:solidFill>
                </w14:textFill>
              </w:rPr>
            </w:pPr>
            <w:r>
              <w:rPr>
                <w:rFonts w:eastAsiaTheme="minorEastAsia"/>
                <w:bCs/>
                <w:color w:val="000000" w:themeColor="text1"/>
                <w:w w:val="99"/>
                <w:kern w:val="2"/>
                <w:sz w:val="21"/>
                <w:szCs w:val="21"/>
                <w:lang w:val="en-US" w:bidi="ar-SA"/>
                <w14:textFill>
                  <w14:solidFill>
                    <w14:schemeClr w14:val="tx1"/>
                  </w14:solidFill>
                </w14:textFill>
              </w:rPr>
              <w:t>Cu≤150mg/kg</w:t>
            </w:r>
          </w:p>
          <w:p w14:paraId="772C3525">
            <w:pPr>
              <w:pStyle w:val="108"/>
              <w:spacing w:line="320" w:lineRule="exact"/>
              <w:rPr>
                <w:rFonts w:eastAsiaTheme="minorEastAsia"/>
                <w:bCs/>
                <w:color w:val="000000" w:themeColor="text1"/>
                <w:w w:val="99"/>
                <w:kern w:val="2"/>
                <w:sz w:val="21"/>
                <w:szCs w:val="21"/>
                <w:lang w:val="en-US" w:bidi="ar-SA"/>
                <w14:textFill>
                  <w14:solidFill>
                    <w14:schemeClr w14:val="tx1"/>
                  </w14:solidFill>
                </w14:textFill>
              </w:rPr>
            </w:pPr>
            <w:r>
              <w:rPr>
                <w:rFonts w:eastAsiaTheme="minorEastAsia"/>
                <w:bCs/>
                <w:color w:val="000000" w:themeColor="text1"/>
                <w:w w:val="99"/>
                <w:kern w:val="2"/>
                <w:sz w:val="21"/>
                <w:szCs w:val="21"/>
                <w:lang w:val="en-US" w:bidi="ar-SA"/>
                <w14:textFill>
                  <w14:solidFill>
                    <w14:schemeClr w14:val="tx1"/>
                  </w14:solidFill>
                </w14:textFill>
              </w:rPr>
              <w:t>Zn≤600mg/kg</w:t>
            </w:r>
          </w:p>
          <w:p w14:paraId="20F4AE13">
            <w:pPr>
              <w:pStyle w:val="108"/>
              <w:spacing w:line="320" w:lineRule="exact"/>
              <w:rPr>
                <w:rFonts w:eastAsiaTheme="minorEastAsia"/>
                <w:bCs/>
                <w:color w:val="000000" w:themeColor="text1"/>
                <w:w w:val="99"/>
                <w:kern w:val="2"/>
                <w:sz w:val="21"/>
                <w:szCs w:val="21"/>
                <w:lang w:val="en-US" w:bidi="ar-SA"/>
                <w14:textFill>
                  <w14:solidFill>
                    <w14:schemeClr w14:val="tx1"/>
                  </w14:solidFill>
                </w14:textFill>
              </w:rPr>
            </w:pPr>
            <w:r>
              <w:rPr>
                <w:rFonts w:eastAsiaTheme="minorEastAsia"/>
                <w:bCs/>
                <w:color w:val="000000" w:themeColor="text1"/>
                <w:w w:val="99"/>
                <w:kern w:val="2"/>
                <w:sz w:val="21"/>
                <w:szCs w:val="21"/>
                <w:lang w:val="en-US" w:bidi="ar-SA"/>
                <w14:textFill>
                  <w14:solidFill>
                    <w14:schemeClr w14:val="tx1"/>
                  </w14:solidFill>
                </w14:textFill>
              </w:rPr>
              <w:t>Ni≤150mg/kg</w:t>
            </w:r>
          </w:p>
          <w:p w14:paraId="7C943831">
            <w:pPr>
              <w:pStyle w:val="108"/>
              <w:spacing w:line="320" w:lineRule="exact"/>
              <w:rPr>
                <w:rFonts w:eastAsiaTheme="minorEastAsia"/>
                <w:bCs/>
                <w:color w:val="000000" w:themeColor="text1"/>
                <w:w w:val="99"/>
                <w:kern w:val="2"/>
                <w:sz w:val="21"/>
                <w:szCs w:val="21"/>
                <w:lang w:val="en-US" w:bidi="ar-SA"/>
                <w14:textFill>
                  <w14:solidFill>
                    <w14:schemeClr w14:val="tx1"/>
                  </w14:solidFill>
                </w14:textFill>
              </w:rPr>
            </w:pPr>
            <w:r>
              <w:rPr>
                <w:rFonts w:eastAsiaTheme="minorEastAsia"/>
                <w:bCs/>
                <w:color w:val="000000" w:themeColor="text1"/>
                <w:w w:val="99"/>
                <w:kern w:val="2"/>
                <w:sz w:val="21"/>
                <w:szCs w:val="21"/>
                <w:lang w:val="en-US" w:bidi="ar-SA"/>
                <w14:textFill>
                  <w14:solidFill>
                    <w14:schemeClr w14:val="tx1"/>
                  </w14:solidFill>
                </w14:textFill>
              </w:rPr>
              <w:t>Pb≤375mg/kg</w:t>
            </w:r>
          </w:p>
          <w:p w14:paraId="6C01C965">
            <w:pPr>
              <w:pStyle w:val="108"/>
              <w:spacing w:line="320" w:lineRule="exact"/>
              <w:rPr>
                <w:rFonts w:eastAsiaTheme="minorEastAsia"/>
                <w:bCs/>
                <w:color w:val="000000" w:themeColor="text1"/>
                <w:w w:val="99"/>
                <w:kern w:val="2"/>
                <w:sz w:val="21"/>
                <w:szCs w:val="21"/>
                <w:lang w:val="en-US" w:bidi="ar-SA"/>
                <w14:textFill>
                  <w14:solidFill>
                    <w14:schemeClr w14:val="tx1"/>
                  </w14:solidFill>
                </w14:textFill>
              </w:rPr>
            </w:pPr>
            <w:r>
              <w:rPr>
                <w:rFonts w:eastAsiaTheme="minorEastAsia"/>
                <w:bCs/>
                <w:color w:val="000000" w:themeColor="text1"/>
                <w:w w:val="99"/>
                <w:kern w:val="2"/>
                <w:sz w:val="21"/>
                <w:szCs w:val="21"/>
                <w:lang w:val="en-US" w:bidi="ar-SA"/>
                <w14:textFill>
                  <w14:solidFill>
                    <w14:schemeClr w14:val="tx1"/>
                  </w14:solidFill>
                </w14:textFill>
              </w:rPr>
              <w:t>Cd≤3mg/kg</w:t>
            </w:r>
          </w:p>
          <w:p w14:paraId="332A5C92">
            <w:pPr>
              <w:pStyle w:val="108"/>
              <w:spacing w:line="320" w:lineRule="exact"/>
              <w:rPr>
                <w:rFonts w:eastAsiaTheme="minorEastAsia"/>
                <w:bCs/>
                <w:color w:val="000000" w:themeColor="text1"/>
                <w:w w:val="99"/>
                <w:kern w:val="2"/>
                <w:sz w:val="21"/>
                <w:szCs w:val="21"/>
                <w:lang w:val="en-US" w:bidi="ar-SA"/>
                <w14:textFill>
                  <w14:solidFill>
                    <w14:schemeClr w14:val="tx1"/>
                  </w14:solidFill>
                </w14:textFill>
              </w:rPr>
            </w:pPr>
            <w:r>
              <w:rPr>
                <w:rFonts w:eastAsiaTheme="minorEastAsia"/>
                <w:bCs/>
                <w:color w:val="000000" w:themeColor="text1"/>
                <w:w w:val="99"/>
                <w:kern w:val="2"/>
                <w:sz w:val="21"/>
                <w:szCs w:val="21"/>
                <w:lang w:val="en-US" w:bidi="ar-SA"/>
                <w14:textFill>
                  <w14:solidFill>
                    <w14:schemeClr w14:val="tx1"/>
                  </w14:solidFill>
                </w14:textFill>
              </w:rPr>
              <w:t>石油类≤3000mg/kg</w:t>
            </w:r>
          </w:p>
          <w:p w14:paraId="3CA0D4AC">
            <w:pPr>
              <w:pStyle w:val="108"/>
              <w:spacing w:line="320" w:lineRule="exact"/>
              <w:rPr>
                <w:rFonts w:eastAsiaTheme="minorEastAsia"/>
                <w:bCs/>
                <w:color w:val="000000" w:themeColor="text1"/>
                <w:w w:val="99"/>
                <w:kern w:val="2"/>
                <w:sz w:val="21"/>
                <w:szCs w:val="21"/>
                <w:lang w:val="en-US" w:bidi="ar-SA"/>
                <w14:textFill>
                  <w14:solidFill>
                    <w14:schemeClr w14:val="tx1"/>
                  </w14:solidFill>
                </w14:textFill>
              </w:rPr>
            </w:pPr>
            <w:r>
              <w:rPr>
                <w:rFonts w:eastAsiaTheme="minorEastAsia"/>
                <w:bCs/>
                <w:color w:val="000000" w:themeColor="text1"/>
                <w:w w:val="99"/>
                <w:kern w:val="2"/>
                <w:sz w:val="21"/>
                <w:szCs w:val="21"/>
                <w:lang w:val="en-US" w:bidi="ar-SA"/>
                <w14:textFill>
                  <w14:solidFill>
                    <w14:schemeClr w14:val="tx1"/>
                  </w14:solidFill>
                </w14:textFill>
              </w:rPr>
              <w:t>pH值6.5~9</w:t>
            </w:r>
          </w:p>
          <w:p w14:paraId="1A907592">
            <w:pPr>
              <w:pStyle w:val="108"/>
              <w:spacing w:line="320" w:lineRule="exact"/>
              <w:rPr>
                <w:rFonts w:eastAsiaTheme="minorEastAsia"/>
                <w:bCs/>
                <w:color w:val="000000" w:themeColor="text1"/>
                <w:w w:val="99"/>
                <w:kern w:val="2"/>
                <w:sz w:val="21"/>
                <w:szCs w:val="21"/>
                <w:lang w:val="en-US" w:bidi="ar-SA"/>
                <w14:textFill>
                  <w14:solidFill>
                    <w14:schemeClr w14:val="tx1"/>
                  </w14:solidFill>
                </w14:textFill>
              </w:rPr>
            </w:pPr>
            <w:r>
              <w:rPr>
                <w:rFonts w:eastAsiaTheme="minorEastAsia"/>
                <w:bCs/>
                <w:color w:val="000000" w:themeColor="text1"/>
                <w:w w:val="99"/>
                <w:kern w:val="2"/>
                <w:sz w:val="21"/>
                <w:szCs w:val="21"/>
                <w:lang w:val="en-US" w:bidi="ar-SA"/>
                <w14:textFill>
                  <w14:solidFill>
                    <w14:schemeClr w14:val="tx1"/>
                  </w14:solidFill>
                </w14:textFill>
              </w:rPr>
              <w:t>含水率≤40%</w:t>
            </w:r>
          </w:p>
        </w:tc>
      </w:tr>
      <w:tr w14:paraId="5ED01E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5" w:type="pct"/>
            <w:vMerge w:val="continue"/>
            <w:tcBorders>
              <w:tl2br w:val="nil"/>
              <w:tr2bl w:val="nil"/>
            </w:tcBorders>
            <w:vAlign w:val="center"/>
          </w:tcPr>
          <w:p w14:paraId="74E444EB">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p>
        </w:tc>
        <w:tc>
          <w:tcPr>
            <w:tcW w:w="460" w:type="pct"/>
            <w:tcBorders>
              <w:tl2br w:val="nil"/>
              <w:tr2bl w:val="nil"/>
            </w:tcBorders>
            <w:vAlign w:val="center"/>
          </w:tcPr>
          <w:p w14:paraId="7434EFB1">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施工废料</w:t>
            </w:r>
          </w:p>
        </w:tc>
        <w:tc>
          <w:tcPr>
            <w:tcW w:w="341" w:type="pct"/>
            <w:tcBorders>
              <w:tl2br w:val="nil"/>
              <w:tr2bl w:val="nil"/>
            </w:tcBorders>
            <w:vAlign w:val="center"/>
          </w:tcPr>
          <w:p w14:paraId="2DDC511D">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498" w:type="pct"/>
            <w:tcBorders>
              <w:tl2br w:val="nil"/>
              <w:tr2bl w:val="nil"/>
            </w:tcBorders>
            <w:vAlign w:val="center"/>
          </w:tcPr>
          <w:p w14:paraId="00063D87">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施工场地</w:t>
            </w:r>
          </w:p>
        </w:tc>
        <w:tc>
          <w:tcPr>
            <w:tcW w:w="487" w:type="pct"/>
            <w:tcBorders>
              <w:tl2br w:val="nil"/>
              <w:tr2bl w:val="nil"/>
            </w:tcBorders>
            <w:vAlign w:val="center"/>
          </w:tcPr>
          <w:p w14:paraId="78208A17">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0.467t</w:t>
            </w:r>
          </w:p>
        </w:tc>
        <w:tc>
          <w:tcPr>
            <w:tcW w:w="562" w:type="pct"/>
            <w:tcBorders>
              <w:tl2br w:val="nil"/>
              <w:tr2bl w:val="nil"/>
            </w:tcBorders>
            <w:vAlign w:val="center"/>
          </w:tcPr>
          <w:p w14:paraId="031F9C99">
            <w:pPr>
              <w:pStyle w:val="108"/>
              <w:spacing w:line="360" w:lineRule="exact"/>
              <w:rPr>
                <w:rFonts w:eastAsiaTheme="minorEastAsia"/>
                <w:snapToGrid w:val="0"/>
                <w:color w:val="000000" w:themeColor="text1"/>
                <w:w w:val="99"/>
                <w:sz w:val="21"/>
                <w:szCs w:val="21"/>
                <w14:textFill>
                  <w14:solidFill>
                    <w14:schemeClr w14:val="tx1"/>
                  </w14:solidFill>
                </w14:textFill>
              </w:rPr>
            </w:pPr>
            <w:r>
              <w:rPr>
                <w:rFonts w:hint="eastAsia" w:eastAsiaTheme="minorEastAsia"/>
                <w:snapToGrid w:val="0"/>
                <w:color w:val="000000" w:themeColor="text1"/>
                <w:w w:val="99"/>
                <w:sz w:val="21"/>
                <w:szCs w:val="21"/>
                <w14:textFill>
                  <w14:solidFill>
                    <w14:schemeClr w14:val="tx1"/>
                  </w14:solidFill>
                </w14:textFill>
              </w:rPr>
              <w:t>0</w:t>
            </w:r>
          </w:p>
        </w:tc>
        <w:tc>
          <w:tcPr>
            <w:tcW w:w="1321" w:type="pct"/>
            <w:tcBorders>
              <w:tl2br w:val="nil"/>
              <w:tr2bl w:val="nil"/>
            </w:tcBorders>
            <w:vAlign w:val="center"/>
          </w:tcPr>
          <w:p w14:paraId="26758652">
            <w:pPr>
              <w:pStyle w:val="108"/>
              <w:spacing w:line="360" w:lineRule="exact"/>
              <w:rPr>
                <w:rFonts w:eastAsiaTheme="minorEastAsia"/>
                <w:color w:val="000000" w:themeColor="text1"/>
                <w:w w:val="99"/>
                <w:kern w:val="2"/>
                <w:sz w:val="21"/>
                <w:szCs w:val="21"/>
                <w:lang w:val="en-US"/>
                <w14:textFill>
                  <w14:solidFill>
                    <w14:schemeClr w14:val="tx1"/>
                  </w14:solidFill>
                </w14:textFill>
              </w:rPr>
            </w:pPr>
            <w:r>
              <w:rPr>
                <w:rFonts w:eastAsiaTheme="minorEastAsia"/>
                <w:snapToGrid w:val="0"/>
                <w:color w:val="000000" w:themeColor="text1"/>
                <w:w w:val="99"/>
                <w:sz w:val="21"/>
                <w:szCs w:val="21"/>
                <w14:textFill>
                  <w14:solidFill>
                    <w14:schemeClr w14:val="tx1"/>
                  </w14:solidFill>
                </w14:textFill>
              </w:rPr>
              <w:t>《一般工业固体废物贮存和填埋污染控制标准》（GB18599-20</w:t>
            </w:r>
            <w:r>
              <w:rPr>
                <w:rFonts w:eastAsiaTheme="minorEastAsia"/>
                <w:snapToGrid w:val="0"/>
                <w:color w:val="000000" w:themeColor="text1"/>
                <w:w w:val="99"/>
                <w:sz w:val="21"/>
                <w:szCs w:val="21"/>
                <w:lang w:val="en-US"/>
                <w14:textFill>
                  <w14:solidFill>
                    <w14:schemeClr w14:val="tx1"/>
                  </w14:solidFill>
                </w14:textFill>
              </w:rPr>
              <w:t>20</w:t>
            </w:r>
            <w:r>
              <w:rPr>
                <w:rFonts w:eastAsiaTheme="minorEastAsia"/>
                <w:snapToGrid w:val="0"/>
                <w:color w:val="000000" w:themeColor="text1"/>
                <w:w w:val="99"/>
                <w:sz w:val="21"/>
                <w:szCs w:val="21"/>
                <w14:textFill>
                  <w14:solidFill>
                    <w14:schemeClr w14:val="tx1"/>
                  </w14:solidFill>
                </w14:textFill>
              </w:rPr>
              <w:t>）中I类场标准</w:t>
            </w:r>
          </w:p>
        </w:tc>
        <w:tc>
          <w:tcPr>
            <w:tcW w:w="945" w:type="pct"/>
            <w:tcBorders>
              <w:tl2br w:val="nil"/>
              <w:tr2bl w:val="nil"/>
            </w:tcBorders>
            <w:vAlign w:val="center"/>
          </w:tcPr>
          <w:p w14:paraId="135E9C47">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hint="eastAsia" w:eastAsiaTheme="minorEastAsia"/>
                <w:color w:val="000000" w:themeColor="text1"/>
                <w:w w:val="99"/>
                <w:kern w:val="2"/>
                <w:sz w:val="21"/>
                <w:szCs w:val="21"/>
                <w:lang w:val="en-US"/>
                <w14:textFill>
                  <w14:solidFill>
                    <w14:schemeClr w14:val="tx1"/>
                  </w14:solidFill>
                </w14:textFill>
              </w:rPr>
              <w:t>/</w:t>
            </w:r>
          </w:p>
        </w:tc>
      </w:tr>
      <w:tr w14:paraId="115C2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5" w:type="pct"/>
            <w:vMerge w:val="continue"/>
            <w:tcBorders>
              <w:tl2br w:val="nil"/>
              <w:tr2bl w:val="nil"/>
            </w:tcBorders>
            <w:vAlign w:val="center"/>
          </w:tcPr>
          <w:p w14:paraId="7133F30F">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p>
        </w:tc>
        <w:tc>
          <w:tcPr>
            <w:tcW w:w="460" w:type="pct"/>
            <w:tcBorders>
              <w:tl2br w:val="nil"/>
              <w:tr2bl w:val="nil"/>
            </w:tcBorders>
            <w:vAlign w:val="center"/>
          </w:tcPr>
          <w:p w14:paraId="710067DA">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建筑垃圾</w:t>
            </w:r>
          </w:p>
        </w:tc>
        <w:tc>
          <w:tcPr>
            <w:tcW w:w="341" w:type="pct"/>
            <w:tcBorders>
              <w:tl2br w:val="nil"/>
              <w:tr2bl w:val="nil"/>
            </w:tcBorders>
            <w:vAlign w:val="center"/>
          </w:tcPr>
          <w:p w14:paraId="379D1B7E">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498" w:type="pct"/>
            <w:tcBorders>
              <w:tl2br w:val="nil"/>
              <w:tr2bl w:val="nil"/>
            </w:tcBorders>
            <w:vAlign w:val="center"/>
          </w:tcPr>
          <w:p w14:paraId="79E4974F">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拉油点</w:t>
            </w:r>
          </w:p>
        </w:tc>
        <w:tc>
          <w:tcPr>
            <w:tcW w:w="487" w:type="pct"/>
            <w:tcBorders>
              <w:tl2br w:val="nil"/>
              <w:tr2bl w:val="nil"/>
            </w:tcBorders>
            <w:vAlign w:val="center"/>
          </w:tcPr>
          <w:p w14:paraId="21349002">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264m</w:t>
            </w:r>
            <w:r>
              <w:rPr>
                <w:rFonts w:ascii="Times New Roman" w:hAnsi="Times New Roman" w:cs="Times New Roman" w:eastAsiaTheme="minorEastAsia"/>
                <w:color w:val="000000" w:themeColor="text1"/>
                <w:w w:val="99"/>
                <w:kern w:val="2"/>
                <w:sz w:val="21"/>
                <w:szCs w:val="21"/>
                <w:vertAlign w:val="superscript"/>
                <w:lang w:val="en-US"/>
                <w14:textFill>
                  <w14:solidFill>
                    <w14:schemeClr w14:val="tx1"/>
                  </w14:solidFill>
                </w14:textFill>
              </w:rPr>
              <w:t>3</w:t>
            </w:r>
          </w:p>
        </w:tc>
        <w:tc>
          <w:tcPr>
            <w:tcW w:w="562" w:type="pct"/>
            <w:tcBorders>
              <w:tl2br w:val="nil"/>
              <w:tr2bl w:val="nil"/>
            </w:tcBorders>
            <w:vAlign w:val="center"/>
          </w:tcPr>
          <w:p w14:paraId="7181CBFD">
            <w:pPr>
              <w:pStyle w:val="108"/>
              <w:spacing w:line="360" w:lineRule="exact"/>
              <w:rPr>
                <w:rFonts w:eastAsiaTheme="minorEastAsia"/>
                <w:color w:val="000000" w:themeColor="text1"/>
                <w:w w:val="99"/>
                <w:kern w:val="2"/>
                <w:sz w:val="21"/>
                <w:szCs w:val="21"/>
                <w:lang w:val="en-US"/>
                <w14:textFill>
                  <w14:solidFill>
                    <w14:schemeClr w14:val="tx1"/>
                  </w14:solidFill>
                </w14:textFill>
              </w:rPr>
            </w:pPr>
            <w:r>
              <w:rPr>
                <w:rFonts w:hint="eastAsia" w:eastAsiaTheme="minorEastAsia"/>
                <w:color w:val="000000" w:themeColor="text1"/>
                <w:w w:val="99"/>
                <w:kern w:val="2"/>
                <w:sz w:val="21"/>
                <w:szCs w:val="21"/>
                <w:lang w:val="en-US"/>
                <w14:textFill>
                  <w14:solidFill>
                    <w14:schemeClr w14:val="tx1"/>
                  </w14:solidFill>
                </w14:textFill>
              </w:rPr>
              <w:t>0</w:t>
            </w:r>
          </w:p>
        </w:tc>
        <w:tc>
          <w:tcPr>
            <w:tcW w:w="1321" w:type="pct"/>
            <w:tcBorders>
              <w:tl2br w:val="nil"/>
              <w:tr2bl w:val="nil"/>
            </w:tcBorders>
            <w:vAlign w:val="center"/>
          </w:tcPr>
          <w:p w14:paraId="1E1A45C2">
            <w:pPr>
              <w:pStyle w:val="108"/>
              <w:spacing w:line="360" w:lineRule="exact"/>
              <w:rPr>
                <w:rFonts w:eastAsiaTheme="minorEastAsia"/>
                <w:color w:val="000000" w:themeColor="text1"/>
                <w:w w:val="99"/>
                <w:kern w:val="2"/>
                <w:sz w:val="21"/>
                <w:szCs w:val="21"/>
                <w:lang w:val="en-US"/>
                <w14:textFill>
                  <w14:solidFill>
                    <w14:schemeClr w14:val="tx1"/>
                  </w14:solidFill>
                </w14:textFill>
              </w:rPr>
            </w:pPr>
            <w:r>
              <w:rPr>
                <w:rFonts w:eastAsiaTheme="minorEastAsia"/>
                <w:color w:val="000000" w:themeColor="text1"/>
                <w:w w:val="99"/>
                <w:kern w:val="2"/>
                <w:sz w:val="21"/>
                <w:szCs w:val="21"/>
                <w:lang w:val="en-US"/>
                <w14:textFill>
                  <w14:solidFill>
                    <w14:schemeClr w14:val="tx1"/>
                  </w14:solidFill>
                </w14:textFill>
              </w:rPr>
              <w:t>100%处置</w:t>
            </w:r>
          </w:p>
        </w:tc>
        <w:tc>
          <w:tcPr>
            <w:tcW w:w="945" w:type="pct"/>
            <w:tcBorders>
              <w:tl2br w:val="nil"/>
              <w:tr2bl w:val="nil"/>
            </w:tcBorders>
            <w:vAlign w:val="center"/>
          </w:tcPr>
          <w:p w14:paraId="78857164">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hint="eastAsia" w:eastAsiaTheme="minorEastAsia"/>
                <w:color w:val="000000" w:themeColor="text1"/>
                <w:w w:val="99"/>
                <w:kern w:val="2"/>
                <w:sz w:val="21"/>
                <w:szCs w:val="21"/>
                <w:lang w:val="en-US"/>
                <w14:textFill>
                  <w14:solidFill>
                    <w14:schemeClr w14:val="tx1"/>
                  </w14:solidFill>
                </w14:textFill>
              </w:rPr>
              <w:t>/</w:t>
            </w:r>
          </w:p>
        </w:tc>
      </w:tr>
      <w:tr w14:paraId="347BE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5" w:type="pct"/>
            <w:vMerge w:val="continue"/>
            <w:tcBorders>
              <w:tl2br w:val="nil"/>
              <w:tr2bl w:val="nil"/>
            </w:tcBorders>
            <w:vAlign w:val="center"/>
          </w:tcPr>
          <w:p w14:paraId="175E1651">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p>
        </w:tc>
        <w:tc>
          <w:tcPr>
            <w:tcW w:w="460" w:type="pct"/>
            <w:tcBorders>
              <w:tl2br w:val="nil"/>
              <w:tr2bl w:val="nil"/>
            </w:tcBorders>
            <w:vAlign w:val="center"/>
          </w:tcPr>
          <w:p w14:paraId="0F8ACF83">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废旧设备</w:t>
            </w:r>
          </w:p>
        </w:tc>
        <w:tc>
          <w:tcPr>
            <w:tcW w:w="341" w:type="pct"/>
            <w:tcBorders>
              <w:tl2br w:val="nil"/>
              <w:tr2bl w:val="nil"/>
            </w:tcBorders>
            <w:vAlign w:val="center"/>
          </w:tcPr>
          <w:p w14:paraId="5B477CE6">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498" w:type="pct"/>
            <w:tcBorders>
              <w:tl2br w:val="nil"/>
              <w:tr2bl w:val="nil"/>
            </w:tcBorders>
            <w:vAlign w:val="center"/>
          </w:tcPr>
          <w:p w14:paraId="432EDD47">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拉油点</w:t>
            </w:r>
          </w:p>
        </w:tc>
        <w:tc>
          <w:tcPr>
            <w:tcW w:w="487" w:type="pct"/>
            <w:tcBorders>
              <w:tl2br w:val="nil"/>
              <w:tr2bl w:val="nil"/>
            </w:tcBorders>
            <w:vAlign w:val="center"/>
          </w:tcPr>
          <w:p w14:paraId="608F791E">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322t</w:t>
            </w:r>
          </w:p>
        </w:tc>
        <w:tc>
          <w:tcPr>
            <w:tcW w:w="562" w:type="pct"/>
            <w:tcBorders>
              <w:tl2br w:val="nil"/>
              <w:tr2bl w:val="nil"/>
            </w:tcBorders>
            <w:vAlign w:val="center"/>
          </w:tcPr>
          <w:p w14:paraId="6F89EC82">
            <w:pPr>
              <w:pStyle w:val="108"/>
              <w:spacing w:line="360" w:lineRule="exact"/>
              <w:rPr>
                <w:rFonts w:eastAsiaTheme="minorEastAsia"/>
                <w:snapToGrid w:val="0"/>
                <w:color w:val="000000" w:themeColor="text1"/>
                <w:w w:val="99"/>
                <w:sz w:val="21"/>
                <w:szCs w:val="21"/>
                <w14:textFill>
                  <w14:solidFill>
                    <w14:schemeClr w14:val="tx1"/>
                  </w14:solidFill>
                </w14:textFill>
              </w:rPr>
            </w:pPr>
            <w:r>
              <w:rPr>
                <w:rFonts w:hint="eastAsia" w:eastAsiaTheme="minorEastAsia"/>
                <w:snapToGrid w:val="0"/>
                <w:color w:val="000000" w:themeColor="text1"/>
                <w:w w:val="99"/>
                <w:sz w:val="21"/>
                <w:szCs w:val="21"/>
                <w14:textFill>
                  <w14:solidFill>
                    <w14:schemeClr w14:val="tx1"/>
                  </w14:solidFill>
                </w14:textFill>
              </w:rPr>
              <w:t>0</w:t>
            </w:r>
          </w:p>
        </w:tc>
        <w:tc>
          <w:tcPr>
            <w:tcW w:w="1321" w:type="pct"/>
            <w:tcBorders>
              <w:tl2br w:val="nil"/>
              <w:tr2bl w:val="nil"/>
            </w:tcBorders>
            <w:vAlign w:val="center"/>
          </w:tcPr>
          <w:p w14:paraId="31DC2168">
            <w:pPr>
              <w:pStyle w:val="108"/>
              <w:spacing w:line="360" w:lineRule="exact"/>
              <w:rPr>
                <w:rFonts w:eastAsiaTheme="minorEastAsia"/>
                <w:bCs/>
                <w:color w:val="000000" w:themeColor="text1"/>
                <w:w w:val="99"/>
                <w:kern w:val="2"/>
                <w:sz w:val="21"/>
                <w:szCs w:val="21"/>
                <w:lang w:val="en-US"/>
                <w14:textFill>
                  <w14:solidFill>
                    <w14:schemeClr w14:val="tx1"/>
                  </w14:solidFill>
                </w14:textFill>
              </w:rPr>
            </w:pPr>
            <w:r>
              <w:rPr>
                <w:rFonts w:eastAsiaTheme="minorEastAsia"/>
                <w:snapToGrid w:val="0"/>
                <w:color w:val="000000" w:themeColor="text1"/>
                <w:w w:val="99"/>
                <w:sz w:val="21"/>
                <w:szCs w:val="21"/>
                <w14:textFill>
                  <w14:solidFill>
                    <w14:schemeClr w14:val="tx1"/>
                  </w14:solidFill>
                </w14:textFill>
              </w:rPr>
              <w:t>回收利用</w:t>
            </w:r>
          </w:p>
        </w:tc>
        <w:tc>
          <w:tcPr>
            <w:tcW w:w="945" w:type="pct"/>
            <w:tcBorders>
              <w:tl2br w:val="nil"/>
              <w:tr2bl w:val="nil"/>
            </w:tcBorders>
            <w:vAlign w:val="center"/>
          </w:tcPr>
          <w:p w14:paraId="7B264D82">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hint="eastAsia" w:eastAsiaTheme="minorEastAsia"/>
                <w:bCs/>
                <w:color w:val="000000" w:themeColor="text1"/>
                <w:w w:val="99"/>
                <w:kern w:val="2"/>
                <w:sz w:val="21"/>
                <w:szCs w:val="21"/>
                <w:lang w:val="en-US"/>
                <w14:textFill>
                  <w14:solidFill>
                    <w14:schemeClr w14:val="tx1"/>
                  </w14:solidFill>
                </w14:textFill>
              </w:rPr>
              <w:t>/</w:t>
            </w:r>
          </w:p>
        </w:tc>
      </w:tr>
      <w:tr w14:paraId="159C3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5" w:type="pct"/>
            <w:vMerge w:val="continue"/>
            <w:tcBorders>
              <w:tl2br w:val="nil"/>
              <w:tr2bl w:val="nil"/>
            </w:tcBorders>
            <w:vAlign w:val="center"/>
          </w:tcPr>
          <w:p w14:paraId="0F8D578F">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p>
        </w:tc>
        <w:tc>
          <w:tcPr>
            <w:tcW w:w="460" w:type="pct"/>
            <w:tcBorders>
              <w:tl2br w:val="nil"/>
              <w:tr2bl w:val="nil"/>
            </w:tcBorders>
            <w:vAlign w:val="center"/>
          </w:tcPr>
          <w:p w14:paraId="3C64B4C8">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生活垃圾</w:t>
            </w:r>
          </w:p>
        </w:tc>
        <w:tc>
          <w:tcPr>
            <w:tcW w:w="341" w:type="pct"/>
            <w:tcBorders>
              <w:tl2br w:val="nil"/>
              <w:tr2bl w:val="nil"/>
            </w:tcBorders>
            <w:vAlign w:val="center"/>
          </w:tcPr>
          <w:p w14:paraId="7E784075">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498" w:type="pct"/>
            <w:tcBorders>
              <w:tl2br w:val="nil"/>
              <w:tr2bl w:val="nil"/>
            </w:tcBorders>
            <w:vAlign w:val="center"/>
          </w:tcPr>
          <w:p w14:paraId="2CE212FF">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施工人员</w:t>
            </w:r>
          </w:p>
        </w:tc>
        <w:tc>
          <w:tcPr>
            <w:tcW w:w="487" w:type="pct"/>
            <w:tcBorders>
              <w:tl2br w:val="nil"/>
              <w:tr2bl w:val="nil"/>
            </w:tcBorders>
            <w:vAlign w:val="center"/>
          </w:tcPr>
          <w:p w14:paraId="664DC69B">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0.6t</w:t>
            </w:r>
          </w:p>
        </w:tc>
        <w:tc>
          <w:tcPr>
            <w:tcW w:w="562" w:type="pct"/>
            <w:tcBorders>
              <w:tl2br w:val="nil"/>
              <w:tr2bl w:val="nil"/>
            </w:tcBorders>
            <w:vAlign w:val="center"/>
          </w:tcPr>
          <w:p w14:paraId="3F84CD3B">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14:textFill>
                  <w14:solidFill>
                    <w14:schemeClr w14:val="tx1"/>
                  </w14:solidFill>
                </w14:textFill>
              </w:rPr>
              <w:t>0</w:t>
            </w:r>
          </w:p>
        </w:tc>
        <w:tc>
          <w:tcPr>
            <w:tcW w:w="1321" w:type="pct"/>
            <w:tcBorders>
              <w:tl2br w:val="nil"/>
              <w:tr2bl w:val="nil"/>
            </w:tcBorders>
            <w:vAlign w:val="center"/>
          </w:tcPr>
          <w:p w14:paraId="7237CEB2">
            <w:pPr>
              <w:autoSpaceDE/>
              <w:autoSpaceDN/>
              <w:adjustRightInd w:val="0"/>
              <w:snapToGrid w:val="0"/>
              <w:spacing w:line="360" w:lineRule="exact"/>
              <w:jc w:val="center"/>
              <w:rPr>
                <w:rFonts w:ascii="Times New Roman" w:hAnsi="Times New Roman" w:cs="Times New Roman" w:eastAsiaTheme="minorEastAsia"/>
                <w:color w:val="000000" w:themeColor="text1"/>
                <w:w w:val="99"/>
                <w:sz w:val="21"/>
                <w:szCs w:val="21"/>
                <w:lang w:val="en-US" w:bidi="ar"/>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《城市生活垃圾管理办法》（中华人民共和国建设部令第157号令）中的相关规定</w:t>
            </w:r>
          </w:p>
        </w:tc>
        <w:tc>
          <w:tcPr>
            <w:tcW w:w="945" w:type="pct"/>
            <w:tcBorders>
              <w:tl2br w:val="nil"/>
              <w:tr2bl w:val="nil"/>
            </w:tcBorders>
            <w:vAlign w:val="center"/>
          </w:tcPr>
          <w:p w14:paraId="50C91D1F">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val="en-US" w:bidi="ar"/>
                <w14:textFill>
                  <w14:solidFill>
                    <w14:schemeClr w14:val="tx1"/>
                  </w14:solidFill>
                </w14:textFill>
              </w:rPr>
              <w:t>/</w:t>
            </w:r>
          </w:p>
        </w:tc>
      </w:tr>
      <w:tr w14:paraId="5CE46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5" w:type="pct"/>
            <w:vMerge w:val="restart"/>
            <w:tcBorders>
              <w:tl2br w:val="nil"/>
              <w:tr2bl w:val="nil"/>
            </w:tcBorders>
            <w:vAlign w:val="center"/>
          </w:tcPr>
          <w:p w14:paraId="246ABF57">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噪声</w:t>
            </w:r>
          </w:p>
        </w:tc>
        <w:tc>
          <w:tcPr>
            <w:tcW w:w="460" w:type="pct"/>
            <w:tcBorders>
              <w:tl2br w:val="nil"/>
              <w:tr2bl w:val="nil"/>
            </w:tcBorders>
            <w:vAlign w:val="center"/>
          </w:tcPr>
          <w:p w14:paraId="2E3B3690">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机械噪声</w:t>
            </w:r>
          </w:p>
        </w:tc>
        <w:tc>
          <w:tcPr>
            <w:tcW w:w="341" w:type="pct"/>
            <w:tcBorders>
              <w:tl2br w:val="nil"/>
              <w:tr2bl w:val="nil"/>
            </w:tcBorders>
            <w:vAlign w:val="center"/>
          </w:tcPr>
          <w:p w14:paraId="30A8F081">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噪声</w:t>
            </w:r>
          </w:p>
        </w:tc>
        <w:tc>
          <w:tcPr>
            <w:tcW w:w="498" w:type="pct"/>
            <w:tcBorders>
              <w:tl2br w:val="nil"/>
              <w:tr2bl w:val="nil"/>
            </w:tcBorders>
            <w:vAlign w:val="center"/>
          </w:tcPr>
          <w:p w14:paraId="2282DB41">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施工机械</w:t>
            </w:r>
          </w:p>
        </w:tc>
        <w:tc>
          <w:tcPr>
            <w:tcW w:w="487" w:type="pct"/>
            <w:tcBorders>
              <w:tl2br w:val="nil"/>
              <w:tr2bl w:val="nil"/>
            </w:tcBorders>
            <w:vAlign w:val="center"/>
          </w:tcPr>
          <w:p w14:paraId="5C1F558F">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60~104dB</w:t>
            </w:r>
          </w:p>
          <w:p w14:paraId="392240D7">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（A）</w:t>
            </w:r>
          </w:p>
        </w:tc>
        <w:tc>
          <w:tcPr>
            <w:tcW w:w="562" w:type="pct"/>
            <w:tcBorders>
              <w:tl2br w:val="nil"/>
              <w:tr2bl w:val="nil"/>
            </w:tcBorders>
            <w:vAlign w:val="center"/>
          </w:tcPr>
          <w:p w14:paraId="448CEE8A">
            <w:pPr>
              <w:pStyle w:val="108"/>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60~104dB</w:t>
            </w:r>
          </w:p>
          <w:p w14:paraId="0A18975F">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（A）</w:t>
            </w:r>
          </w:p>
        </w:tc>
        <w:tc>
          <w:tcPr>
            <w:tcW w:w="1321" w:type="pct"/>
            <w:tcBorders>
              <w:tl2br w:val="nil"/>
              <w:tr2bl w:val="nil"/>
            </w:tcBorders>
            <w:vAlign w:val="center"/>
          </w:tcPr>
          <w:p w14:paraId="6CA4EBCF">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执行《建筑施工场界环境噪声排放标准》（GB12523-2011）要求</w:t>
            </w:r>
          </w:p>
        </w:tc>
        <w:tc>
          <w:tcPr>
            <w:tcW w:w="945" w:type="pct"/>
            <w:tcBorders>
              <w:tl2br w:val="nil"/>
              <w:tr2bl w:val="nil"/>
            </w:tcBorders>
            <w:vAlign w:val="center"/>
          </w:tcPr>
          <w:p w14:paraId="73FC4B41">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hint="eastAsia" w:eastAsiaTheme="minorEastAsia"/>
                <w:color w:val="000000" w:themeColor="text1"/>
                <w:w w:val="99"/>
                <w:kern w:val="2"/>
                <w:sz w:val="21"/>
                <w:szCs w:val="21"/>
                <w:lang w:val="en-US" w:bidi="ar-SA"/>
                <w14:textFill>
                  <w14:solidFill>
                    <w14:schemeClr w14:val="tx1"/>
                  </w14:solidFill>
                </w14:textFill>
              </w:rPr>
              <w:t>昼间</w:t>
            </w:r>
            <w:r>
              <w:rPr>
                <w:rFonts w:eastAsiaTheme="minorEastAsia"/>
                <w:bCs/>
                <w:color w:val="000000" w:themeColor="text1"/>
                <w:w w:val="99"/>
                <w:kern w:val="2"/>
                <w:sz w:val="21"/>
                <w:szCs w:val="21"/>
                <w:lang w:val="en-US" w:bidi="ar-SA"/>
                <w14:textFill>
                  <w14:solidFill>
                    <w14:schemeClr w14:val="tx1"/>
                  </w14:solidFill>
                </w14:textFill>
              </w:rPr>
              <w:t>≤70</w:t>
            </w:r>
            <w:r>
              <w:rPr>
                <w:rFonts w:eastAsiaTheme="minorEastAsia"/>
                <w:color w:val="000000" w:themeColor="text1"/>
                <w:w w:val="99"/>
                <w:kern w:val="2"/>
                <w:sz w:val="21"/>
                <w:szCs w:val="21"/>
                <w:lang w:val="en-US" w:bidi="ar-SA"/>
                <w14:textFill>
                  <w14:solidFill>
                    <w14:schemeClr w14:val="tx1"/>
                  </w14:solidFill>
                </w14:textFill>
              </w:rPr>
              <w:t>dB（A）</w:t>
            </w:r>
          </w:p>
          <w:p w14:paraId="721E558A">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hint="eastAsia" w:eastAsiaTheme="minorEastAsia"/>
                <w:color w:val="000000" w:themeColor="text1"/>
                <w:w w:val="99"/>
                <w:kern w:val="2"/>
                <w:sz w:val="21"/>
                <w:szCs w:val="21"/>
                <w:lang w:val="en-US" w:bidi="ar-SA"/>
                <w14:textFill>
                  <w14:solidFill>
                    <w14:schemeClr w14:val="tx1"/>
                  </w14:solidFill>
                </w14:textFill>
              </w:rPr>
              <w:t>夜间</w:t>
            </w:r>
            <w:r>
              <w:rPr>
                <w:rFonts w:eastAsiaTheme="minorEastAsia"/>
                <w:bCs/>
                <w:color w:val="000000" w:themeColor="text1"/>
                <w:w w:val="99"/>
                <w:kern w:val="2"/>
                <w:sz w:val="21"/>
                <w:szCs w:val="21"/>
                <w:lang w:val="en-US" w:bidi="ar-SA"/>
                <w14:textFill>
                  <w14:solidFill>
                    <w14:schemeClr w14:val="tx1"/>
                  </w14:solidFill>
                </w14:textFill>
              </w:rPr>
              <w:t>≤55</w:t>
            </w:r>
            <w:r>
              <w:rPr>
                <w:rFonts w:eastAsiaTheme="minorEastAsia"/>
                <w:color w:val="000000" w:themeColor="text1"/>
                <w:w w:val="99"/>
                <w:kern w:val="2"/>
                <w:sz w:val="21"/>
                <w:szCs w:val="21"/>
                <w:lang w:val="en-US" w:bidi="ar-SA"/>
                <w14:textFill>
                  <w14:solidFill>
                    <w14:schemeClr w14:val="tx1"/>
                  </w14:solidFill>
                </w14:textFill>
              </w:rPr>
              <w:t>dB（A）</w:t>
            </w:r>
          </w:p>
        </w:tc>
      </w:tr>
      <w:tr w14:paraId="72455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5" w:type="pct"/>
            <w:vMerge w:val="continue"/>
            <w:tcBorders>
              <w:tl2br w:val="nil"/>
              <w:tr2bl w:val="nil"/>
            </w:tcBorders>
            <w:vAlign w:val="center"/>
          </w:tcPr>
          <w:p w14:paraId="08DC7E42">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p>
        </w:tc>
        <w:tc>
          <w:tcPr>
            <w:tcW w:w="460" w:type="pct"/>
            <w:tcBorders>
              <w:tl2br w:val="nil"/>
              <w:tr2bl w:val="nil"/>
            </w:tcBorders>
            <w:vAlign w:val="center"/>
          </w:tcPr>
          <w:p w14:paraId="0DE4542A">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机械噪声</w:t>
            </w:r>
          </w:p>
        </w:tc>
        <w:tc>
          <w:tcPr>
            <w:tcW w:w="341" w:type="pct"/>
            <w:tcBorders>
              <w:tl2br w:val="nil"/>
              <w:tr2bl w:val="nil"/>
            </w:tcBorders>
            <w:vAlign w:val="center"/>
          </w:tcPr>
          <w:p w14:paraId="0B7D8CDA">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噪声</w:t>
            </w:r>
          </w:p>
        </w:tc>
        <w:tc>
          <w:tcPr>
            <w:tcW w:w="498" w:type="pct"/>
            <w:tcBorders>
              <w:tl2br w:val="nil"/>
              <w:tr2bl w:val="nil"/>
            </w:tcBorders>
            <w:vAlign w:val="center"/>
          </w:tcPr>
          <w:p w14:paraId="6A914682">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混输泵</w:t>
            </w:r>
          </w:p>
        </w:tc>
        <w:tc>
          <w:tcPr>
            <w:tcW w:w="487" w:type="pct"/>
            <w:tcBorders>
              <w:tl2br w:val="nil"/>
              <w:tr2bl w:val="nil"/>
            </w:tcBorders>
            <w:vAlign w:val="center"/>
          </w:tcPr>
          <w:p w14:paraId="624AD5B9">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102-109dB(A)</w:t>
            </w:r>
          </w:p>
        </w:tc>
        <w:tc>
          <w:tcPr>
            <w:tcW w:w="562" w:type="pct"/>
            <w:tcBorders>
              <w:tl2br w:val="nil"/>
              <w:tr2bl w:val="nil"/>
            </w:tcBorders>
            <w:vAlign w:val="center"/>
          </w:tcPr>
          <w:p w14:paraId="2F031752">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102-109dB(A)</w:t>
            </w:r>
          </w:p>
        </w:tc>
        <w:tc>
          <w:tcPr>
            <w:tcW w:w="1321" w:type="pct"/>
            <w:tcBorders>
              <w:tl2br w:val="nil"/>
              <w:tr2bl w:val="nil"/>
            </w:tcBorders>
            <w:vAlign w:val="center"/>
          </w:tcPr>
          <w:p w14:paraId="6BF5F4A5">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14:textFill>
                  <w14:solidFill>
                    <w14:schemeClr w14:val="tx1"/>
                  </w14:solidFill>
                </w14:textFill>
              </w:rPr>
              <w:t>《工业企业厂界环境噪声排放标准》（GB12348-2008）中2类标准</w:t>
            </w:r>
          </w:p>
        </w:tc>
        <w:tc>
          <w:tcPr>
            <w:tcW w:w="945" w:type="pct"/>
            <w:tcBorders>
              <w:tl2br w:val="nil"/>
              <w:tr2bl w:val="nil"/>
            </w:tcBorders>
            <w:vAlign w:val="center"/>
          </w:tcPr>
          <w:p w14:paraId="3C518B2C">
            <w:pPr>
              <w:pStyle w:val="108"/>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昼间</w:t>
            </w:r>
            <w:r>
              <w:rPr>
                <w:rFonts w:eastAsiaTheme="minorEastAsia"/>
                <w:bCs/>
                <w:color w:val="000000" w:themeColor="text1"/>
                <w:w w:val="99"/>
                <w:kern w:val="2"/>
                <w:sz w:val="21"/>
                <w:szCs w:val="21"/>
                <w:lang w:val="en-US" w:bidi="ar-SA"/>
                <w14:textFill>
                  <w14:solidFill>
                    <w14:schemeClr w14:val="tx1"/>
                  </w14:solidFill>
                </w14:textFill>
              </w:rPr>
              <w:t>≤60</w:t>
            </w:r>
            <w:r>
              <w:rPr>
                <w:rFonts w:eastAsiaTheme="minorEastAsia"/>
                <w:color w:val="000000" w:themeColor="text1"/>
                <w:w w:val="99"/>
                <w:kern w:val="2"/>
                <w:sz w:val="21"/>
                <w:szCs w:val="21"/>
                <w:lang w:val="en-US" w:bidi="ar-SA"/>
                <w14:textFill>
                  <w14:solidFill>
                    <w14:schemeClr w14:val="tx1"/>
                  </w14:solidFill>
                </w14:textFill>
              </w:rPr>
              <w:t>dB（A）</w:t>
            </w:r>
          </w:p>
          <w:p w14:paraId="55B740FF">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hint="eastAsia" w:eastAsiaTheme="minorEastAsia"/>
                <w:color w:val="000000" w:themeColor="text1"/>
                <w:w w:val="99"/>
                <w:kern w:val="2"/>
                <w:sz w:val="21"/>
                <w:szCs w:val="21"/>
                <w:lang w:val="en-US" w:bidi="ar-SA"/>
                <w14:textFill>
                  <w14:solidFill>
                    <w14:schemeClr w14:val="tx1"/>
                  </w14:solidFill>
                </w14:textFill>
              </w:rPr>
              <w:t>夜间</w:t>
            </w:r>
            <w:r>
              <w:rPr>
                <w:rFonts w:eastAsiaTheme="minorEastAsia"/>
                <w:bCs/>
                <w:color w:val="000000" w:themeColor="text1"/>
                <w:w w:val="99"/>
                <w:kern w:val="2"/>
                <w:sz w:val="21"/>
                <w:szCs w:val="21"/>
                <w:lang w:val="en-US" w:bidi="ar-SA"/>
                <w14:textFill>
                  <w14:solidFill>
                    <w14:schemeClr w14:val="tx1"/>
                  </w14:solidFill>
                </w14:textFill>
              </w:rPr>
              <w:t>≤50</w:t>
            </w:r>
            <w:r>
              <w:rPr>
                <w:rFonts w:eastAsiaTheme="minorEastAsia"/>
                <w:color w:val="000000" w:themeColor="text1"/>
                <w:w w:val="99"/>
                <w:kern w:val="2"/>
                <w:sz w:val="21"/>
                <w:szCs w:val="21"/>
                <w:lang w:val="en-US" w:bidi="ar-SA"/>
                <w14:textFill>
                  <w14:solidFill>
                    <w14:schemeClr w14:val="tx1"/>
                  </w14:solidFill>
                </w14:textFill>
              </w:rPr>
              <w:t>dB（A）</w:t>
            </w:r>
          </w:p>
        </w:tc>
      </w:tr>
    </w:tbl>
    <w:p w14:paraId="6E419239">
      <w:pPr>
        <w:spacing w:line="440" w:lineRule="exact"/>
        <w:outlineLvl w:val="3"/>
        <w:rPr>
          <w:rFonts w:ascii="Times New Roman" w:hAnsi="Times New Roman" w:cs="Times New Roman" w:eastAsiaTheme="minorEastAsia"/>
          <w:b/>
          <w:color w:val="000000" w:themeColor="text1"/>
          <w:w w:val="99"/>
          <w:sz w:val="24"/>
          <w:szCs w:val="24"/>
          <w:lang w:val="en-US"/>
          <w14:textFill>
            <w14:solidFill>
              <w14:schemeClr w14:val="tx1"/>
            </w14:solidFill>
          </w14:textFill>
        </w:rPr>
      </w:pPr>
      <w:r>
        <w:rPr>
          <w:rFonts w:ascii="Times New Roman" w:hAnsi="Times New Roman" w:cs="Times New Roman" w:eastAsiaTheme="minorEastAsia"/>
          <w:b/>
          <w:color w:val="000000" w:themeColor="text1"/>
          <w:w w:val="99"/>
          <w:sz w:val="24"/>
          <w:szCs w:val="24"/>
          <w:lang w:val="en-US"/>
          <w14:textFill>
            <w14:solidFill>
              <w14:schemeClr w14:val="tx1"/>
            </w14:solidFill>
          </w14:textFill>
        </w:rPr>
        <w:t>3.4.2.5 污染物“三本</w:t>
      </w:r>
      <w:r>
        <w:rPr>
          <w:rFonts w:hint="eastAsia" w:ascii="Times New Roman" w:hAnsi="Times New Roman" w:cs="Times New Roman" w:eastAsiaTheme="minorEastAsia"/>
          <w:b/>
          <w:color w:val="000000" w:themeColor="text1"/>
          <w:w w:val="99"/>
          <w:sz w:val="24"/>
          <w:szCs w:val="24"/>
          <w:lang w:val="en-US"/>
          <w14:textFill>
            <w14:solidFill>
              <w14:schemeClr w14:val="tx1"/>
            </w14:solidFill>
          </w14:textFill>
        </w:rPr>
        <w:t>账</w:t>
      </w:r>
      <w:r>
        <w:rPr>
          <w:rFonts w:ascii="Times New Roman" w:hAnsi="Times New Roman" w:cs="Times New Roman" w:eastAsiaTheme="minorEastAsia"/>
          <w:b/>
          <w:color w:val="000000" w:themeColor="text1"/>
          <w:w w:val="99"/>
          <w:sz w:val="24"/>
          <w:szCs w:val="24"/>
          <w:lang w:val="en-US"/>
          <w14:textFill>
            <w14:solidFill>
              <w14:schemeClr w14:val="tx1"/>
            </w14:solidFill>
          </w14:textFill>
        </w:rPr>
        <w:t>”汇总</w:t>
      </w:r>
    </w:p>
    <w:p w14:paraId="65F0EAD6">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由于本项目施工期产生的各种污染物将随施工活动的结束而消失，本项目运营期废水、固体废物不排入外环境，因此，本次评价只对运营期大气污染物排放情况进行核定，项目运营后，管线输送取代原有的九合一装置，且避免另了油田伴生气放空排放，污染物排放量汇总见表3.4-9。</w:t>
      </w:r>
    </w:p>
    <w:p w14:paraId="278684DF">
      <w:pPr>
        <w:autoSpaceDE/>
        <w:autoSpaceDN/>
        <w:spacing w:line="440" w:lineRule="exact"/>
        <w:ind w:firstLine="476" w:firstLineChars="200"/>
        <w:rPr>
          <w:rFonts w:ascii="Times New Roman" w:hAnsi="Times New Roman" w:cs="Times New Roman" w:eastAsiaTheme="minorEastAsia"/>
          <w:b/>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
          <w:bCs/>
          <w:color w:val="000000" w:themeColor="text1"/>
          <w:w w:val="99"/>
          <w:sz w:val="24"/>
          <w:szCs w:val="24"/>
          <w:lang w:val="en-US" w:bidi="ar-SA"/>
          <w14:textFill>
            <w14:solidFill>
              <w14:schemeClr w14:val="tx1"/>
            </w14:solidFill>
          </w14:textFill>
        </w:rPr>
        <w:t>表3.4-9    项目污染物排放情况</w:t>
      </w:r>
    </w:p>
    <w:tbl>
      <w:tblPr>
        <w:tblStyle w:val="8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6"/>
        <w:gridCol w:w="939"/>
        <w:gridCol w:w="1287"/>
        <w:gridCol w:w="1153"/>
        <w:gridCol w:w="965"/>
        <w:gridCol w:w="1383"/>
        <w:gridCol w:w="1987"/>
      </w:tblGrid>
      <w:tr w14:paraId="3D1B08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66" w:type="dxa"/>
            <w:vAlign w:val="center"/>
          </w:tcPr>
          <w:p w14:paraId="6EA416A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t>污染物名称</w:t>
            </w:r>
          </w:p>
        </w:tc>
        <w:tc>
          <w:tcPr>
            <w:tcW w:w="939" w:type="dxa"/>
            <w:vAlign w:val="center"/>
          </w:tcPr>
          <w:p w14:paraId="28070FD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t>单位</w:t>
            </w:r>
          </w:p>
        </w:tc>
        <w:tc>
          <w:tcPr>
            <w:tcW w:w="1287" w:type="dxa"/>
            <w:vAlign w:val="center"/>
          </w:tcPr>
          <w:p w14:paraId="31F7840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t>现有工程排放量</w:t>
            </w:r>
          </w:p>
        </w:tc>
        <w:tc>
          <w:tcPr>
            <w:tcW w:w="1153" w:type="dxa"/>
          </w:tcPr>
          <w:p w14:paraId="7F918B2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以新代老消减量</w:t>
            </w:r>
          </w:p>
        </w:tc>
        <w:tc>
          <w:tcPr>
            <w:tcW w:w="965" w:type="dxa"/>
            <w:vAlign w:val="center"/>
          </w:tcPr>
          <w:p w14:paraId="0D93A23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t>本工程</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排放量</w:t>
            </w:r>
          </w:p>
        </w:tc>
        <w:tc>
          <w:tcPr>
            <w:tcW w:w="1383" w:type="dxa"/>
            <w:vAlign w:val="center"/>
          </w:tcPr>
          <w:p w14:paraId="73C221F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t>总排放量</w:t>
            </w:r>
          </w:p>
        </w:tc>
        <w:tc>
          <w:tcPr>
            <w:tcW w:w="1987" w:type="dxa"/>
            <w:vAlign w:val="center"/>
          </w:tcPr>
          <w:p w14:paraId="799DFDB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t>排放增减量</w:t>
            </w:r>
          </w:p>
        </w:tc>
      </w:tr>
      <w:tr w14:paraId="1A7C0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66" w:type="dxa"/>
            <w:vAlign w:val="center"/>
          </w:tcPr>
          <w:p w14:paraId="5110F24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t>烟气量</w:t>
            </w:r>
          </w:p>
        </w:tc>
        <w:tc>
          <w:tcPr>
            <w:tcW w:w="939" w:type="dxa"/>
            <w:vAlign w:val="center"/>
          </w:tcPr>
          <w:p w14:paraId="122C5F6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t>m</w:t>
            </w:r>
            <w:r>
              <w:rPr>
                <w:rFonts w:ascii="Times New Roman" w:hAnsi="Times New Roman" w:cs="Times New Roman" w:eastAsiaTheme="minorEastAsia"/>
                <w:color w:val="000000" w:themeColor="text1"/>
                <w:w w:val="99"/>
                <w:sz w:val="21"/>
                <w:szCs w:val="21"/>
                <w:vertAlign w:val="superscript"/>
                <w:lang w:val="en-US" w:eastAsia="en-US" w:bidi="ar-SA"/>
                <w14:textFill>
                  <w14:solidFill>
                    <w14:schemeClr w14:val="tx1"/>
                  </w14:solidFill>
                </w14:textFill>
              </w:rPr>
              <w:t>3</w:t>
            </w:r>
            <w: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t>/a</w:t>
            </w:r>
          </w:p>
        </w:tc>
        <w:tc>
          <w:tcPr>
            <w:tcW w:w="1287" w:type="dxa"/>
          </w:tcPr>
          <w:p w14:paraId="4B5577D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t>42560501</w:t>
            </w:r>
          </w:p>
        </w:tc>
        <w:tc>
          <w:tcPr>
            <w:tcW w:w="1153" w:type="dxa"/>
          </w:tcPr>
          <w:p w14:paraId="28E3697E">
            <w:pPr>
              <w:widowControl/>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14030671</w:t>
            </w:r>
          </w:p>
        </w:tc>
        <w:tc>
          <w:tcPr>
            <w:tcW w:w="965" w:type="dxa"/>
            <w:vAlign w:val="center"/>
          </w:tcPr>
          <w:p w14:paraId="3752E05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t>0</w:t>
            </w:r>
          </w:p>
        </w:tc>
        <w:tc>
          <w:tcPr>
            <w:tcW w:w="1383" w:type="dxa"/>
            <w:vAlign w:val="bottom"/>
          </w:tcPr>
          <w:p w14:paraId="0174393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eastAsia="en-US" w:bidi="ar-SA"/>
                <w14:textFill>
                  <w14:solidFill>
                    <w14:schemeClr w14:val="tx1"/>
                  </w14:solidFill>
                </w14:textFill>
              </w:rPr>
              <w:t>28529830</w:t>
            </w:r>
          </w:p>
        </w:tc>
        <w:tc>
          <w:tcPr>
            <w:tcW w:w="1987" w:type="dxa"/>
            <w:vAlign w:val="bottom"/>
          </w:tcPr>
          <w:p w14:paraId="62C4299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t>-14030671</w:t>
            </w:r>
          </w:p>
        </w:tc>
      </w:tr>
      <w:tr w14:paraId="1B293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66" w:type="dxa"/>
            <w:vAlign w:val="center"/>
          </w:tcPr>
          <w:p w14:paraId="22F987D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t>颗粒物</w:t>
            </w:r>
          </w:p>
        </w:tc>
        <w:tc>
          <w:tcPr>
            <w:tcW w:w="939" w:type="dxa"/>
            <w:vAlign w:val="center"/>
          </w:tcPr>
          <w:p w14:paraId="59DDF2F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t>t/a</w:t>
            </w:r>
          </w:p>
        </w:tc>
        <w:tc>
          <w:tcPr>
            <w:tcW w:w="1287" w:type="dxa"/>
            <w:vAlign w:val="center"/>
          </w:tcPr>
          <w:p w14:paraId="32BDD03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0.4271</w:t>
            </w:r>
          </w:p>
        </w:tc>
        <w:tc>
          <w:tcPr>
            <w:tcW w:w="1153" w:type="dxa"/>
            <w:vAlign w:val="center"/>
          </w:tcPr>
          <w:p w14:paraId="36EA489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0.1418</w:t>
            </w:r>
          </w:p>
        </w:tc>
        <w:tc>
          <w:tcPr>
            <w:tcW w:w="965" w:type="dxa"/>
            <w:vAlign w:val="center"/>
          </w:tcPr>
          <w:p w14:paraId="54F09F6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1383" w:type="dxa"/>
            <w:vAlign w:val="bottom"/>
          </w:tcPr>
          <w:p w14:paraId="2E21041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val="en-US" w:bidi="ar-SA"/>
                <w14:textFill>
                  <w14:solidFill>
                    <w14:schemeClr w14:val="tx1"/>
                  </w14:solidFill>
                </w14:textFill>
              </w:rPr>
              <w:t>0</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.2853</w:t>
            </w:r>
          </w:p>
        </w:tc>
        <w:tc>
          <w:tcPr>
            <w:tcW w:w="1987" w:type="dxa"/>
            <w:vAlign w:val="center"/>
          </w:tcPr>
          <w:p w14:paraId="43A7E5D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-0.1418</w:t>
            </w:r>
          </w:p>
        </w:tc>
      </w:tr>
      <w:tr w14:paraId="341D1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66" w:type="dxa"/>
            <w:vAlign w:val="center"/>
          </w:tcPr>
          <w:p w14:paraId="16E367A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t>NO</w:t>
            </w:r>
            <w:r>
              <w:rPr>
                <w:rFonts w:ascii="Times New Roman" w:hAnsi="Times New Roman" w:cs="Times New Roman" w:eastAsiaTheme="minorEastAsia"/>
                <w:color w:val="000000" w:themeColor="text1"/>
                <w:w w:val="99"/>
                <w:sz w:val="21"/>
                <w:szCs w:val="21"/>
                <w:vertAlign w:val="subscript"/>
                <w:lang w:val="en-US" w:eastAsia="en-US" w:bidi="ar-SA"/>
                <w14:textFill>
                  <w14:solidFill>
                    <w14:schemeClr w14:val="tx1"/>
                  </w14:solidFill>
                </w14:textFill>
              </w:rPr>
              <w:t>x</w:t>
            </w:r>
          </w:p>
        </w:tc>
        <w:tc>
          <w:tcPr>
            <w:tcW w:w="939" w:type="dxa"/>
            <w:vAlign w:val="center"/>
          </w:tcPr>
          <w:p w14:paraId="2D0BD73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t>t/a</w:t>
            </w:r>
          </w:p>
        </w:tc>
        <w:tc>
          <w:tcPr>
            <w:tcW w:w="1287" w:type="dxa"/>
            <w:vAlign w:val="center"/>
          </w:tcPr>
          <w:p w14:paraId="3A4C549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3.5845</w:t>
            </w:r>
          </w:p>
        </w:tc>
        <w:tc>
          <w:tcPr>
            <w:tcW w:w="1153" w:type="dxa"/>
            <w:vAlign w:val="center"/>
          </w:tcPr>
          <w:p w14:paraId="1D56D9A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1.2108</w:t>
            </w:r>
          </w:p>
        </w:tc>
        <w:tc>
          <w:tcPr>
            <w:tcW w:w="965" w:type="dxa"/>
            <w:vAlign w:val="center"/>
          </w:tcPr>
          <w:p w14:paraId="27E80A7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1383" w:type="dxa"/>
            <w:vAlign w:val="bottom"/>
          </w:tcPr>
          <w:p w14:paraId="0BE5952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val="en-US" w:bidi="ar-SA"/>
                <w14:textFill>
                  <w14:solidFill>
                    <w14:schemeClr w14:val="tx1"/>
                  </w14:solidFill>
                </w14:textFill>
              </w:rPr>
              <w:t>2</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.3737</w:t>
            </w:r>
          </w:p>
        </w:tc>
        <w:tc>
          <w:tcPr>
            <w:tcW w:w="1987" w:type="dxa"/>
            <w:vAlign w:val="center"/>
          </w:tcPr>
          <w:p w14:paraId="0197B59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-1.2108</w:t>
            </w:r>
          </w:p>
        </w:tc>
      </w:tr>
      <w:tr w14:paraId="5118A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66" w:type="dxa"/>
            <w:vAlign w:val="center"/>
          </w:tcPr>
          <w:p w14:paraId="5B37246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t>SO</w:t>
            </w:r>
            <w:r>
              <w:rPr>
                <w:rFonts w:ascii="Times New Roman" w:hAnsi="Times New Roman" w:cs="Times New Roman" w:eastAsiaTheme="minorEastAsia"/>
                <w:color w:val="000000" w:themeColor="text1"/>
                <w:w w:val="99"/>
                <w:sz w:val="21"/>
                <w:szCs w:val="21"/>
                <w:vertAlign w:val="subscript"/>
                <w:lang w:val="en-US" w:eastAsia="en-US" w:bidi="ar-SA"/>
                <w14:textFill>
                  <w14:solidFill>
                    <w14:schemeClr w14:val="tx1"/>
                  </w14:solidFill>
                </w14:textFill>
              </w:rPr>
              <w:t>2</w:t>
            </w:r>
          </w:p>
        </w:tc>
        <w:tc>
          <w:tcPr>
            <w:tcW w:w="939" w:type="dxa"/>
            <w:vAlign w:val="center"/>
          </w:tcPr>
          <w:p w14:paraId="6D7CD67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t>t/a</w:t>
            </w:r>
          </w:p>
        </w:tc>
        <w:tc>
          <w:tcPr>
            <w:tcW w:w="1287" w:type="dxa"/>
            <w:vAlign w:val="center"/>
          </w:tcPr>
          <w:p w14:paraId="693BFD8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0.9932</w:t>
            </w:r>
          </w:p>
        </w:tc>
        <w:tc>
          <w:tcPr>
            <w:tcW w:w="1153" w:type="dxa"/>
            <w:vAlign w:val="center"/>
          </w:tcPr>
          <w:p w14:paraId="3D78FDE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0.3227</w:t>
            </w:r>
          </w:p>
        </w:tc>
        <w:tc>
          <w:tcPr>
            <w:tcW w:w="965" w:type="dxa"/>
            <w:vAlign w:val="center"/>
          </w:tcPr>
          <w:p w14:paraId="65B2528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1383" w:type="dxa"/>
            <w:vAlign w:val="bottom"/>
          </w:tcPr>
          <w:p w14:paraId="0515C2D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val="en-US" w:bidi="ar-SA"/>
                <w14:textFill>
                  <w14:solidFill>
                    <w14:schemeClr w14:val="tx1"/>
                  </w14:solidFill>
                </w14:textFill>
              </w:rPr>
              <w:t>0</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.6705</w:t>
            </w:r>
          </w:p>
        </w:tc>
        <w:tc>
          <w:tcPr>
            <w:tcW w:w="1987" w:type="dxa"/>
            <w:vAlign w:val="center"/>
          </w:tcPr>
          <w:p w14:paraId="2EDF8C5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-0.3227</w:t>
            </w:r>
          </w:p>
        </w:tc>
      </w:tr>
      <w:tr w14:paraId="761AE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66" w:type="dxa"/>
            <w:vAlign w:val="center"/>
          </w:tcPr>
          <w:p w14:paraId="3ACD2ED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t>非甲烷总烃</w:t>
            </w:r>
          </w:p>
        </w:tc>
        <w:tc>
          <w:tcPr>
            <w:tcW w:w="939" w:type="dxa"/>
            <w:vAlign w:val="center"/>
          </w:tcPr>
          <w:p w14:paraId="6C8A63B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t>t/a</w:t>
            </w:r>
          </w:p>
        </w:tc>
        <w:tc>
          <w:tcPr>
            <w:tcW w:w="1287" w:type="dxa"/>
          </w:tcPr>
          <w:p w14:paraId="141F4DA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eastAsia="en-US" w:bidi="ar-SA"/>
                <w14:textFill>
                  <w14:solidFill>
                    <w14:schemeClr w14:val="tx1"/>
                  </w14:solidFill>
                </w14:textFill>
              </w:rPr>
              <w:t>454.92</w:t>
            </w:r>
          </w:p>
        </w:tc>
        <w:tc>
          <w:tcPr>
            <w:tcW w:w="1153" w:type="dxa"/>
          </w:tcPr>
          <w:p w14:paraId="0FF1C22D">
            <w:pPr>
              <w:widowControl/>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383.48</w:t>
            </w:r>
          </w:p>
        </w:tc>
        <w:tc>
          <w:tcPr>
            <w:tcW w:w="965" w:type="dxa"/>
            <w:vAlign w:val="center"/>
          </w:tcPr>
          <w:p w14:paraId="48B3040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0.002</w:t>
            </w:r>
          </w:p>
        </w:tc>
        <w:tc>
          <w:tcPr>
            <w:tcW w:w="1383" w:type="dxa"/>
            <w:vAlign w:val="bottom"/>
          </w:tcPr>
          <w:p w14:paraId="16AE458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eastAsia="en-US" w:bidi="ar-SA"/>
                <w14:textFill>
                  <w14:solidFill>
                    <w14:schemeClr w14:val="tx1"/>
                  </w14:solidFill>
                </w14:textFill>
              </w:rPr>
              <w:t>71.442</w:t>
            </w:r>
          </w:p>
        </w:tc>
        <w:tc>
          <w:tcPr>
            <w:tcW w:w="1987" w:type="dxa"/>
            <w:vAlign w:val="bottom"/>
          </w:tcPr>
          <w:p w14:paraId="36AF173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eastAsia="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eastAsia="en-US" w:bidi="ar-SA"/>
                <w14:textFill>
                  <w14:solidFill>
                    <w14:schemeClr w14:val="tx1"/>
                  </w14:solidFill>
                </w14:textFill>
              </w:rPr>
              <w:t>-383.478</w:t>
            </w:r>
          </w:p>
        </w:tc>
      </w:tr>
    </w:tbl>
    <w:p w14:paraId="565C94F2">
      <w:pPr>
        <w:autoSpaceDE/>
        <w:autoSpaceDN/>
        <w:spacing w:line="440" w:lineRule="exact"/>
        <w:jc w:val="both"/>
        <w:outlineLvl w:val="1"/>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133" w:name="_Toc62550103"/>
      <w:bookmarkStart w:id="134" w:name="_Toc106810321"/>
      <w:bookmarkStart w:id="135" w:name="_Toc74812351"/>
      <w:bookmarkStart w:id="136" w:name="_Toc117794562"/>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3.5清洁生产分析</w:t>
      </w:r>
      <w:bookmarkEnd w:id="133"/>
      <w:bookmarkEnd w:id="134"/>
      <w:bookmarkEnd w:id="135"/>
      <w:bookmarkEnd w:id="136"/>
    </w:p>
    <w:p w14:paraId="51A94DA3">
      <w:pPr>
        <w:autoSpaceDE/>
        <w:autoSpaceDN/>
        <w:spacing w:line="440" w:lineRule="exact"/>
        <w:jc w:val="both"/>
        <w:outlineLvl w:val="2"/>
        <w:rPr>
          <w:rFonts w:ascii="Times New Roman" w:hAnsi="Times New Roman" w:cs="Times New Roman" w:eastAsiaTheme="minorEastAsia"/>
          <w:b/>
          <w:bCs/>
          <w:color w:val="000000" w:themeColor="text1"/>
          <w:w w:val="99"/>
          <w:kern w:val="2"/>
          <w:sz w:val="24"/>
          <w:szCs w:val="24"/>
          <w:lang w:val="en-US" w:bidi="ar-SA"/>
          <w14:textFill>
            <w14:solidFill>
              <w14:schemeClr w14:val="tx1"/>
            </w14:solidFill>
          </w14:textFill>
        </w:rPr>
      </w:pPr>
      <w:bookmarkStart w:id="137" w:name="_Toc106810324"/>
      <w:bookmarkStart w:id="138" w:name="_Toc85640780"/>
      <w:bookmarkStart w:id="139" w:name="_Toc83209501"/>
      <w:bookmarkStart w:id="140" w:name="_Toc100822138"/>
      <w:bookmarkStart w:id="141" w:name="_Toc77067682"/>
      <w:bookmarkStart w:id="142" w:name="_Toc76976270"/>
      <w:bookmarkStart w:id="143" w:name="_Toc103610897"/>
      <w:bookmarkStart w:id="144" w:name="_Toc86141955"/>
      <w:bookmarkStart w:id="145" w:name="_Toc117794563"/>
      <w:bookmarkStart w:id="146" w:name="_Toc84929256"/>
      <w:bookmarkStart w:id="147" w:name="_Toc80588279"/>
      <w:bookmarkStart w:id="148" w:name="_Toc78816484"/>
      <w:bookmarkStart w:id="149" w:name="_Toc80971401"/>
      <w:r>
        <w:rPr>
          <w:rFonts w:ascii="Times New Roman" w:hAnsi="Times New Roman" w:cs="Times New Roman" w:eastAsiaTheme="minorEastAsia"/>
          <w:b/>
          <w:bCs/>
          <w:color w:val="000000" w:themeColor="text1"/>
          <w:w w:val="99"/>
          <w:kern w:val="2"/>
          <w:sz w:val="24"/>
          <w:szCs w:val="24"/>
          <w:lang w:val="en-US" w:bidi="ar-SA"/>
          <w14:textFill>
            <w14:solidFill>
              <w14:schemeClr w14:val="tx1"/>
            </w14:solidFill>
          </w14:textFill>
        </w:rPr>
        <w:t>3.5.1油气集输的清洁生产</w:t>
      </w:r>
      <w:bookmarkEnd w:id="137"/>
      <w:bookmarkEnd w:id="138"/>
      <w:bookmarkEnd w:id="139"/>
      <w:bookmarkEnd w:id="140"/>
      <w:bookmarkEnd w:id="141"/>
      <w:bookmarkEnd w:id="142"/>
      <w:bookmarkEnd w:id="143"/>
      <w:bookmarkEnd w:id="144"/>
      <w:bookmarkEnd w:id="145"/>
      <w:bookmarkEnd w:id="146"/>
      <w:bookmarkEnd w:id="147"/>
      <w:bookmarkEnd w:id="148"/>
      <w:bookmarkEnd w:id="149"/>
    </w:p>
    <w:p w14:paraId="67143C3B">
      <w:pPr>
        <w:tabs>
          <w:tab w:val="left" w:pos="5262"/>
        </w:tabs>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（1）优化布局</w:t>
      </w:r>
    </w:p>
    <w:p w14:paraId="0E57915B">
      <w:pPr>
        <w:tabs>
          <w:tab w:val="left" w:pos="5262"/>
        </w:tabs>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集输系统的优化主要采用优化布站理论和管网优化理论，依托井组密闭增压技术、集输半径界定技术，最大限度的实现油田地面系统的最优化布局。</w:t>
      </w:r>
    </w:p>
    <w:p w14:paraId="50701571">
      <w:pPr>
        <w:tabs>
          <w:tab w:val="left" w:pos="5262"/>
        </w:tabs>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本工程开发采取总体方案设计、总体布局，结合当地地形地貌特征，合理确定线路位置和走向，最大限度的减少地面工程建设投资。</w:t>
      </w:r>
    </w:p>
    <w:p w14:paraId="76F37188">
      <w:pPr>
        <w:tabs>
          <w:tab w:val="left" w:pos="5262"/>
        </w:tabs>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针对本项目油田开发的特点，并结合当地自然地形和集油工艺特点，集输系统主要采用以联合站为中心，转油站、脱水站为骨架，按二级或三级布站形式汇集成地面原油集输管网体系。井场管线集油格局，以适应整个产建工程开发区域自然地形特点和开发需要。</w:t>
      </w:r>
    </w:p>
    <w:p w14:paraId="7457544E">
      <w:pPr>
        <w:tabs>
          <w:tab w:val="left" w:pos="5262"/>
        </w:tabs>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（2）油气集输采用全密闭集输流程</w:t>
      </w:r>
    </w:p>
    <w:p w14:paraId="554A35BC">
      <w:pPr>
        <w:tabs>
          <w:tab w:val="left" w:pos="5262"/>
        </w:tabs>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本项目开发首先敷设集输管线，以保证投产井能立即进入集输流程。集输管线全密闭。</w:t>
      </w:r>
    </w:p>
    <w:p w14:paraId="62757F6E">
      <w:pPr>
        <w:tabs>
          <w:tab w:val="left" w:pos="5262"/>
        </w:tabs>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（3）集输管线等系统施工完成后立即复垦绿化，植被恢复率要达到90%以上，可有效降低工程施工对环境的影响。</w:t>
      </w:r>
    </w:p>
    <w:p w14:paraId="50A67F78">
      <w:pPr>
        <w:autoSpaceDE/>
        <w:autoSpaceDN/>
        <w:spacing w:line="440" w:lineRule="exact"/>
        <w:jc w:val="both"/>
        <w:outlineLvl w:val="2"/>
        <w:rPr>
          <w:rFonts w:ascii="Times New Roman" w:hAnsi="Times New Roman" w:cs="Times New Roman" w:eastAsiaTheme="minorEastAsia"/>
          <w:b/>
          <w:bCs/>
          <w:color w:val="000000" w:themeColor="text1"/>
          <w:w w:val="99"/>
          <w:kern w:val="2"/>
          <w:sz w:val="24"/>
          <w:szCs w:val="24"/>
          <w:lang w:val="en-US" w:bidi="ar-SA"/>
          <w14:textFill>
            <w14:solidFill>
              <w14:schemeClr w14:val="tx1"/>
            </w14:solidFill>
          </w14:textFill>
        </w:rPr>
      </w:pPr>
      <w:bookmarkStart w:id="150" w:name="_Toc80588280"/>
      <w:bookmarkStart w:id="151" w:name="_Toc117794564"/>
      <w:bookmarkStart w:id="152" w:name="_Toc100822139"/>
      <w:bookmarkStart w:id="153" w:name="_Toc76976271"/>
      <w:bookmarkStart w:id="154" w:name="_Toc84929257"/>
      <w:bookmarkStart w:id="155" w:name="_Toc86141956"/>
      <w:bookmarkStart w:id="156" w:name="_Toc78816485"/>
      <w:bookmarkStart w:id="157" w:name="_Toc83209502"/>
      <w:bookmarkStart w:id="158" w:name="_Toc103610898"/>
      <w:bookmarkStart w:id="159" w:name="_Toc77067683"/>
      <w:bookmarkStart w:id="160" w:name="_Toc80971402"/>
      <w:bookmarkStart w:id="161" w:name="_Toc106810325"/>
      <w:bookmarkStart w:id="162" w:name="_Toc85640781"/>
      <w:r>
        <w:rPr>
          <w:rFonts w:ascii="Times New Roman" w:hAnsi="Times New Roman" w:cs="Times New Roman" w:eastAsiaTheme="minorEastAsia"/>
          <w:b/>
          <w:bCs/>
          <w:color w:val="000000" w:themeColor="text1"/>
          <w:w w:val="99"/>
          <w:kern w:val="2"/>
          <w:sz w:val="24"/>
          <w:szCs w:val="24"/>
          <w:lang w:val="en-US" w:bidi="ar-SA"/>
          <w14:textFill>
            <w14:solidFill>
              <w14:schemeClr w14:val="tx1"/>
            </w14:solidFill>
          </w14:textFill>
        </w:rPr>
        <w:t>3.5.2先进的环境管理</w:t>
      </w:r>
      <w:bookmarkEnd w:id="150"/>
      <w:bookmarkEnd w:id="151"/>
      <w:bookmarkEnd w:id="152"/>
      <w:bookmarkEnd w:id="153"/>
      <w:bookmarkEnd w:id="154"/>
      <w:bookmarkEnd w:id="155"/>
      <w:bookmarkEnd w:id="156"/>
      <w:bookmarkEnd w:id="157"/>
      <w:bookmarkEnd w:id="158"/>
      <w:bookmarkEnd w:id="159"/>
      <w:bookmarkEnd w:id="160"/>
      <w:bookmarkEnd w:id="161"/>
      <w:bookmarkEnd w:id="162"/>
    </w:p>
    <w:p w14:paraId="1E74F6A3">
      <w:pPr>
        <w:tabs>
          <w:tab w:val="left" w:pos="5262"/>
        </w:tabs>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本项目在实施过程中，积极推行HSE管理体系，对项目实施HSE管理，同时对全体员工进行相应的HSE培训，使职工自觉遵守HSE管理体系并积极保护其人身安全和周围环境，尽量减少直至杜绝环境污染事故的发生。</w:t>
      </w:r>
    </w:p>
    <w:p w14:paraId="08268F1B">
      <w:pPr>
        <w:tabs>
          <w:tab w:val="left" w:pos="5262"/>
        </w:tabs>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通过与《石油天然气开采业污染防治技术政策》对比分析本项目清洁生产水平，本项目与《石油天然气开采业污染防治技术政策》中对清洁生产的各项指标对比见表3.12-1。</w:t>
      </w:r>
    </w:p>
    <w:p w14:paraId="6D800EB5">
      <w:pPr>
        <w:autoSpaceDE/>
        <w:autoSpaceDN/>
        <w:spacing w:line="440" w:lineRule="exact"/>
        <w:ind w:firstLine="476" w:firstLineChars="200"/>
        <w:rPr>
          <w:rFonts w:ascii="Times New Roman" w:hAnsi="Times New Roman" w:cs="Times New Roman" w:eastAsiaTheme="minorEastAsia"/>
          <w:b/>
          <w:bCs/>
          <w:color w:val="000000" w:themeColor="text1"/>
          <w:w w:val="99"/>
          <w:sz w:val="24"/>
          <w:szCs w:val="24"/>
          <w:lang w:val="en-US" w:bidi="ar-SA"/>
          <w14:textFill>
            <w14:solidFill>
              <w14:schemeClr w14:val="tx1"/>
            </w14:solidFill>
          </w14:textFill>
        </w:rPr>
      </w:pPr>
    </w:p>
    <w:p w14:paraId="36F33216">
      <w:pPr>
        <w:autoSpaceDE/>
        <w:autoSpaceDN/>
        <w:spacing w:line="440" w:lineRule="exact"/>
        <w:ind w:firstLine="476" w:firstLineChars="200"/>
        <w:rPr>
          <w:rFonts w:ascii="Times New Roman" w:hAnsi="Times New Roman" w:cs="Times New Roman" w:eastAsiaTheme="minorEastAsia"/>
          <w:b/>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
          <w:bCs/>
          <w:color w:val="000000" w:themeColor="text1"/>
          <w:w w:val="99"/>
          <w:sz w:val="24"/>
          <w:szCs w:val="24"/>
          <w:lang w:val="en-US" w:bidi="ar-SA"/>
          <w14:textFill>
            <w14:solidFill>
              <w14:schemeClr w14:val="tx1"/>
            </w14:solidFill>
          </w14:textFill>
        </w:rPr>
        <w:t>表3.5-1    清洁生产分析一览表</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44"/>
        <w:gridCol w:w="5318"/>
        <w:gridCol w:w="2646"/>
        <w:gridCol w:w="582"/>
      </w:tblGrid>
      <w:tr w14:paraId="58EC7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401" w:type="pct"/>
            <w:vAlign w:val="center"/>
          </w:tcPr>
          <w:p w14:paraId="2AD55740">
            <w:pPr>
              <w:autoSpaceDE/>
              <w:autoSpaceDN/>
              <w:spacing w:line="300" w:lineRule="exact"/>
              <w:jc w:val="center"/>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t>序号</w:t>
            </w:r>
          </w:p>
        </w:tc>
        <w:tc>
          <w:tcPr>
            <w:tcW w:w="2862" w:type="pct"/>
            <w:vAlign w:val="center"/>
          </w:tcPr>
          <w:p w14:paraId="5581033F">
            <w:pPr>
              <w:autoSpaceDE/>
              <w:autoSpaceDN/>
              <w:spacing w:line="300" w:lineRule="exact"/>
              <w:jc w:val="center"/>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t>《石油天然气开采业污染防治技术政策》有关清洁生产的要求</w:t>
            </w:r>
          </w:p>
        </w:tc>
        <w:tc>
          <w:tcPr>
            <w:tcW w:w="1424" w:type="pct"/>
            <w:vAlign w:val="center"/>
          </w:tcPr>
          <w:p w14:paraId="51666F49">
            <w:pPr>
              <w:autoSpaceDE/>
              <w:autoSpaceDN/>
              <w:spacing w:line="300" w:lineRule="exact"/>
              <w:jc w:val="center"/>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t>本项目处理方式</w:t>
            </w:r>
          </w:p>
        </w:tc>
        <w:tc>
          <w:tcPr>
            <w:tcW w:w="314" w:type="pct"/>
            <w:vAlign w:val="center"/>
          </w:tcPr>
          <w:p w14:paraId="61C836D5">
            <w:pPr>
              <w:autoSpaceDE/>
              <w:autoSpaceDN/>
              <w:spacing w:line="300" w:lineRule="exact"/>
              <w:jc w:val="center"/>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t>符合性</w:t>
            </w:r>
          </w:p>
        </w:tc>
      </w:tr>
      <w:tr w14:paraId="5C065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401" w:type="pct"/>
            <w:vAlign w:val="center"/>
          </w:tcPr>
          <w:p w14:paraId="02C928F0">
            <w:pPr>
              <w:autoSpaceDE/>
              <w:autoSpaceDN/>
              <w:spacing w:line="300" w:lineRule="exact"/>
              <w:jc w:val="center"/>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t>1</w:t>
            </w:r>
          </w:p>
        </w:tc>
        <w:tc>
          <w:tcPr>
            <w:tcW w:w="2862" w:type="pct"/>
            <w:vAlign w:val="center"/>
          </w:tcPr>
          <w:p w14:paraId="7A343356">
            <w:pPr>
              <w:autoSpaceDE/>
              <w:autoSpaceDN/>
              <w:spacing w:line="300" w:lineRule="exact"/>
              <w:jc w:val="center"/>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t>油气田建设应总体规划，优化布局，整体开发，减少占地和油气损失，实现油气和废物的集中收集、处理处置</w:t>
            </w:r>
          </w:p>
        </w:tc>
        <w:tc>
          <w:tcPr>
            <w:tcW w:w="1424" w:type="pct"/>
            <w:vAlign w:val="center"/>
          </w:tcPr>
          <w:p w14:paraId="3FA25445">
            <w:pPr>
              <w:autoSpaceDE/>
              <w:autoSpaceDN/>
              <w:spacing w:line="300" w:lineRule="exact"/>
              <w:jc w:val="both"/>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为减少油气损失，避免石油气放空，本项目拟拆除拉油点，新建集油管线，将原油集中集输处理。</w:t>
            </w:r>
          </w:p>
        </w:tc>
        <w:tc>
          <w:tcPr>
            <w:tcW w:w="314" w:type="pct"/>
            <w:vAlign w:val="center"/>
          </w:tcPr>
          <w:p w14:paraId="5187A65E">
            <w:pPr>
              <w:autoSpaceDE/>
              <w:autoSpaceDN/>
              <w:spacing w:line="300" w:lineRule="exact"/>
              <w:jc w:val="center"/>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t>符合</w:t>
            </w:r>
          </w:p>
        </w:tc>
      </w:tr>
      <w:tr w14:paraId="24692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401" w:type="pct"/>
            <w:vAlign w:val="center"/>
          </w:tcPr>
          <w:p w14:paraId="1D27C361">
            <w:pPr>
              <w:autoSpaceDE/>
              <w:autoSpaceDN/>
              <w:spacing w:line="300" w:lineRule="exact"/>
              <w:jc w:val="center"/>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t>2</w:t>
            </w:r>
          </w:p>
        </w:tc>
        <w:tc>
          <w:tcPr>
            <w:tcW w:w="2862" w:type="pct"/>
            <w:vAlign w:val="center"/>
          </w:tcPr>
          <w:p w14:paraId="197F0F12">
            <w:pPr>
              <w:autoSpaceDE/>
              <w:autoSpaceDN/>
              <w:spacing w:line="300" w:lineRule="exact"/>
              <w:jc w:val="center"/>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t>在开发过程中，适宜注水开采的油气田，应将采出水处理满足标准后回注；对于稠油注气开采，鼓励采出水处理后回注于注气锅炉</w:t>
            </w:r>
          </w:p>
        </w:tc>
        <w:tc>
          <w:tcPr>
            <w:tcW w:w="1424" w:type="pct"/>
            <w:vAlign w:val="center"/>
          </w:tcPr>
          <w:p w14:paraId="3A71ED2C">
            <w:pPr>
              <w:autoSpaceDE/>
              <w:autoSpaceDN/>
              <w:spacing w:line="300" w:lineRule="exact"/>
              <w:jc w:val="both"/>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t>本项目管线试压废水由罐车拉运至龙一联含油污水处理站处理达标后回注油层</w:t>
            </w: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w:t>
            </w:r>
          </w:p>
        </w:tc>
        <w:tc>
          <w:tcPr>
            <w:tcW w:w="314" w:type="pct"/>
            <w:vAlign w:val="center"/>
          </w:tcPr>
          <w:p w14:paraId="3FA47D56">
            <w:pPr>
              <w:autoSpaceDE/>
              <w:autoSpaceDN/>
              <w:spacing w:line="300" w:lineRule="exact"/>
              <w:jc w:val="center"/>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t>符合</w:t>
            </w:r>
          </w:p>
        </w:tc>
      </w:tr>
      <w:tr w14:paraId="4CB7E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401" w:type="pct"/>
            <w:vMerge w:val="restart"/>
            <w:vAlign w:val="center"/>
          </w:tcPr>
          <w:p w14:paraId="716DDF38">
            <w:pPr>
              <w:autoSpaceDE/>
              <w:autoSpaceDN/>
              <w:spacing w:line="300" w:lineRule="exact"/>
              <w:jc w:val="center"/>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t>3</w:t>
            </w:r>
          </w:p>
        </w:tc>
        <w:tc>
          <w:tcPr>
            <w:tcW w:w="2862" w:type="pct"/>
            <w:vAlign w:val="center"/>
          </w:tcPr>
          <w:p w14:paraId="1F19653A">
            <w:pPr>
              <w:autoSpaceDE/>
              <w:autoSpaceDN/>
              <w:spacing w:line="300" w:lineRule="exact"/>
              <w:jc w:val="center"/>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t>在油气集输过程中，应采用密闭流程，减少烃类气体排放。新建3000m</w:t>
            </w:r>
            <w:r>
              <w:rPr>
                <w:rFonts w:ascii="Times New Roman" w:hAnsi="Times New Roman" w:cs="Times New Roman" w:eastAsiaTheme="minorEastAsia"/>
                <w:color w:val="000000" w:themeColor="text1"/>
                <w:w w:val="99"/>
                <w:kern w:val="2"/>
                <w:sz w:val="21"/>
                <w:szCs w:val="24"/>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t>及以上原油储罐应采用浮顶型式，新、改、扩建油气储罐应安装泄漏报警系统</w:t>
            </w:r>
          </w:p>
        </w:tc>
        <w:tc>
          <w:tcPr>
            <w:tcW w:w="1424" w:type="pct"/>
            <w:vMerge w:val="restart"/>
            <w:vAlign w:val="center"/>
          </w:tcPr>
          <w:p w14:paraId="2C4D1B8B">
            <w:pPr>
              <w:autoSpaceDE/>
              <w:autoSpaceDN/>
              <w:spacing w:line="300" w:lineRule="exact"/>
              <w:jc w:val="both"/>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t>本项目新建集油管道，油气集输采用密闭工艺，油气集输过程中烃类挥发系数为1.4175‰，集输损耗率小于0.5%。</w:t>
            </w:r>
          </w:p>
        </w:tc>
        <w:tc>
          <w:tcPr>
            <w:tcW w:w="314" w:type="pct"/>
            <w:vMerge w:val="restart"/>
            <w:vAlign w:val="center"/>
          </w:tcPr>
          <w:p w14:paraId="25266330">
            <w:pPr>
              <w:autoSpaceDE/>
              <w:autoSpaceDN/>
              <w:spacing w:line="300" w:lineRule="exact"/>
              <w:jc w:val="center"/>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t>符合</w:t>
            </w:r>
          </w:p>
        </w:tc>
      </w:tr>
      <w:tr w14:paraId="6CD4E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401" w:type="pct"/>
            <w:vMerge w:val="continue"/>
            <w:vAlign w:val="center"/>
          </w:tcPr>
          <w:p w14:paraId="46C1178E">
            <w:pPr>
              <w:autoSpaceDE/>
              <w:autoSpaceDN/>
              <w:spacing w:line="300" w:lineRule="exact"/>
              <w:jc w:val="center"/>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pPr>
          </w:p>
        </w:tc>
        <w:tc>
          <w:tcPr>
            <w:tcW w:w="2862" w:type="pct"/>
            <w:vAlign w:val="center"/>
          </w:tcPr>
          <w:p w14:paraId="78B18783">
            <w:pPr>
              <w:autoSpaceDE/>
              <w:autoSpaceDN/>
              <w:spacing w:line="300" w:lineRule="exact"/>
              <w:jc w:val="center"/>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t>新、改、扩建油气田油气集输损耗不高于 0.5%，2010 年 12 月 31 日前建设的油气田油气集输损耗不高于 0.8%</w:t>
            </w:r>
          </w:p>
        </w:tc>
        <w:tc>
          <w:tcPr>
            <w:tcW w:w="1424" w:type="pct"/>
            <w:vMerge w:val="continue"/>
            <w:vAlign w:val="center"/>
          </w:tcPr>
          <w:p w14:paraId="4DA8A021">
            <w:pPr>
              <w:autoSpaceDE/>
              <w:autoSpaceDN/>
              <w:spacing w:line="300" w:lineRule="exact"/>
              <w:jc w:val="both"/>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pPr>
          </w:p>
        </w:tc>
        <w:tc>
          <w:tcPr>
            <w:tcW w:w="314" w:type="pct"/>
            <w:vMerge w:val="continue"/>
            <w:vAlign w:val="center"/>
          </w:tcPr>
          <w:p w14:paraId="5913EF6C">
            <w:pPr>
              <w:autoSpaceDE/>
              <w:autoSpaceDN/>
              <w:spacing w:line="300" w:lineRule="exact"/>
              <w:jc w:val="center"/>
              <w:rPr>
                <w:rFonts w:ascii="Times New Roman" w:hAnsi="Times New Roman" w:cs="Times New Roman" w:eastAsiaTheme="minorEastAsia"/>
                <w:color w:val="000000" w:themeColor="text1"/>
                <w:w w:val="99"/>
                <w:kern w:val="2"/>
                <w:sz w:val="21"/>
                <w:szCs w:val="24"/>
                <w:lang w:val="en-US" w:bidi="ar-SA"/>
                <w14:textFill>
                  <w14:solidFill>
                    <w14:schemeClr w14:val="tx1"/>
                  </w14:solidFill>
                </w14:textFill>
              </w:rPr>
            </w:pPr>
          </w:p>
        </w:tc>
      </w:tr>
    </w:tbl>
    <w:p w14:paraId="298C4BAD">
      <w:pPr>
        <w:autoSpaceDE/>
        <w:autoSpaceDN/>
        <w:spacing w:before="180" w:after="180" w:line="500" w:lineRule="exact"/>
        <w:jc w:val="both"/>
        <w:outlineLvl w:val="0"/>
        <w:rPr>
          <w:rFonts w:ascii="Times New Roman" w:hAnsi="Times New Roman" w:cs="Times New Roman" w:eastAsiaTheme="minorEastAsia"/>
          <w:b/>
          <w:snapToGrid w:val="0"/>
          <w:color w:val="000000" w:themeColor="text1"/>
          <w:w w:val="99"/>
          <w:kern w:val="2"/>
          <w:sz w:val="30"/>
          <w:szCs w:val="30"/>
          <w:lang w:val="en-US" w:bidi="ar-SA"/>
          <w14:textFill>
            <w14:solidFill>
              <w14:schemeClr w14:val="tx1"/>
            </w14:solidFill>
          </w14:textFill>
        </w:rPr>
        <w:sectPr>
          <w:footerReference r:id="rId6" w:type="default"/>
          <w:type w:val="nextColumn"/>
          <w:pgSz w:w="11910" w:h="16840"/>
          <w:pgMar w:top="1418" w:right="1418" w:bottom="1418" w:left="1418" w:header="878" w:footer="567" w:gutter="0"/>
          <w:cols w:space="720" w:num="1"/>
          <w:docGrid w:linePitch="299" w:charSpace="0"/>
        </w:sectPr>
      </w:pPr>
    </w:p>
    <w:p w14:paraId="5162368D">
      <w:pPr>
        <w:autoSpaceDE/>
        <w:autoSpaceDN/>
        <w:spacing w:before="180" w:after="180" w:line="440" w:lineRule="exact"/>
        <w:outlineLvl w:val="0"/>
        <w:rPr>
          <w:rFonts w:ascii="Times New Roman" w:hAnsi="Times New Roman" w:cs="Times New Roman" w:eastAsiaTheme="minorEastAsia"/>
          <w:b/>
          <w:snapToGrid w:val="0"/>
          <w:color w:val="000000" w:themeColor="text1"/>
          <w:w w:val="99"/>
          <w:kern w:val="2"/>
          <w:sz w:val="30"/>
          <w:szCs w:val="30"/>
          <w:lang w:val="zh-CN" w:eastAsia="zh-CN" w:bidi="ar-SA"/>
          <w14:textFill>
            <w14:solidFill>
              <w14:schemeClr w14:val="tx1"/>
            </w14:solidFill>
          </w14:textFill>
        </w:rPr>
      </w:pPr>
      <w:bookmarkStart w:id="163" w:name="_bookmark25"/>
      <w:bookmarkEnd w:id="163"/>
      <w:bookmarkStart w:id="164" w:name="_Toc101795890"/>
      <w:bookmarkStart w:id="165" w:name="_Toc502736485"/>
      <w:bookmarkStart w:id="166" w:name="_Toc117794565"/>
      <w:r>
        <w:rPr>
          <w:rFonts w:ascii="Times New Roman" w:hAnsi="Times New Roman" w:cs="Times New Roman" w:eastAsiaTheme="minorEastAsia"/>
          <w:b/>
          <w:snapToGrid w:val="0"/>
          <w:color w:val="000000" w:themeColor="text1"/>
          <w:w w:val="99"/>
          <w:kern w:val="2"/>
          <w:sz w:val="30"/>
          <w:szCs w:val="30"/>
          <w:lang w:val="zh-CN" w:eastAsia="zh-CN" w:bidi="ar-SA"/>
          <w14:textFill>
            <w14:solidFill>
              <w14:schemeClr w14:val="tx1"/>
            </w14:solidFill>
          </w14:textFill>
        </w:rPr>
        <w:t>4环境现状调查与评价</w:t>
      </w:r>
      <w:bookmarkEnd w:id="164"/>
      <w:bookmarkEnd w:id="165"/>
      <w:bookmarkEnd w:id="166"/>
    </w:p>
    <w:p w14:paraId="3FD39E75">
      <w:pPr>
        <w:autoSpaceDE/>
        <w:autoSpaceDN/>
        <w:spacing w:before="120" w:after="120" w:line="440" w:lineRule="exact"/>
        <w:outlineLvl w:val="1"/>
        <w:rPr>
          <w:rFonts w:ascii="Times New Roman" w:hAnsi="Times New Roman" w:cs="Times New Roman" w:eastAsiaTheme="minorEastAsia"/>
          <w:b/>
          <w:bCs/>
          <w:snapToGrid w:val="0"/>
          <w:color w:val="000000" w:themeColor="text1"/>
          <w:w w:val="99"/>
          <w:sz w:val="28"/>
          <w:szCs w:val="32"/>
          <w:lang w:val="zh-CN" w:eastAsia="zh-CN" w:bidi="ar-SA"/>
          <w14:textFill>
            <w14:solidFill>
              <w14:schemeClr w14:val="tx1"/>
            </w14:solidFill>
          </w14:textFill>
        </w:rPr>
      </w:pPr>
      <w:bookmarkStart w:id="167" w:name="_Toc475378598"/>
      <w:bookmarkStart w:id="168" w:name="_Toc502736486"/>
      <w:bookmarkStart w:id="169" w:name="_Toc117794566"/>
      <w:bookmarkStart w:id="170" w:name="_Toc101795891"/>
      <w:bookmarkStart w:id="171" w:name="_Toc296952023"/>
      <w:bookmarkStart w:id="172" w:name="_Toc449393546"/>
      <w:bookmarkStart w:id="173" w:name="_Toc127950100"/>
      <w:bookmarkStart w:id="174" w:name="_Toc472590896"/>
      <w:bookmarkStart w:id="175" w:name="_Toc101092159"/>
      <w:bookmarkStart w:id="176" w:name="_Toc255391947"/>
      <w:bookmarkStart w:id="177" w:name="_Toc472585619"/>
      <w:r>
        <w:rPr>
          <w:rFonts w:ascii="Times New Roman" w:hAnsi="Times New Roman" w:cs="Times New Roman" w:eastAsiaTheme="minorEastAsia"/>
          <w:b/>
          <w:bCs/>
          <w:snapToGrid w:val="0"/>
          <w:color w:val="000000" w:themeColor="text1"/>
          <w:w w:val="99"/>
          <w:sz w:val="28"/>
          <w:szCs w:val="32"/>
          <w:lang w:val="zh-CN" w:eastAsia="zh-CN" w:bidi="ar-SA"/>
          <w14:textFill>
            <w14:solidFill>
              <w14:schemeClr w14:val="tx1"/>
            </w14:solidFill>
          </w14:textFill>
        </w:rPr>
        <w:t>4.1自然环境</w:t>
      </w:r>
      <w:bookmarkEnd w:id="167"/>
      <w:bookmarkEnd w:id="168"/>
      <w:r>
        <w:rPr>
          <w:rFonts w:ascii="Times New Roman" w:hAnsi="Times New Roman" w:cs="Times New Roman" w:eastAsiaTheme="minorEastAsia"/>
          <w:b/>
          <w:bCs/>
          <w:snapToGrid w:val="0"/>
          <w:color w:val="000000" w:themeColor="text1"/>
          <w:w w:val="99"/>
          <w:sz w:val="28"/>
          <w:szCs w:val="32"/>
          <w:lang w:val="zh-CN" w:eastAsia="zh-CN" w:bidi="ar-SA"/>
          <w14:textFill>
            <w14:solidFill>
              <w14:schemeClr w14:val="tx1"/>
            </w14:solidFill>
          </w14:textFill>
        </w:rPr>
        <w:t>状况</w:t>
      </w:r>
      <w:bookmarkEnd w:id="169"/>
      <w:bookmarkEnd w:id="170"/>
    </w:p>
    <w:bookmarkEnd w:id="171"/>
    <w:bookmarkEnd w:id="172"/>
    <w:bookmarkEnd w:id="173"/>
    <w:bookmarkEnd w:id="174"/>
    <w:bookmarkEnd w:id="175"/>
    <w:bookmarkEnd w:id="176"/>
    <w:bookmarkEnd w:id="177"/>
    <w:p w14:paraId="3472C32D">
      <w:pPr>
        <w:autoSpaceDE/>
        <w:autoSpaceDN/>
        <w:spacing w:before="60" w:after="60" w:line="440" w:lineRule="exact"/>
        <w:jc w:val="both"/>
        <w:outlineLvl w:val="2"/>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pPr>
      <w:bookmarkStart w:id="178" w:name="_Toc117794567"/>
      <w:bookmarkStart w:id="179" w:name="_Toc244329286"/>
      <w:bookmarkStart w:id="180" w:name="_Toc244330526"/>
      <w:bookmarkStart w:id="181" w:name="_Toc57203273"/>
      <w:bookmarkStart w:id="182" w:name="_Toc57976695"/>
      <w:bookmarkStart w:id="183" w:name="_Toc17898192"/>
      <w:bookmarkStart w:id="184" w:name="_Toc57707943"/>
      <w:bookmarkStart w:id="185" w:name="_Toc244330360"/>
      <w:bookmarkStart w:id="186" w:name="_Toc70050207"/>
      <w:bookmarkStart w:id="187" w:name="_Toc67860158"/>
      <w:bookmarkStart w:id="188" w:name="_Toc422224741"/>
      <w:bookmarkStart w:id="189" w:name="_Toc61597257"/>
      <w:bookmarkStart w:id="190" w:name="_Toc402352943"/>
      <w:r>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t>4.1.1地理位置</w:t>
      </w:r>
      <w:bookmarkEnd w:id="178"/>
      <w:bookmarkEnd w:id="179"/>
      <w:bookmarkEnd w:id="180"/>
      <w:bookmarkEnd w:id="181"/>
      <w:bookmarkEnd w:id="182"/>
      <w:bookmarkEnd w:id="183"/>
      <w:bookmarkEnd w:id="184"/>
      <w:bookmarkEnd w:id="185"/>
      <w:bookmarkEnd w:id="186"/>
      <w:bookmarkEnd w:id="187"/>
      <w:bookmarkEnd w:id="188"/>
      <w:bookmarkEnd w:id="189"/>
      <w:bookmarkEnd w:id="190"/>
    </w:p>
    <w:p w14:paraId="31B65291">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本项目位于大庆市</w:t>
      </w:r>
      <w:r>
        <w:rPr>
          <w:rFonts w:hint="eastAsia" w:ascii="Times New Roman" w:hAnsi="Times New Roman" w:cs="Times New Roman" w:eastAsiaTheme="minorEastAsia"/>
          <w:color w:val="000000" w:themeColor="text1"/>
          <w:w w:val="99"/>
          <w:sz w:val="24"/>
          <w:szCs w:val="24"/>
          <w:lang w:val="en-US" w:eastAsia="zh-CN" w:bidi="ar-SA"/>
          <w14:textFill>
            <w14:solidFill>
              <w14:schemeClr w14:val="tx1"/>
            </w14:solidFill>
          </w14:textFill>
        </w:rPr>
        <w:t>红岗区杏树岗镇</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杏树岗村周边，地理坐标为东经124°23′49.75″~124°26′51.88″，北纬46°17′2.68″~46°21′46.95″。具体地理位置见附图1。</w:t>
      </w:r>
    </w:p>
    <w:p w14:paraId="3A8A4783">
      <w:pPr>
        <w:autoSpaceDE/>
        <w:autoSpaceDN/>
        <w:spacing w:before="60" w:after="60" w:line="440" w:lineRule="exact"/>
        <w:jc w:val="both"/>
        <w:outlineLvl w:val="2"/>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pPr>
      <w:bookmarkStart w:id="191" w:name="_Toc67860159"/>
      <w:bookmarkStart w:id="192" w:name="_Toc70050208"/>
      <w:bookmarkStart w:id="193" w:name="_Toc57203274"/>
      <w:bookmarkStart w:id="194" w:name="_Toc61597258"/>
      <w:bookmarkStart w:id="195" w:name="_Toc57976696"/>
      <w:bookmarkStart w:id="196" w:name="_Toc57707944"/>
      <w:bookmarkStart w:id="197" w:name="_Toc117794568"/>
      <w:bookmarkStart w:id="198" w:name="_Toc17898193"/>
      <w:r>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t>4.1.2地形地貌</w:t>
      </w:r>
      <w:bookmarkEnd w:id="191"/>
      <w:bookmarkEnd w:id="192"/>
      <w:bookmarkEnd w:id="193"/>
      <w:bookmarkEnd w:id="194"/>
      <w:bookmarkEnd w:id="195"/>
      <w:bookmarkEnd w:id="196"/>
      <w:bookmarkEnd w:id="197"/>
      <w:bookmarkEnd w:id="198"/>
    </w:p>
    <w:p w14:paraId="65E64753">
      <w:pPr>
        <w:widowControl/>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本项目地处松嫩平原西部，草原广阔，无山无岭，地势平坦，西南偏低，东北偏高，海拔高度在126-165m之间，地貌表现为波状起伏的平原，高处为平缓漫岗，低处是沼泽以及大大小小的碱泡子。</w:t>
      </w:r>
    </w:p>
    <w:p w14:paraId="4E4B3A15">
      <w:pPr>
        <w:autoSpaceDE/>
        <w:autoSpaceDN/>
        <w:spacing w:before="60" w:after="60" w:line="440" w:lineRule="exact"/>
        <w:jc w:val="both"/>
        <w:outlineLvl w:val="2"/>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pPr>
      <w:bookmarkStart w:id="199" w:name="_Toc70050209"/>
      <w:bookmarkStart w:id="200" w:name="_Toc61597259"/>
      <w:bookmarkStart w:id="201" w:name="_Toc117794569"/>
      <w:bookmarkStart w:id="202" w:name="_Toc67860160"/>
      <w:bookmarkStart w:id="203" w:name="_Toc57203275"/>
      <w:bookmarkStart w:id="204" w:name="_Toc57707945"/>
      <w:bookmarkStart w:id="205" w:name="_Toc57976697"/>
      <w:r>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t>4.1.3气象特征</w:t>
      </w:r>
      <w:bookmarkEnd w:id="199"/>
      <w:bookmarkEnd w:id="200"/>
      <w:bookmarkEnd w:id="201"/>
      <w:bookmarkEnd w:id="202"/>
      <w:bookmarkEnd w:id="203"/>
      <w:bookmarkEnd w:id="204"/>
      <w:bookmarkEnd w:id="205"/>
    </w:p>
    <w:p w14:paraId="370005EE">
      <w:pPr>
        <w:widowControl/>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该地区属北温带大陆性季风气候，四季分明，受蒙古内陆冷空气和海洋暖流季风影响较大，冬季漫长而寒冷干燥，夏季短暂而温湿多雨，春秋季风交替，气温变化大，冰封期长，无霜期短，冻土深达2-2.2m。</w:t>
      </w:r>
    </w:p>
    <w:p w14:paraId="16F04E2F">
      <w:pPr>
        <w:widowControl/>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气温：年平均气温3.3℃，年极端最高气温38.9℃，年极端最低气温-36.2℃。</w:t>
      </w:r>
    </w:p>
    <w:p w14:paraId="1BF428EF">
      <w:pPr>
        <w:widowControl/>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风速：平均风速3.7m/s，年最大风速为22.7m/s。</w:t>
      </w:r>
    </w:p>
    <w:p w14:paraId="00D313B9">
      <w:pPr>
        <w:widowControl/>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降水量：年平均442.0mm，年最大降水量651.2mm。</w:t>
      </w:r>
    </w:p>
    <w:p w14:paraId="3CA84AD7">
      <w:pPr>
        <w:widowControl/>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降雪量：平均积雪158d，最大积雪深度220.0mm。</w:t>
      </w:r>
    </w:p>
    <w:p w14:paraId="1F4C0183">
      <w:pPr>
        <w:widowControl/>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蒸发量：年平均蒸发量1531.4mm，年最大蒸发量1711.0mm，年最小蒸发量1378.4mm。</w:t>
      </w:r>
    </w:p>
    <w:p w14:paraId="41E2B0A4">
      <w:pPr>
        <w:widowControl/>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湿度：年平均相对湿度为63%。</w:t>
      </w:r>
    </w:p>
    <w:p w14:paraId="309F6A4E">
      <w:pPr>
        <w:widowControl/>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年日照时数：2595.8小时。</w:t>
      </w:r>
    </w:p>
    <w:p w14:paraId="6EBE0D4C">
      <w:pPr>
        <w:autoSpaceDE/>
        <w:autoSpaceDN/>
        <w:spacing w:before="60" w:after="60" w:line="434" w:lineRule="exact"/>
        <w:jc w:val="both"/>
        <w:outlineLvl w:val="2"/>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pPr>
      <w:bookmarkStart w:id="206" w:name="_Toc117794570"/>
      <w:r>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t>4.1.4地表水体</w:t>
      </w:r>
      <w:bookmarkEnd w:id="206"/>
    </w:p>
    <w:p w14:paraId="0C110A15">
      <w:pPr>
        <w:widowControl/>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该区域江河纵横，泡泽密布，水资源丰富，总量可达4.5×10</w:t>
      </w:r>
      <w:r>
        <w:rPr>
          <w:rFonts w:ascii="Times New Roman" w:hAnsi="Times New Roman" w:cs="Times New Roman" w:eastAsiaTheme="minorEastAsia"/>
          <w:color w:val="000000" w:themeColor="text1"/>
          <w:w w:val="99"/>
          <w:sz w:val="24"/>
          <w:szCs w:val="24"/>
          <w:vertAlign w:val="superscript"/>
          <w:lang w:val="en-US" w:bidi="ar-SA"/>
          <w14:textFill>
            <w14:solidFill>
              <w14:schemeClr w14:val="tx1"/>
            </w14:solidFill>
          </w14:textFill>
        </w:rPr>
        <w:t>8</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m</w:t>
      </w:r>
      <w:r>
        <w:rPr>
          <w:rFonts w:ascii="Times New Roman" w:hAnsi="Times New Roman" w:cs="Times New Roman" w:eastAsiaTheme="minorEastAsia"/>
          <w:color w:val="000000" w:themeColor="text1"/>
          <w:w w:val="99"/>
          <w:sz w:val="24"/>
          <w:szCs w:val="24"/>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，主要河流有嫩江、松花江、霍林河，都属松花江水系，全区水域面积759km</w:t>
      </w:r>
      <w:r>
        <w:rPr>
          <w:rFonts w:ascii="Times New Roman" w:hAnsi="Times New Roman" w:cs="Times New Roman" w:eastAsiaTheme="minorEastAsia"/>
          <w:color w:val="000000" w:themeColor="text1"/>
          <w:w w:val="99"/>
          <w:sz w:val="24"/>
          <w:szCs w:val="24"/>
          <w:vertAlign w:val="superscript"/>
          <w:lang w:val="en-US" w:bidi="ar-SA"/>
          <w14:textFill>
            <w14:solidFill>
              <w14:schemeClr w14:val="tx1"/>
            </w14:solidFill>
          </w14:textFill>
        </w:rPr>
        <w:t>2</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。嫩江发源于大兴安岭伊勒呼里山南麓。嫩江在大庆市</w:t>
      </w:r>
      <w:r>
        <w:rPr>
          <w:rFonts w:hint="eastAsia" w:ascii="Times New Roman" w:hAnsi="Times New Roman" w:cs="Times New Roman" w:eastAsiaTheme="minorEastAsia"/>
          <w:color w:val="000000" w:themeColor="text1"/>
          <w:w w:val="99"/>
          <w:sz w:val="24"/>
          <w:szCs w:val="24"/>
          <w:lang w:val="en-US" w:eastAsia="zh-CN" w:bidi="ar-SA"/>
          <w14:textFill>
            <w14:solidFill>
              <w14:schemeClr w14:val="tx1"/>
            </w14:solidFill>
          </w14:textFill>
        </w:rPr>
        <w:t>红岗区杏树岗镇</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大山种羊场老漩水西北1.5km处入县境，从腰新屯乡大巴尔等南2.7km处出县境。境内流长146.7km，流经大山种羊场、江湾乡、巴彦查干乡、他拉哈镇、石人沟渔场、腰新屯乡等6个乡、镇、场，区间流域面积1800km</w:t>
      </w:r>
      <w:r>
        <w:rPr>
          <w:rFonts w:ascii="Times New Roman" w:hAnsi="Times New Roman" w:cs="Times New Roman" w:eastAsiaTheme="minorEastAsia"/>
          <w:color w:val="000000" w:themeColor="text1"/>
          <w:w w:val="99"/>
          <w:sz w:val="24"/>
          <w:szCs w:val="24"/>
          <w:vertAlign w:val="superscript"/>
          <w:lang w:val="en-US" w:bidi="ar-SA"/>
          <w14:textFill>
            <w14:solidFill>
              <w14:schemeClr w14:val="tx1"/>
            </w14:solidFill>
          </w14:textFill>
        </w:rPr>
        <w:t>2</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，最高水位130.18m，最低水位121.92m，最大流量8810m</w:t>
      </w:r>
      <w:r>
        <w:rPr>
          <w:rFonts w:ascii="Times New Roman" w:hAnsi="Times New Roman" w:cs="Times New Roman" w:eastAsiaTheme="minorEastAsia"/>
          <w:color w:val="000000" w:themeColor="text1"/>
          <w:w w:val="99"/>
          <w:sz w:val="24"/>
          <w:szCs w:val="24"/>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/s。</w:t>
      </w:r>
    </w:p>
    <w:p w14:paraId="04BC89A5">
      <w:pPr>
        <w:widowControl/>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本工程开发区块及周边主要分布1个较近的地表水体，为古努泡子，位于11号平台至龙一联合站集油管道北侧219m，主要功能汇集雨水，水域面积约1.342km</w:t>
      </w:r>
      <w:r>
        <w:rPr>
          <w:rFonts w:ascii="Times New Roman" w:hAnsi="Times New Roman" w:cs="Times New Roman" w:eastAsiaTheme="minorEastAsia"/>
          <w:color w:val="000000" w:themeColor="text1"/>
          <w:w w:val="99"/>
          <w:sz w:val="24"/>
          <w:szCs w:val="24"/>
          <w:vertAlign w:val="superscript"/>
          <w:lang w:val="en-US" w:bidi="ar-SA"/>
          <w14:textFill>
            <w14:solidFill>
              <w14:schemeClr w14:val="tx1"/>
            </w14:solidFill>
          </w14:textFill>
        </w:rPr>
        <w:t>2</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w:t>
      </w:r>
    </w:p>
    <w:p w14:paraId="4FF93364">
      <w:pPr>
        <w:autoSpaceDE/>
        <w:autoSpaceDN/>
        <w:spacing w:before="60" w:after="60" w:line="434" w:lineRule="exact"/>
        <w:jc w:val="both"/>
        <w:outlineLvl w:val="2"/>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pPr>
      <w:bookmarkStart w:id="207" w:name="_Toc117794571"/>
      <w:r>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t>4.1.5水文地质</w:t>
      </w:r>
      <w:bookmarkEnd w:id="207"/>
    </w:p>
    <w:p w14:paraId="263562DD">
      <w:pPr>
        <w:widowControl/>
        <w:autoSpaceDE/>
        <w:autoSpaceDN/>
        <w:spacing w:line="434" w:lineRule="exact"/>
        <w:outlineLvl w:val="3"/>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t>4.1.5.1地质概况</w:t>
      </w:r>
    </w:p>
    <w:p w14:paraId="0BD0DE93">
      <w:pPr>
        <w:widowControl/>
        <w:autoSpaceDE/>
        <w:autoSpaceDN/>
        <w:spacing w:line="434"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区域地质构造位置处于古隆凹陷南部，由于白垩系晚期和第三系以来，大庆长垣以西地区持续下降，而且下降幅度较大，沉积了厚度较大的的第三系和第四系。尤其是第三系上统泰康组比较发育，形成了一套河床相厚层砂砾岩，为地下水的富集创造了良好的空间条件。</w:t>
      </w:r>
    </w:p>
    <w:p w14:paraId="66F761ED">
      <w:pPr>
        <w:widowControl/>
        <w:autoSpaceDE/>
        <w:autoSpaceDN/>
        <w:spacing w:line="434"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根据区域地质钻探资料分析，区域浅部地层从上到下依次为第四系、第三系上统泰康组、白垩系上统明水组。由于区域白垩系上统明水组埋藏较深，所以不作为区域主要目的含水层作为评价目的层。</w:t>
      </w:r>
    </w:p>
    <w:p w14:paraId="3B74A79A">
      <w:pPr>
        <w:widowControl/>
        <w:autoSpaceDE/>
        <w:autoSpaceDN/>
        <w:spacing w:line="434"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（1）白垩系明水组（K</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2</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m）</w:t>
      </w:r>
    </w:p>
    <w:p w14:paraId="054E8502">
      <w:pPr>
        <w:widowControl/>
        <w:autoSpaceDE/>
        <w:autoSpaceDN/>
        <w:spacing w:line="434"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地层广泛分布于区域内，由于受地质沉积作用的影响，地层埋藏较深，地层顶部埋深为115～134m，岩性为浅灰、灰绿色泥岩，含砂砾岩与褐红色、砖红色泥岩组成。</w:t>
      </w:r>
    </w:p>
    <w:p w14:paraId="30514AD6">
      <w:pPr>
        <w:widowControl/>
        <w:autoSpaceDE/>
        <w:autoSpaceDN/>
        <w:spacing w:line="434"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①</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明水组一段（K</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2</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m</w:t>
      </w:r>
      <w:r>
        <w:rPr>
          <w:rFonts w:ascii="Times New Roman" w:hAnsi="Times New Roman" w:cs="Times New Roman" w:eastAsiaTheme="minorEastAsia"/>
          <w:color w:val="000000" w:themeColor="text1"/>
          <w:w w:val="99"/>
          <w:sz w:val="24"/>
          <w:szCs w:val="24"/>
          <w:vertAlign w:val="superscript"/>
          <w:lang w:val="en-US" w:bidi="ar-SA"/>
          <w14:textFill>
            <w14:solidFill>
              <w14:schemeClr w14:val="tx1"/>
            </w14:solidFill>
          </w14:textFill>
        </w:rPr>
        <w:t>1</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w:t>
      </w:r>
    </w:p>
    <w:p w14:paraId="39B0B48E">
      <w:pPr>
        <w:widowControl/>
        <w:autoSpaceDE/>
        <w:autoSpaceDN/>
        <w:spacing w:line="434"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明水组一段由灰绿色砂岩、泥质砂岩夹灰黑色、灰色泥岩组成的两个明显正旋回沉积物组成。明水组一段在区内的厚度变化较大，埋藏较深，由西向东逐渐变薄，一般为220.0～160.0m，地层厚度70-130m。明水组一段与下伏四方台组地层呈不整合接触。</w:t>
      </w:r>
    </w:p>
    <w:p w14:paraId="4B0B89FF">
      <w:pPr>
        <w:widowControl/>
        <w:autoSpaceDE/>
        <w:autoSpaceDN/>
        <w:spacing w:line="434"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②</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明水组二段（K</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2</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m</w:t>
      </w:r>
      <w:r>
        <w:rPr>
          <w:rFonts w:ascii="Times New Roman" w:hAnsi="Times New Roman" w:cs="Times New Roman" w:eastAsiaTheme="minorEastAsia"/>
          <w:color w:val="000000" w:themeColor="text1"/>
          <w:w w:val="99"/>
          <w:sz w:val="24"/>
          <w:szCs w:val="24"/>
          <w:vertAlign w:val="superscript"/>
          <w:lang w:val="en-US" w:bidi="ar-SA"/>
          <w14:textFill>
            <w14:solidFill>
              <w14:schemeClr w14:val="tx1"/>
            </w14:solidFill>
          </w14:textFill>
        </w:rPr>
        <w:t>2</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w:t>
      </w:r>
    </w:p>
    <w:p w14:paraId="14B9D062">
      <w:pPr>
        <w:widowControl/>
        <w:autoSpaceDE/>
        <w:autoSpaceDN/>
        <w:spacing w:line="434"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 xml:space="preserve">明水组二段为棕红色、砖红、灰及灰绿色泥岩，泥质粉砂岩与灰、灰绿、灰白色细砂岩、中粗砂岩及含砾中粗砂岩组成的湖相沉积或以湖相为主的湖相冲积层。顶部砖红色泥岩分布较为稳定。明水组二段的主要特点是多种颜色混杂，以棕红色为主。明水组二段区域分布埋藏较深，变薄，一般为100.0～140.0m。明水组二段与下伏明水组一段呈整合接触。 </w:t>
      </w:r>
    </w:p>
    <w:p w14:paraId="377C03CA">
      <w:pPr>
        <w:widowControl/>
        <w:autoSpaceDE/>
        <w:autoSpaceDN/>
        <w:spacing w:line="434"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（2）第三系上统泰康组（N</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2t</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w:t>
      </w:r>
    </w:p>
    <w:p w14:paraId="2BAA1B19">
      <w:pPr>
        <w:widowControl/>
        <w:autoSpaceDE/>
        <w:autoSpaceDN/>
        <w:spacing w:line="434"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区域泰康组广泛分布，发育良好。变化趋势由东向西厚度逐渐增大并趋于稳定，地层顶部埋深厚度65.0 m -75.0m，变化趋势由南向北厚度逐渐增大，地层厚度55～66m。泰康组中下部为厚层块状河床相沉积的灰白色砂砾岩。上部为较薄的灰绿色、黄绿色泥岩，局部为砂质泥岩、泥质砂岩或粉砂岩构成厚度不等的交互层。地层结构表现为上细下粗的明显正旋回特征。泰康组地层与下伏白垩系上统明水组呈角度不整合接触。</w:t>
      </w:r>
    </w:p>
    <w:p w14:paraId="37DE6932">
      <w:pPr>
        <w:widowControl/>
        <w:autoSpaceDE/>
        <w:autoSpaceDN/>
        <w:spacing w:line="434"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（3）第四系（Q）</w:t>
      </w:r>
    </w:p>
    <w:p w14:paraId="6A767835">
      <w:pPr>
        <w:widowControl/>
        <w:autoSpaceDE/>
        <w:autoSpaceDN/>
        <w:spacing w:line="434"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①</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全新统冲积层（Q</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4</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w:t>
      </w:r>
    </w:p>
    <w:p w14:paraId="5DEE694F">
      <w:pPr>
        <w:widowControl/>
        <w:autoSpaceDE/>
        <w:autoSpaceDN/>
        <w:spacing w:line="434"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主要分布在河漫滩冲积层、低平原内残留湖泡的沉积层及近代风砂层等。厚度不等，只有数米，分布不稳定。</w:t>
      </w:r>
    </w:p>
    <w:p w14:paraId="1E4AF6A9">
      <w:pPr>
        <w:widowControl/>
        <w:autoSpaceDE/>
        <w:autoSpaceDN/>
        <w:spacing w:line="434"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②</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上更新统齐齐哈尔组（Q</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3</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w:t>
      </w:r>
    </w:p>
    <w:p w14:paraId="3CE567A5">
      <w:pPr>
        <w:widowControl/>
        <w:autoSpaceDE/>
        <w:autoSpaceDN/>
        <w:spacing w:line="434"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广泛分布于区域，岩性为粉质粘土和粉细砂。粉质粘土：黄褐色-褐黄色，软塑～可塑，土质不均匀，局部夹有粉土，手捻有砂粒感，含氧化铁斑点，中压缩性，干强度中等，韧性中等，稍有光滑，无摇振反应，地层厚度为12～15.5m。局部夹粉土、粉细砂层，微显层理，裂隙较发育，具有大的孔隙。分布于评价区表层。</w:t>
      </w:r>
    </w:p>
    <w:p w14:paraId="47C5EBE6">
      <w:pPr>
        <w:widowControl/>
        <w:autoSpaceDE/>
        <w:autoSpaceDN/>
        <w:spacing w:line="434"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③</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中更新统荒山组（Q</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2</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w:t>
      </w:r>
    </w:p>
    <w:p w14:paraId="0EF7B0EC">
      <w:pPr>
        <w:widowControl/>
        <w:autoSpaceDE/>
        <w:autoSpaceDN/>
        <w:spacing w:line="434"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广泛分布区域，岩性为河湖相沉积的灰黑色粘土，地层厚度较为均匀，微显层理，局部夹有粉细砂层，致密坚硬，局部由铁质浸染，地层厚度为50.0～55.5m。土质致密，渗透性较差，渗透系数一般在1.0×10</w:t>
      </w:r>
      <w:r>
        <w:rPr>
          <w:rFonts w:ascii="Times New Roman" w:hAnsi="Times New Roman" w:cs="Times New Roman" w:eastAsiaTheme="minorEastAsia"/>
          <w:color w:val="000000" w:themeColor="text1"/>
          <w:w w:val="99"/>
          <w:sz w:val="24"/>
          <w:szCs w:val="24"/>
          <w:vertAlign w:val="superscript"/>
          <w:lang w:val="en-US" w:bidi="ar-SA"/>
          <w14:textFill>
            <w14:solidFill>
              <w14:schemeClr w14:val="tx1"/>
            </w14:solidFill>
          </w14:textFill>
        </w:rPr>
        <w:t>-6</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 xml:space="preserve"> ～1.0×1.0</w:t>
      </w:r>
      <w:r>
        <w:rPr>
          <w:rFonts w:ascii="Times New Roman" w:hAnsi="Times New Roman" w:cs="Times New Roman" w:eastAsiaTheme="minorEastAsia"/>
          <w:color w:val="000000" w:themeColor="text1"/>
          <w:w w:val="99"/>
          <w:sz w:val="24"/>
          <w:szCs w:val="24"/>
          <w:vertAlign w:val="superscript"/>
          <w:lang w:val="en-US" w:bidi="ar-SA"/>
          <w14:textFill>
            <w14:solidFill>
              <w14:schemeClr w14:val="tx1"/>
            </w14:solidFill>
          </w14:textFill>
        </w:rPr>
        <w:t>- 7</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cm/ s，为区域弱透水层，由铁质浸染的斑点条带，含铁钙质结核及白色钙质斑点。</w:t>
      </w:r>
    </w:p>
    <w:p w14:paraId="4F4B0375">
      <w:pPr>
        <w:widowControl/>
        <w:autoSpaceDE/>
        <w:autoSpaceDN/>
        <w:spacing w:line="434"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④</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白土山组（Q</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1</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w:t>
      </w:r>
    </w:p>
    <w:p w14:paraId="0BD0826A">
      <w:pPr>
        <w:widowControl/>
        <w:autoSpaceDE/>
        <w:autoSpaceDN/>
        <w:spacing w:line="434"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规划区域中部有分布，分布不均，岩性为乳白色砂砾石，局部有少量的杂色中粗砂沉积层，埋藏深度及厚度均自东向西、自南向北加深加厚。埋深68.0m～69.0m，地层厚度0.0m～3.0m。</w:t>
      </w:r>
    </w:p>
    <w:p w14:paraId="0035393B">
      <w:pPr>
        <w:widowControl/>
        <w:autoSpaceDE/>
        <w:autoSpaceDN/>
        <w:spacing w:line="434"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第四系与下伏第三系泰康组地层为不整合接触。</w:t>
      </w:r>
    </w:p>
    <w:p w14:paraId="783C1D2E">
      <w:pPr>
        <w:widowControl/>
        <w:autoSpaceDE/>
        <w:autoSpaceDN/>
        <w:spacing w:line="434" w:lineRule="exact"/>
        <w:outlineLvl w:val="3"/>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t>4.1.5.2地下水含水层</w:t>
      </w:r>
    </w:p>
    <w:p w14:paraId="35386D17">
      <w:pPr>
        <w:widowControl/>
        <w:autoSpaceDE/>
        <w:autoSpaceDN/>
        <w:spacing w:line="434"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评价区地处大庆长垣西部地区，主要分布有第四系哈尔滨组潜水含水层及白土山组承压含水层、新近系泰康组含水层。</w:t>
      </w:r>
    </w:p>
    <w:p w14:paraId="50BDDD1A">
      <w:pPr>
        <w:widowControl/>
        <w:autoSpaceDE/>
        <w:autoSpaceDN/>
        <w:spacing w:line="434"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（1）第四系含水层</w:t>
      </w:r>
    </w:p>
    <w:p w14:paraId="1ED80ECE">
      <w:pPr>
        <w:widowControl/>
        <w:autoSpaceDE/>
        <w:autoSpaceDN/>
        <w:spacing w:line="434"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第四系含水层主要有哈尔滨组潜水含水层和白土山组承压含水层。</w:t>
      </w:r>
    </w:p>
    <w:p w14:paraId="61BCBEF0">
      <w:pPr>
        <w:widowControl/>
        <w:autoSpaceDE/>
        <w:autoSpaceDN/>
        <w:spacing w:line="434"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hint="eastAsia"/>
          <w:color w:val="000000" w:themeColor="text1"/>
          <w:w w:val="99"/>
          <w:sz w:val="24"/>
          <w:szCs w:val="24"/>
          <w:lang w:val="en-US" w:bidi="ar-SA"/>
          <w14:textFill>
            <w14:solidFill>
              <w14:schemeClr w14:val="tx1"/>
            </w14:solidFill>
          </w14:textFill>
        </w:rPr>
        <w:t>①</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第四系哈尔滨组潜水含水层</w:t>
      </w:r>
    </w:p>
    <w:p w14:paraId="20F5EFAE">
      <w:pPr>
        <w:widowControl/>
        <w:autoSpaceDE/>
        <w:autoSpaceDN/>
        <w:spacing w:line="434"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含水层分布广泛，厚度一般为20.0~30.0m；岩性主要为细粉砂层和亚砂土，夹有分布不稳定的黄土状亚粘土层。直接出露于地表，接受大气降水和地表水的入渗补给。含水层底板埋深23.0~32.0m。由于埋藏浅、颗粒松散、粒度较细、富水性差。</w:t>
      </w:r>
    </w:p>
    <w:p w14:paraId="15F8AEAB">
      <w:pPr>
        <w:widowControl/>
        <w:autoSpaceDE/>
        <w:autoSpaceDN/>
        <w:spacing w:line="434"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hint="eastAsia"/>
          <w:color w:val="000000" w:themeColor="text1"/>
          <w:w w:val="99"/>
          <w:sz w:val="24"/>
          <w:szCs w:val="24"/>
          <w:lang w:val="en-US" w:bidi="ar-SA"/>
          <w14:textFill>
            <w14:solidFill>
              <w14:schemeClr w14:val="tx1"/>
            </w14:solidFill>
          </w14:textFill>
        </w:rPr>
        <w:t>②</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第四系白土山组承压含水层</w:t>
      </w:r>
    </w:p>
    <w:p w14:paraId="0051A267">
      <w:pPr>
        <w:widowControl/>
        <w:autoSpaceDE/>
        <w:autoSpaceDN/>
        <w:spacing w:line="434"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含水层在评价区内分布广泛。由东南向西北逐渐增厚，厚度一般为2.0~25.0m，最大厚度达29.5m。含水层顶板埋深为75.0~85.0m，底板埋深76.0~109.5m。岩性主要为灰白色夹杂色砂砾石，孔隙较大，连通、渗透性好，富水性好；含水层静水位埋深为16.63m；273mm管径单井涌水量为2467.0m</w:t>
      </w:r>
      <w:r>
        <w:rPr>
          <w:rFonts w:ascii="Times New Roman" w:hAnsi="Times New Roman" w:cs="Times New Roman" w:eastAsiaTheme="minorEastAsia"/>
          <w:color w:val="000000" w:themeColor="text1"/>
          <w:w w:val="99"/>
          <w:sz w:val="24"/>
          <w:szCs w:val="24"/>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/d，降深4.10m。是该区的次要取水层位。</w:t>
      </w:r>
    </w:p>
    <w:p w14:paraId="56CFF972">
      <w:pPr>
        <w:widowControl/>
        <w:autoSpaceDE/>
        <w:autoSpaceDN/>
        <w:spacing w:line="434"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hint="eastAsia"/>
          <w:color w:val="000000" w:themeColor="text1"/>
          <w:w w:val="99"/>
          <w:sz w:val="24"/>
          <w:szCs w:val="24"/>
          <w:lang w:val="en-US" w:bidi="ar-SA"/>
          <w14:textFill>
            <w14:solidFill>
              <w14:schemeClr w14:val="tx1"/>
            </w14:solidFill>
          </w14:textFill>
        </w:rPr>
        <w:t>③</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第三系泰康组承压含水层</w:t>
      </w:r>
    </w:p>
    <w:p w14:paraId="03A174D1">
      <w:pPr>
        <w:widowControl/>
        <w:autoSpaceDE/>
        <w:autoSpaceDN/>
        <w:spacing w:line="434"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含水层分布广泛。含水层由东向西逐渐加深，自东而西由薄变厚，厚度为56.0~92.5m；含水层顶板埋深为115.0~135.0m底板埋深171.0~224.0m。岩性为厚层河床相沉积的灰白色砂砾岩，孔隙较大，连通、渗透性好，富水性强。静水位埋深为10.66~29.22m。273m管径单井涌水量2768.0~3542.0m</w:t>
      </w:r>
      <w:r>
        <w:rPr>
          <w:rFonts w:ascii="Times New Roman" w:hAnsi="Times New Roman" w:cs="Times New Roman" w:eastAsiaTheme="minorEastAsia"/>
          <w:color w:val="000000" w:themeColor="text1"/>
          <w:w w:val="99"/>
          <w:sz w:val="24"/>
          <w:szCs w:val="24"/>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/d，降深2.70~11.30m。是该区的主要取水层位。</w:t>
      </w:r>
    </w:p>
    <w:p w14:paraId="640B3517">
      <w:pPr>
        <w:widowControl/>
        <w:autoSpaceDE/>
        <w:autoSpaceDN/>
        <w:spacing w:line="434"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项目水文地质综合图见附图9、水文地质剖面图见</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附图1</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0。</w:t>
      </w:r>
    </w:p>
    <w:p w14:paraId="176BB2D8">
      <w:pPr>
        <w:widowControl/>
        <w:autoSpaceDE/>
        <w:autoSpaceDN/>
        <w:spacing w:line="434" w:lineRule="exact"/>
        <w:outlineLvl w:val="3"/>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t>4.1.5.3地下水循环条件</w:t>
      </w:r>
    </w:p>
    <w:p w14:paraId="19B8BB46">
      <w:pPr>
        <w:widowControl/>
        <w:autoSpaceDE/>
        <w:autoSpaceDN/>
        <w:spacing w:line="434"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地下水系统及其周围环境决定了地下水补给、径流、排泄特征，而其补给、径流和排泄构成了含水层地下水流系统形成条件。</w:t>
      </w:r>
    </w:p>
    <w:p w14:paraId="5EF525C0">
      <w:pPr>
        <w:widowControl/>
        <w:autoSpaceDE/>
        <w:autoSpaceDN/>
        <w:spacing w:line="434"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（1）地下水补给</w:t>
      </w:r>
    </w:p>
    <w:p w14:paraId="7DB60EDD">
      <w:pPr>
        <w:widowControl/>
        <w:autoSpaceDE/>
        <w:autoSpaceDN/>
        <w:spacing w:line="434"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hint="eastAsia"/>
          <w:color w:val="000000" w:themeColor="text1"/>
          <w:w w:val="99"/>
          <w:sz w:val="24"/>
          <w:szCs w:val="24"/>
          <w:lang w:val="en-US" w:bidi="ar-SA"/>
          <w14:textFill>
            <w14:solidFill>
              <w14:schemeClr w14:val="tx1"/>
            </w14:solidFill>
          </w14:textFill>
        </w:rPr>
        <w:t>①</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垂向补给</w:t>
      </w:r>
    </w:p>
    <w:p w14:paraId="4C652580">
      <w:pPr>
        <w:widowControl/>
        <w:autoSpaceDE/>
        <w:autoSpaceDN/>
        <w:spacing w:line="434"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地下水的垂向补给是大气降水、地表水体入渗补给潜水（哈尔滨组），潜水通过弱透水层越流补给下部承压（第四系白土山组和新近系泰康组）含水层，同时弱透水层本身因为开采地下水造成地下水的下降而压力减小，形成弹性释水量补给其下部承压水。</w:t>
      </w:r>
    </w:p>
    <w:p w14:paraId="5F5C8B05">
      <w:pPr>
        <w:widowControl/>
        <w:autoSpaceDE/>
        <w:autoSpaceDN/>
        <w:spacing w:line="434"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hint="eastAsia"/>
          <w:color w:val="000000" w:themeColor="text1"/>
          <w:w w:val="99"/>
          <w:sz w:val="24"/>
          <w:szCs w:val="24"/>
          <w:lang w:val="en-US" w:bidi="ar-SA"/>
          <w14:textFill>
            <w14:solidFill>
              <w14:schemeClr w14:val="tx1"/>
            </w14:solidFill>
          </w14:textFill>
        </w:rPr>
        <w:t>②</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侧向补给</w:t>
      </w:r>
    </w:p>
    <w:p w14:paraId="7C4E31C1">
      <w:pPr>
        <w:widowControl/>
        <w:autoSpaceDE/>
        <w:autoSpaceDN/>
        <w:spacing w:line="434"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在天然条件下，主要来自勘察以外广泛连续分布的同一含水层中的地下水，地下水在水动力驱动下，通过水平方向径流补给区域内地下水。</w:t>
      </w:r>
    </w:p>
    <w:p w14:paraId="5ED7AB61">
      <w:pPr>
        <w:widowControl/>
        <w:autoSpaceDE/>
        <w:autoSpaceDN/>
        <w:spacing w:line="434"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（2）地下水径流</w:t>
      </w:r>
    </w:p>
    <w:p w14:paraId="12D6823B">
      <w:pPr>
        <w:widowControl/>
        <w:autoSpaceDE/>
        <w:autoSpaceDN/>
        <w:spacing w:line="434"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评价区内泰康组砂砾岩含水层和第四系白土山组砂砾石含水层孔隙大，渗透性好，从而为地下水的径流创造了天然空间场所和有利途径。</w:t>
      </w:r>
    </w:p>
    <w:p w14:paraId="4A4ECAAE">
      <w:pPr>
        <w:widowControl/>
        <w:autoSpaceDE/>
        <w:autoSpaceDN/>
        <w:spacing w:line="434"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（3）地下水的排泄</w:t>
      </w:r>
    </w:p>
    <w:p w14:paraId="4BC2465C">
      <w:pPr>
        <w:widowControl/>
        <w:autoSpaceDE/>
        <w:autoSpaceDN/>
        <w:spacing w:line="434"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根据评价区的地质及水文地质条件和地下水开采情况分析，地下水的排泄方式主要有三种：蒸发排泄、地下水的径流排泄、地下水的人工开采。</w:t>
      </w:r>
    </w:p>
    <w:p w14:paraId="77120665">
      <w:pPr>
        <w:widowControl/>
        <w:autoSpaceDE/>
        <w:autoSpaceDN/>
        <w:spacing w:line="434" w:lineRule="exact"/>
        <w:outlineLvl w:val="3"/>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t>4.1.5.4地下水的动态变化</w:t>
      </w:r>
    </w:p>
    <w:p w14:paraId="098C3BC5">
      <w:pPr>
        <w:widowControl/>
        <w:autoSpaceDE/>
        <w:autoSpaceDN/>
        <w:spacing w:line="434"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（1）潜水含水层</w:t>
      </w:r>
    </w:p>
    <w:p w14:paraId="63DD9768">
      <w:pPr>
        <w:widowControl/>
        <w:autoSpaceDE/>
        <w:autoSpaceDN/>
        <w:spacing w:line="434"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区域潜水含水层埋深较浅，水位变化主要受大气降水补给和人工开采影响较大。根据该区域水文地质资料，地下水水位年变化幅度为1.50m左右，丰水期为8月下旬至9月上旬，年水位最高；枯水期为3月下旬到4月上旬。地下水流动缓慢，潜水位的高低起伏与地表地势的高低起伏基本一致，评价区内潜水流向主要由西北向东南。项目区域潜水等值线图见附图13。</w:t>
      </w:r>
    </w:p>
    <w:p w14:paraId="47065C61">
      <w:pPr>
        <w:widowControl/>
        <w:autoSpaceDE/>
        <w:autoSpaceDN/>
        <w:spacing w:line="434"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（2）承压含水层（泰康组）</w:t>
      </w:r>
    </w:p>
    <w:p w14:paraId="5A12C8C8">
      <w:pPr>
        <w:widowControl/>
        <w:autoSpaceDE/>
        <w:autoSpaceDN/>
        <w:spacing w:line="434"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评价区内泰康组承压水受多年地下水开采，承压水地下水位总的趋势也有所下降。根据区内泰康组莫G1-2监测井水位数据，2015年一个水文年区域地下水动态观测井水位监测分析，泰康组地下水水位埋深变化为8.29-8.74m，年变幅为0.45m。泰康组含水层根据含水层地下水水位等值线的特征分析，评价区内其主要流向是从西北向东南。项目区域承压水等值线图见附图14。</w:t>
      </w:r>
      <w:bookmarkStart w:id="208" w:name="_Toc57203281"/>
      <w:bookmarkStart w:id="209" w:name="_Toc57976703"/>
      <w:bookmarkStart w:id="210" w:name="_Toc67860166"/>
      <w:bookmarkStart w:id="211" w:name="_Toc61597265"/>
      <w:bookmarkStart w:id="212" w:name="_Toc70050215"/>
      <w:bookmarkStart w:id="213" w:name="_Toc57707951"/>
    </w:p>
    <w:p w14:paraId="1DAD8ECE">
      <w:pPr>
        <w:autoSpaceDE/>
        <w:autoSpaceDN/>
        <w:spacing w:before="60" w:after="60" w:line="440" w:lineRule="exact"/>
        <w:jc w:val="both"/>
        <w:outlineLvl w:val="2"/>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pPr>
      <w:bookmarkStart w:id="214" w:name="_Toc117794572"/>
      <w:r>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t>4.1.6土壤情况</w:t>
      </w:r>
      <w:bookmarkEnd w:id="208"/>
      <w:bookmarkEnd w:id="209"/>
      <w:bookmarkEnd w:id="210"/>
      <w:bookmarkEnd w:id="211"/>
      <w:bookmarkEnd w:id="212"/>
      <w:bookmarkEnd w:id="213"/>
      <w:bookmarkEnd w:id="214"/>
    </w:p>
    <w:p w14:paraId="264C28C3">
      <w:pPr>
        <w:widowControl/>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评价区地处松嫩平原，土壤种类主要有草甸土和风沙土。区域土壤类型分布图见附图11。</w:t>
      </w:r>
    </w:p>
    <w:p w14:paraId="4A8E2DA0">
      <w:pPr>
        <w:widowControl/>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草甸土是温带低洼地区受地下水浸润作用，在腐殖质积累和潴育化过程下形成的具有腐殖质表层和潴育层的半水成土壤。主要分布在东北平原、内蒙古和西北地区的河谷平原或湖盆地区，其自然植被为湿生型与中生型草甸植被。草甸土类是区域内比较肥沃的土壤，包含三个亚类：石灰性草甸土，盐化草甸土，碱化草甸土。草甸土的植被，除了农田以外，草原植被以羊草和拂子茅为优势种，伴生有萎菱菜、地榆、胡枝子、蒿属、虎尾草、星星草等。</w:t>
      </w:r>
    </w:p>
    <w:p w14:paraId="5AB9BF07">
      <w:pPr>
        <w:widowControl/>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风沙土主要分布在中国北部的半干旱、干旱和极端干旱地区。风沙土的特征是成土作用经常受到风蚀和沙压，很不稳定，致使成土过程十分微弱，土壤性状与风沙堆积物无多大改变。随沙地的自然固定和土壤形成阶段的发展，由流动风沙土到半固定、固定风沙土，土壤有机质含量逐渐增加，说明只要增加肥分与水分，使植被逐步稳定生长，也能成为农林牧用地。</w:t>
      </w:r>
    </w:p>
    <w:p w14:paraId="22E26662">
      <w:pPr>
        <w:autoSpaceDE/>
        <w:autoSpaceDN/>
        <w:spacing w:before="60" w:after="60" w:line="440" w:lineRule="exact"/>
        <w:jc w:val="both"/>
        <w:outlineLvl w:val="2"/>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pPr>
      <w:bookmarkStart w:id="215" w:name="_Toc67860167"/>
      <w:bookmarkStart w:id="216" w:name="_Toc117794573"/>
      <w:bookmarkStart w:id="217" w:name="_Toc61597266"/>
      <w:bookmarkStart w:id="218" w:name="_Toc70050216"/>
      <w:bookmarkStart w:id="219" w:name="_Toc57203282"/>
      <w:bookmarkStart w:id="220" w:name="_Toc57707952"/>
      <w:bookmarkStart w:id="221" w:name="_Toc57976704"/>
      <w:r>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t>4.1.7植被情况</w:t>
      </w:r>
      <w:bookmarkEnd w:id="215"/>
      <w:bookmarkEnd w:id="216"/>
      <w:bookmarkEnd w:id="217"/>
      <w:bookmarkEnd w:id="218"/>
    </w:p>
    <w:p w14:paraId="627E7439">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本工程开发区域内天然植被主要以沼泽植被为主，以羊草为主，并有针茅草、星星草、虎尾草、碱蓬等耐盐碱的植被等，在沼泽的边缘靠近堤坝处，还生长有芦苇、沼柳，在湖泡的边缘，以及村屯的周边地区，生长有盐爪爪、盐蒿、马蔺等植被。区域内农作物主要为玉米、水稻、谷子、绿豆、土豆、白菜及其它应季蔬菜等。</w:t>
      </w:r>
    </w:p>
    <w:p w14:paraId="283D9882">
      <w:pPr>
        <w:autoSpaceDE/>
        <w:autoSpaceDN/>
        <w:spacing w:before="60" w:after="60" w:line="440" w:lineRule="exact"/>
        <w:jc w:val="both"/>
        <w:outlineLvl w:val="2"/>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pPr>
      <w:bookmarkStart w:id="222" w:name="_Toc117794574"/>
      <w:bookmarkStart w:id="223" w:name="_Toc67860168"/>
      <w:bookmarkStart w:id="224" w:name="_Toc70050217"/>
      <w:bookmarkStart w:id="225" w:name="_Toc61597267"/>
      <w:r>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t>4.1.8动物分布</w:t>
      </w:r>
      <w:bookmarkEnd w:id="219"/>
      <w:bookmarkEnd w:id="220"/>
      <w:bookmarkEnd w:id="221"/>
      <w:bookmarkEnd w:id="222"/>
      <w:bookmarkEnd w:id="223"/>
      <w:bookmarkEnd w:id="224"/>
      <w:bookmarkEnd w:id="225"/>
    </w:p>
    <w:p w14:paraId="5E1078FC">
      <w:pPr>
        <w:autoSpaceDE/>
        <w:autoSpaceDN/>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区域内野生动物种类和数量均较少，伴随人类生存的耕地小型鼠类、麻雀、家燕等种群数量较多，使陆生动物区系具有典型的耕地动物群色彩。</w:t>
      </w:r>
    </w:p>
    <w:p w14:paraId="38FE3982">
      <w:pPr>
        <w:autoSpaceDE/>
        <w:autoSpaceDN/>
        <w:spacing w:before="60" w:after="60" w:line="440" w:lineRule="exact"/>
        <w:jc w:val="both"/>
        <w:outlineLvl w:val="2"/>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pPr>
      <w:bookmarkStart w:id="226" w:name="_Toc117794575"/>
      <w:r>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t>4.1.9水土流失情况调查</w:t>
      </w:r>
      <w:bookmarkEnd w:id="226"/>
    </w:p>
    <w:p w14:paraId="0BF10187">
      <w:pPr>
        <w:autoSpaceDE/>
        <w:autoSpaceDN/>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 xml:space="preserve"> 根据现场调查，项目所在地</w:t>
      </w:r>
      <w:r>
        <w:rPr>
          <w:rFonts w:hint="eastAsia" w:ascii="Times New Roman" w:hAnsi="Times New Roman" w:cs="Times New Roman" w:eastAsiaTheme="minorEastAsia"/>
          <w:color w:val="000000" w:themeColor="text1"/>
          <w:w w:val="99"/>
          <w:sz w:val="24"/>
          <w:szCs w:val="24"/>
          <w:lang w:val="en-US" w:eastAsia="zh-CN" w:bidi="ar-SA"/>
          <w14:textFill>
            <w14:solidFill>
              <w14:schemeClr w14:val="tx1"/>
            </w14:solidFill>
          </w14:textFill>
        </w:rPr>
        <w:t>红岗区杏树岗镇</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为大庆市水土流失面积最大的区域，本工程井场及管线主要占地类型是耕地和草地等，工程所在区域为已区块开发，除油田外不存在其他工业企业。</w:t>
      </w:r>
      <w:r>
        <w:rPr>
          <w:rFonts w:hint="eastAsia" w:ascii="Times New Roman" w:hAnsi="Times New Roman" w:cs="Times New Roman" w:eastAsiaTheme="minorEastAsia"/>
          <w:color w:val="000000" w:themeColor="text1"/>
          <w:w w:val="99"/>
          <w:sz w:val="24"/>
          <w:szCs w:val="24"/>
          <w:lang w:val="en-US" w:eastAsia="zh-CN" w:bidi="ar-SA"/>
          <w14:textFill>
            <w14:solidFill>
              <w14:schemeClr w14:val="tx1"/>
            </w14:solidFill>
          </w14:textFill>
        </w:rPr>
        <w:t>红岗区杏树岗镇</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侵蚀面积以风力侵蚀为重，工况侵蚀次之。</w:t>
      </w:r>
      <w:r>
        <w:rPr>
          <w:rFonts w:hint="eastAsia" w:ascii="Times New Roman" w:hAnsi="Times New Roman" w:cs="Times New Roman" w:eastAsiaTheme="minorEastAsia"/>
          <w:color w:val="000000" w:themeColor="text1"/>
          <w:w w:val="99"/>
          <w:sz w:val="24"/>
          <w:szCs w:val="24"/>
          <w:lang w:val="en-US" w:eastAsia="zh-CN" w:bidi="ar-SA"/>
          <w14:textFill>
            <w14:solidFill>
              <w14:schemeClr w14:val="tx1"/>
            </w14:solidFill>
          </w14:textFill>
        </w:rPr>
        <w:t>红岗区杏树岗镇</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是风蚀沙化最为严重的地区，县域内有八大沙丘、二大荒坡。</w:t>
      </w:r>
    </w:p>
    <w:p w14:paraId="37D44E97">
      <w:pPr>
        <w:autoSpaceDE/>
        <w:autoSpaceDN/>
        <w:spacing w:before="120" w:after="120" w:line="440" w:lineRule="exact"/>
        <w:outlineLvl w:val="1"/>
        <w:rPr>
          <w:rFonts w:ascii="Times New Roman" w:hAnsi="Times New Roman" w:cs="Times New Roman" w:eastAsiaTheme="minorEastAsia"/>
          <w:b/>
          <w:bCs/>
          <w:snapToGrid w:val="0"/>
          <w:color w:val="000000" w:themeColor="text1"/>
          <w:w w:val="99"/>
          <w:sz w:val="28"/>
          <w:szCs w:val="32"/>
          <w:lang w:val="zh-CN" w:eastAsia="zh-CN" w:bidi="ar-SA"/>
          <w14:textFill>
            <w14:solidFill>
              <w14:schemeClr w14:val="tx1"/>
            </w14:solidFill>
          </w14:textFill>
        </w:rPr>
      </w:pPr>
      <w:bookmarkStart w:id="227" w:name="_Toc117794576"/>
      <w:bookmarkStart w:id="228" w:name="_Toc101795892"/>
      <w:bookmarkStart w:id="229" w:name="_Toc41655196"/>
      <w:r>
        <w:rPr>
          <w:rFonts w:ascii="Times New Roman" w:hAnsi="Times New Roman" w:cs="Times New Roman" w:eastAsiaTheme="minorEastAsia"/>
          <w:b/>
          <w:bCs/>
          <w:snapToGrid w:val="0"/>
          <w:color w:val="000000" w:themeColor="text1"/>
          <w:w w:val="99"/>
          <w:sz w:val="28"/>
          <w:szCs w:val="32"/>
          <w:lang w:val="zh-CN" w:eastAsia="zh-CN" w:bidi="ar-SA"/>
          <w14:textFill>
            <w14:solidFill>
              <w14:schemeClr w14:val="tx1"/>
            </w14:solidFill>
          </w14:textFill>
        </w:rPr>
        <w:t>4.2环境敏感区调查</w:t>
      </w:r>
      <w:bookmarkEnd w:id="227"/>
      <w:bookmarkEnd w:id="228"/>
      <w:bookmarkEnd w:id="229"/>
    </w:p>
    <w:p w14:paraId="66D7D9AF">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本工程评价范围内不涉及国家公园、自然保护区、风景名胜区、世界文化和自然遗产地、海洋特别保护区、自然公园、重要湿地、天然林、重点保护野生动物栖息地、重点保护野生植物生长繁殖地、重要水生生物的自然产卵场、索饵场、越冬场和洄游通道、天然渔场、水土流失重点预防区、沙化土地封禁保护区、沙化土地封禁保护区、封闭及半封闭海域、以及文物保护单位等环境敏感区，但项目涉及以居住为主要功能的区域，且占地属于《大庆市水土保持规划（2015~2030年）》中划定的水土流失重点治理区。</w:t>
      </w:r>
    </w:p>
    <w:p w14:paraId="4A2A7583">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大庆市水务局在国家和省级水土流失重点预防区和重点治理区划定基础上，结合大庆市实际，划定市级水土流失重点预防区和重点治理区，本项目所在地</w:t>
      </w:r>
      <w:r>
        <w:rPr>
          <w:rFonts w:hint="eastAsia" w:ascii="Times New Roman" w:hAnsi="Times New Roman" w:cs="Times New Roman" w:eastAsiaTheme="minorEastAsia"/>
          <w:color w:val="000000" w:themeColor="text1"/>
          <w:w w:val="99"/>
          <w:kern w:val="2"/>
          <w:sz w:val="24"/>
          <w:szCs w:val="24"/>
          <w:lang w:val="en-US" w:eastAsia="zh-CN" w:bidi="ar-SA"/>
          <w14:textFill>
            <w14:solidFill>
              <w14:schemeClr w14:val="tx1"/>
            </w14:solidFill>
          </w14:textFill>
        </w:rPr>
        <w:t>红岗区杏树岗镇</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被划定为水土流失重点治理区，治理区范围为敖林西伯乡区域内。治理区以“因地制宜，因害设防、重点治理与一般防治兼顾”为原则，采取各项水土保持措施。综上所述，拟建项目主要环境保护目标分布情况见表2.6-1～表2.6-5。</w:t>
      </w:r>
    </w:p>
    <w:p w14:paraId="3B58B9AB">
      <w:pPr>
        <w:autoSpaceDE/>
        <w:autoSpaceDN/>
        <w:spacing w:before="120" w:after="120" w:line="440" w:lineRule="exact"/>
        <w:outlineLvl w:val="1"/>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230" w:name="_Toc117794577"/>
      <w:bookmarkStart w:id="231" w:name="_Toc106810335"/>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4.3环境质量现状调查与评价</w:t>
      </w:r>
      <w:bookmarkEnd w:id="230"/>
      <w:bookmarkEnd w:id="231"/>
    </w:p>
    <w:p w14:paraId="55D7AE82">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bookmarkStart w:id="232" w:name="_Toc438540824"/>
      <w:bookmarkStart w:id="233" w:name="_Toc430692059"/>
      <w:bookmarkStart w:id="234" w:name="_Toc430689874"/>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委托大庆中环评价检测有限公司于2022年10月16日-22日对评价范围内环境空气、土壤环境、地表水环境、地下水环境、包气带、声环境质量现状进行了监测。</w:t>
      </w:r>
    </w:p>
    <w:p w14:paraId="4E4EA5D0">
      <w:pPr>
        <w:autoSpaceDE/>
        <w:autoSpaceDN/>
        <w:spacing w:before="60" w:after="60" w:line="440" w:lineRule="exact"/>
        <w:jc w:val="both"/>
        <w:outlineLvl w:val="2"/>
        <w:rPr>
          <w:rFonts w:ascii="Times New Roman" w:hAnsi="Times New Roman" w:cs="Times New Roman" w:eastAsiaTheme="minorEastAsia"/>
          <w:b/>
          <w:bCs/>
          <w:color w:val="000000" w:themeColor="text1"/>
          <w:w w:val="99"/>
          <w:kern w:val="2"/>
          <w:sz w:val="24"/>
          <w:szCs w:val="24"/>
          <w:lang w:val="en-US" w:bidi="ar-SA"/>
          <w14:textFill>
            <w14:solidFill>
              <w14:schemeClr w14:val="tx1"/>
            </w14:solidFill>
          </w14:textFill>
        </w:rPr>
      </w:pPr>
      <w:bookmarkStart w:id="235" w:name="_Toc61597270"/>
      <w:bookmarkStart w:id="236" w:name="_Toc29643949"/>
      <w:bookmarkStart w:id="237" w:name="_Toc76976285"/>
      <w:bookmarkStart w:id="238" w:name="_Toc100822150"/>
      <w:bookmarkStart w:id="239" w:name="_Toc106810336"/>
      <w:bookmarkStart w:id="240" w:name="_Toc57203284"/>
      <w:bookmarkStart w:id="241" w:name="_Toc85640795"/>
      <w:bookmarkStart w:id="242" w:name="_Toc31473"/>
      <w:bookmarkStart w:id="243" w:name="_Toc67860171"/>
      <w:bookmarkStart w:id="244" w:name="_Toc70050220"/>
      <w:bookmarkStart w:id="245" w:name="_Toc77067697"/>
      <w:bookmarkStart w:id="246" w:name="_Toc103610909"/>
      <w:bookmarkStart w:id="247" w:name="_Toc117794578"/>
      <w:bookmarkStart w:id="248" w:name="_Toc34124483"/>
      <w:bookmarkStart w:id="249" w:name="_Toc83209516"/>
      <w:bookmarkStart w:id="250" w:name="_Toc80971416"/>
      <w:bookmarkStart w:id="251" w:name="_Toc41655198"/>
      <w:bookmarkStart w:id="252" w:name="_Toc38545054"/>
      <w:bookmarkStart w:id="253" w:name="_Toc38296421"/>
      <w:bookmarkStart w:id="254" w:name="_Toc29642917"/>
      <w:bookmarkStart w:id="255" w:name="_Toc80588294"/>
      <w:bookmarkStart w:id="256" w:name="_Toc57707954"/>
      <w:bookmarkStart w:id="257" w:name="_Toc86141970"/>
      <w:bookmarkStart w:id="258" w:name="_Toc57976706"/>
      <w:bookmarkStart w:id="259" w:name="_Toc78816499"/>
      <w:bookmarkStart w:id="260" w:name="_Toc29644701"/>
      <w:bookmarkStart w:id="261" w:name="_Toc84929271"/>
      <w:r>
        <w:rPr>
          <w:rFonts w:ascii="Times New Roman" w:hAnsi="Times New Roman" w:cs="Times New Roman" w:eastAsiaTheme="minorEastAsia"/>
          <w:b/>
          <w:bCs/>
          <w:color w:val="000000" w:themeColor="text1"/>
          <w:w w:val="99"/>
          <w:kern w:val="2"/>
          <w:sz w:val="24"/>
          <w:szCs w:val="24"/>
          <w:lang w:val="en-US" w:bidi="ar-SA"/>
          <w14:textFill>
            <w14:solidFill>
              <w14:schemeClr w14:val="tx1"/>
            </w14:solidFill>
          </w14:textFill>
        </w:rPr>
        <w:t>4.3.1环境空气质量现状监测与评价</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3A3C0EAE">
      <w:pPr>
        <w:autoSpaceDE/>
        <w:autoSpaceDN/>
        <w:spacing w:line="440" w:lineRule="exact"/>
        <w:outlineLvl w:val="3"/>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t>4.3.1.1环境空气质量达标区判定</w:t>
      </w:r>
    </w:p>
    <w:p w14:paraId="2D0BF531">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本项目区域环境空气质量引用《2021年大庆市生态环境状况公报》，2021年，大庆市城区环境空气中二氧化硫年均浓度为9μg/m</w:t>
      </w:r>
      <w:r>
        <w:rPr>
          <w:rFonts w:ascii="Times New Roman" w:hAnsi="Times New Roman" w:cs="Times New Roman" w:eastAsiaTheme="minorEastAsia"/>
          <w:color w:val="000000" w:themeColor="text1"/>
          <w:w w:val="99"/>
          <w:kern w:val="2"/>
          <w:sz w:val="24"/>
          <w:szCs w:val="20"/>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，日均值浓度范围为4～24μg/m</w:t>
      </w:r>
      <w:r>
        <w:rPr>
          <w:rFonts w:ascii="Times New Roman" w:hAnsi="Times New Roman" w:cs="Times New Roman" w:eastAsiaTheme="minorEastAsia"/>
          <w:color w:val="000000" w:themeColor="text1"/>
          <w:w w:val="99"/>
          <w:kern w:val="2"/>
          <w:sz w:val="24"/>
          <w:szCs w:val="20"/>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，优于国家环境空气质量一级标准限值；二氧化氮年均浓度为18μg/m</w:t>
      </w:r>
      <w:r>
        <w:rPr>
          <w:rFonts w:ascii="Times New Roman" w:hAnsi="Times New Roman" w:cs="Times New Roman" w:eastAsiaTheme="minorEastAsia"/>
          <w:color w:val="000000" w:themeColor="text1"/>
          <w:w w:val="99"/>
          <w:kern w:val="2"/>
          <w:sz w:val="24"/>
          <w:szCs w:val="20"/>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，日均值浓度范围为4～52μg/m</w:t>
      </w:r>
      <w:r>
        <w:rPr>
          <w:rFonts w:ascii="Times New Roman" w:hAnsi="Times New Roman" w:cs="Times New Roman" w:eastAsiaTheme="minorEastAsia"/>
          <w:color w:val="000000" w:themeColor="text1"/>
          <w:w w:val="99"/>
          <w:kern w:val="2"/>
          <w:sz w:val="24"/>
          <w:szCs w:val="20"/>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，优于国家环境空气质量一级标准限值；可吸入颗粒物（PM</w:t>
      </w:r>
      <w:r>
        <w:rPr>
          <w:rFonts w:ascii="Times New Roman" w:hAnsi="Times New Roman" w:cs="Times New Roman" w:eastAsiaTheme="minorEastAsia"/>
          <w:color w:val="000000" w:themeColor="text1"/>
          <w:w w:val="99"/>
          <w:kern w:val="2"/>
          <w:sz w:val="24"/>
          <w:szCs w:val="20"/>
          <w:vertAlign w:val="subscript"/>
          <w:lang w:val="en-US" w:bidi="ar-SA"/>
          <w14:textFill>
            <w14:solidFill>
              <w14:schemeClr w14:val="tx1"/>
            </w14:solidFill>
          </w14:textFill>
        </w:rPr>
        <w:t>10</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）年均浓度为41μg/m</w:t>
      </w:r>
      <w:r>
        <w:rPr>
          <w:rFonts w:ascii="Times New Roman" w:hAnsi="Times New Roman" w:cs="Times New Roman" w:eastAsiaTheme="minorEastAsia"/>
          <w:color w:val="000000" w:themeColor="text1"/>
          <w:w w:val="99"/>
          <w:kern w:val="2"/>
          <w:sz w:val="24"/>
          <w:szCs w:val="20"/>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，优于国家环境空气质量二级标准限值；细颗粒物（PM</w:t>
      </w:r>
      <w:r>
        <w:rPr>
          <w:rFonts w:ascii="Times New Roman" w:hAnsi="Times New Roman" w:cs="Times New Roman" w:eastAsiaTheme="minorEastAsia"/>
          <w:color w:val="000000" w:themeColor="text1"/>
          <w:w w:val="99"/>
          <w:kern w:val="2"/>
          <w:sz w:val="24"/>
          <w:szCs w:val="20"/>
          <w:vertAlign w:val="subscript"/>
          <w:lang w:val="en-US" w:bidi="ar-SA"/>
          <w14:textFill>
            <w14:solidFill>
              <w14:schemeClr w14:val="tx1"/>
            </w14:solidFill>
          </w14:textFill>
        </w:rPr>
        <w:t>2.5</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）年均浓度为27μg/m</w:t>
      </w:r>
      <w:r>
        <w:rPr>
          <w:rFonts w:ascii="Times New Roman" w:hAnsi="Times New Roman" w:cs="Times New Roman" w:eastAsiaTheme="minorEastAsia"/>
          <w:color w:val="000000" w:themeColor="text1"/>
          <w:w w:val="99"/>
          <w:kern w:val="2"/>
          <w:sz w:val="24"/>
          <w:szCs w:val="20"/>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，优于国家环境空气质量二级标准限值；一氧化碳24小时平均第95百分位数为0.9mg/m</w:t>
      </w:r>
      <w:r>
        <w:rPr>
          <w:rFonts w:ascii="Times New Roman" w:hAnsi="Times New Roman" w:cs="Times New Roman" w:eastAsiaTheme="minorEastAsia"/>
          <w:color w:val="000000" w:themeColor="text1"/>
          <w:w w:val="99"/>
          <w:kern w:val="2"/>
          <w:sz w:val="24"/>
          <w:szCs w:val="20"/>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，日均浓度范围为0.3～1.2mg/m</w:t>
      </w:r>
      <w:r>
        <w:rPr>
          <w:rFonts w:ascii="Times New Roman" w:hAnsi="Times New Roman" w:cs="Times New Roman" w:eastAsiaTheme="minorEastAsia"/>
          <w:color w:val="000000" w:themeColor="text1"/>
          <w:w w:val="99"/>
          <w:kern w:val="2"/>
          <w:sz w:val="24"/>
          <w:szCs w:val="20"/>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，优于国家环境空气质量一级标准限值；臭氧最大8小时平均第90百分位数为126μg/m</w:t>
      </w:r>
      <w:r>
        <w:rPr>
          <w:rFonts w:ascii="Times New Roman" w:hAnsi="Times New Roman" w:cs="Times New Roman" w:eastAsiaTheme="minorEastAsia"/>
          <w:color w:val="000000" w:themeColor="text1"/>
          <w:w w:val="99"/>
          <w:kern w:val="2"/>
          <w:sz w:val="24"/>
          <w:szCs w:val="20"/>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，日均值浓度范围为25～213μg/m</w:t>
      </w:r>
      <w:r>
        <w:rPr>
          <w:rFonts w:ascii="Times New Roman" w:hAnsi="Times New Roman" w:cs="Times New Roman" w:eastAsiaTheme="minorEastAsia"/>
          <w:color w:val="000000" w:themeColor="text1"/>
          <w:w w:val="99"/>
          <w:kern w:val="2"/>
          <w:sz w:val="24"/>
          <w:szCs w:val="20"/>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，优于国家环境空气质量二级标准限值。</w:t>
      </w:r>
    </w:p>
    <w:p w14:paraId="3ECA1352">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本项目区域空气质量现状评价见表4.3-1。</w:t>
      </w:r>
    </w:p>
    <w:p w14:paraId="6954054E">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表4.3-1    区域空气质量现状评价表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2831"/>
        <w:gridCol w:w="1363"/>
        <w:gridCol w:w="1365"/>
        <w:gridCol w:w="1365"/>
        <w:gridCol w:w="1364"/>
      </w:tblGrid>
      <w:tr w14:paraId="3543C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vAlign w:val="center"/>
          </w:tcPr>
          <w:p w14:paraId="575C7D57">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污染物</w:t>
            </w:r>
          </w:p>
        </w:tc>
        <w:tc>
          <w:tcPr>
            <w:tcW w:w="1524" w:type="pct"/>
            <w:vAlign w:val="center"/>
          </w:tcPr>
          <w:p w14:paraId="1241640D">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年评价指标</w:t>
            </w:r>
          </w:p>
        </w:tc>
        <w:tc>
          <w:tcPr>
            <w:tcW w:w="734" w:type="pct"/>
            <w:vAlign w:val="center"/>
          </w:tcPr>
          <w:p w14:paraId="71A7FA58">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现状浓度</w:t>
            </w:r>
          </w:p>
        </w:tc>
        <w:tc>
          <w:tcPr>
            <w:tcW w:w="735" w:type="pct"/>
            <w:vAlign w:val="center"/>
          </w:tcPr>
          <w:p w14:paraId="543C07F1">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标准值</w:t>
            </w:r>
          </w:p>
        </w:tc>
        <w:tc>
          <w:tcPr>
            <w:tcW w:w="735" w:type="pct"/>
            <w:vAlign w:val="center"/>
          </w:tcPr>
          <w:p w14:paraId="1E0979B3">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占标率</w:t>
            </w:r>
          </w:p>
        </w:tc>
        <w:tc>
          <w:tcPr>
            <w:tcW w:w="734" w:type="pct"/>
            <w:vAlign w:val="center"/>
          </w:tcPr>
          <w:p w14:paraId="6C8E9700">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达标情况</w:t>
            </w:r>
          </w:p>
        </w:tc>
      </w:tr>
      <w:tr w14:paraId="62F68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vAlign w:val="center"/>
          </w:tcPr>
          <w:p w14:paraId="0412901C">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SO</w:t>
            </w:r>
            <w:r>
              <w:rPr>
                <w:rFonts w:ascii="Times New Roman" w:hAnsi="Times New Roman" w:cs="Times New Roman" w:eastAsiaTheme="minorEastAsia"/>
                <w:color w:val="000000" w:themeColor="text1"/>
                <w:w w:val="99"/>
                <w:kern w:val="2"/>
                <w:sz w:val="21"/>
                <w:szCs w:val="21"/>
                <w:vertAlign w:val="subscript"/>
                <w:lang w:val="en-US" w:bidi="ar-SA"/>
                <w14:textFill>
                  <w14:solidFill>
                    <w14:schemeClr w14:val="tx1"/>
                  </w14:solidFill>
                </w14:textFill>
              </w:rPr>
              <w:t>2</w:t>
            </w:r>
          </w:p>
        </w:tc>
        <w:tc>
          <w:tcPr>
            <w:tcW w:w="1524" w:type="pct"/>
            <w:vAlign w:val="center"/>
          </w:tcPr>
          <w:p w14:paraId="572F4768">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年平均质量浓度</w:t>
            </w:r>
          </w:p>
        </w:tc>
        <w:tc>
          <w:tcPr>
            <w:tcW w:w="734" w:type="pct"/>
            <w:vAlign w:val="center"/>
          </w:tcPr>
          <w:p w14:paraId="4BD33453">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9μg/m</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3</w:t>
            </w:r>
          </w:p>
        </w:tc>
        <w:tc>
          <w:tcPr>
            <w:tcW w:w="735" w:type="pct"/>
            <w:vAlign w:val="center"/>
          </w:tcPr>
          <w:p w14:paraId="008B424D">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60μg/m</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3</w:t>
            </w:r>
          </w:p>
        </w:tc>
        <w:tc>
          <w:tcPr>
            <w:tcW w:w="735" w:type="pct"/>
            <w:vAlign w:val="center"/>
          </w:tcPr>
          <w:p w14:paraId="797B37E5">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15%</w:t>
            </w:r>
          </w:p>
        </w:tc>
        <w:tc>
          <w:tcPr>
            <w:tcW w:w="734" w:type="pct"/>
            <w:vAlign w:val="center"/>
          </w:tcPr>
          <w:p w14:paraId="071C47AE">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达标</w:t>
            </w:r>
          </w:p>
        </w:tc>
      </w:tr>
      <w:tr w14:paraId="39FA8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vAlign w:val="center"/>
          </w:tcPr>
          <w:p w14:paraId="2634B626">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NO</w:t>
            </w:r>
            <w:r>
              <w:rPr>
                <w:rFonts w:ascii="Times New Roman" w:hAnsi="Times New Roman" w:cs="Times New Roman" w:eastAsiaTheme="minorEastAsia"/>
                <w:color w:val="000000" w:themeColor="text1"/>
                <w:w w:val="99"/>
                <w:kern w:val="2"/>
                <w:sz w:val="21"/>
                <w:szCs w:val="21"/>
                <w:vertAlign w:val="subscript"/>
                <w:lang w:val="en-US" w:bidi="ar-SA"/>
                <w14:textFill>
                  <w14:solidFill>
                    <w14:schemeClr w14:val="tx1"/>
                  </w14:solidFill>
                </w14:textFill>
              </w:rPr>
              <w:t>2</w:t>
            </w:r>
          </w:p>
        </w:tc>
        <w:tc>
          <w:tcPr>
            <w:tcW w:w="1524" w:type="pct"/>
            <w:vAlign w:val="center"/>
          </w:tcPr>
          <w:p w14:paraId="4F3C97F6">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年平均质量浓度</w:t>
            </w:r>
          </w:p>
        </w:tc>
        <w:tc>
          <w:tcPr>
            <w:tcW w:w="734" w:type="pct"/>
            <w:vAlign w:val="center"/>
          </w:tcPr>
          <w:p w14:paraId="629E8F22">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18μg/m</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3</w:t>
            </w:r>
          </w:p>
        </w:tc>
        <w:tc>
          <w:tcPr>
            <w:tcW w:w="735" w:type="pct"/>
            <w:vAlign w:val="center"/>
          </w:tcPr>
          <w:p w14:paraId="77E5F23A">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40μg/m</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3</w:t>
            </w:r>
          </w:p>
        </w:tc>
        <w:tc>
          <w:tcPr>
            <w:tcW w:w="735" w:type="pct"/>
            <w:vAlign w:val="center"/>
          </w:tcPr>
          <w:p w14:paraId="4B8A83F8">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45%</w:t>
            </w:r>
          </w:p>
        </w:tc>
        <w:tc>
          <w:tcPr>
            <w:tcW w:w="734" w:type="pct"/>
            <w:vAlign w:val="center"/>
          </w:tcPr>
          <w:p w14:paraId="1BF5A653">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达标</w:t>
            </w:r>
          </w:p>
        </w:tc>
      </w:tr>
      <w:tr w14:paraId="60072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vAlign w:val="center"/>
          </w:tcPr>
          <w:p w14:paraId="5A2D84E8">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PM</w:t>
            </w:r>
            <w:r>
              <w:rPr>
                <w:rFonts w:ascii="Times New Roman" w:hAnsi="Times New Roman" w:cs="Times New Roman" w:eastAsiaTheme="minorEastAsia"/>
                <w:color w:val="000000" w:themeColor="text1"/>
                <w:w w:val="99"/>
                <w:kern w:val="2"/>
                <w:sz w:val="21"/>
                <w:szCs w:val="21"/>
                <w:vertAlign w:val="subscript"/>
                <w:lang w:val="en-US" w:bidi="ar-SA"/>
                <w14:textFill>
                  <w14:solidFill>
                    <w14:schemeClr w14:val="tx1"/>
                  </w14:solidFill>
                </w14:textFill>
              </w:rPr>
              <w:t>10</w:t>
            </w:r>
          </w:p>
        </w:tc>
        <w:tc>
          <w:tcPr>
            <w:tcW w:w="1524" w:type="pct"/>
            <w:vAlign w:val="center"/>
          </w:tcPr>
          <w:p w14:paraId="1F509917">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年平均质量浓度</w:t>
            </w:r>
          </w:p>
        </w:tc>
        <w:tc>
          <w:tcPr>
            <w:tcW w:w="734" w:type="pct"/>
            <w:vAlign w:val="center"/>
          </w:tcPr>
          <w:p w14:paraId="720DD4E7">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41μg/m</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3</w:t>
            </w:r>
          </w:p>
        </w:tc>
        <w:tc>
          <w:tcPr>
            <w:tcW w:w="735" w:type="pct"/>
            <w:vAlign w:val="center"/>
          </w:tcPr>
          <w:p w14:paraId="17ADA20C">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70μg/m</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3</w:t>
            </w:r>
          </w:p>
        </w:tc>
        <w:tc>
          <w:tcPr>
            <w:tcW w:w="735" w:type="pct"/>
            <w:vAlign w:val="center"/>
          </w:tcPr>
          <w:p w14:paraId="7B2E7136">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58.57%</w:t>
            </w:r>
          </w:p>
        </w:tc>
        <w:tc>
          <w:tcPr>
            <w:tcW w:w="734" w:type="pct"/>
            <w:vAlign w:val="center"/>
          </w:tcPr>
          <w:p w14:paraId="3FBA1011">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达标</w:t>
            </w:r>
          </w:p>
        </w:tc>
      </w:tr>
      <w:tr w14:paraId="05C9D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vAlign w:val="center"/>
          </w:tcPr>
          <w:p w14:paraId="0CADABCA">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PM</w:t>
            </w:r>
            <w:r>
              <w:rPr>
                <w:rFonts w:ascii="Times New Roman" w:hAnsi="Times New Roman" w:cs="Times New Roman" w:eastAsiaTheme="minorEastAsia"/>
                <w:color w:val="000000" w:themeColor="text1"/>
                <w:w w:val="99"/>
                <w:kern w:val="2"/>
                <w:sz w:val="21"/>
                <w:szCs w:val="21"/>
                <w:vertAlign w:val="subscript"/>
                <w:lang w:val="en-US" w:bidi="ar-SA"/>
                <w14:textFill>
                  <w14:solidFill>
                    <w14:schemeClr w14:val="tx1"/>
                  </w14:solidFill>
                </w14:textFill>
              </w:rPr>
              <w:t>2.5</w:t>
            </w:r>
          </w:p>
        </w:tc>
        <w:tc>
          <w:tcPr>
            <w:tcW w:w="1524" w:type="pct"/>
            <w:vAlign w:val="center"/>
          </w:tcPr>
          <w:p w14:paraId="7DA40F50">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年平均质量浓度</w:t>
            </w:r>
          </w:p>
        </w:tc>
        <w:tc>
          <w:tcPr>
            <w:tcW w:w="734" w:type="pct"/>
            <w:vAlign w:val="center"/>
          </w:tcPr>
          <w:p w14:paraId="19EC7357">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27μg/m</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3</w:t>
            </w:r>
          </w:p>
        </w:tc>
        <w:tc>
          <w:tcPr>
            <w:tcW w:w="735" w:type="pct"/>
            <w:vAlign w:val="center"/>
          </w:tcPr>
          <w:p w14:paraId="1F118D13">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35μg/m</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3</w:t>
            </w:r>
          </w:p>
        </w:tc>
        <w:tc>
          <w:tcPr>
            <w:tcW w:w="735" w:type="pct"/>
            <w:vAlign w:val="center"/>
          </w:tcPr>
          <w:p w14:paraId="7F5DDBC7">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77.14%</w:t>
            </w:r>
          </w:p>
        </w:tc>
        <w:tc>
          <w:tcPr>
            <w:tcW w:w="734" w:type="pct"/>
            <w:vAlign w:val="center"/>
          </w:tcPr>
          <w:p w14:paraId="4EC5653E">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达标</w:t>
            </w:r>
          </w:p>
        </w:tc>
      </w:tr>
      <w:tr w14:paraId="4AADB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vAlign w:val="center"/>
          </w:tcPr>
          <w:p w14:paraId="2A4D6AFF">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CO</w:t>
            </w:r>
          </w:p>
        </w:tc>
        <w:tc>
          <w:tcPr>
            <w:tcW w:w="1524" w:type="pct"/>
            <w:vAlign w:val="center"/>
          </w:tcPr>
          <w:p w14:paraId="770E6F1B">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第95位日平均质量浓度</w:t>
            </w:r>
          </w:p>
        </w:tc>
        <w:tc>
          <w:tcPr>
            <w:tcW w:w="734" w:type="pct"/>
            <w:vAlign w:val="center"/>
          </w:tcPr>
          <w:p w14:paraId="7FC96108">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0.9mg/m</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3</w:t>
            </w:r>
          </w:p>
        </w:tc>
        <w:tc>
          <w:tcPr>
            <w:tcW w:w="735" w:type="pct"/>
            <w:vAlign w:val="center"/>
          </w:tcPr>
          <w:p w14:paraId="6B9C646B">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4mg/m</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3</w:t>
            </w:r>
          </w:p>
        </w:tc>
        <w:tc>
          <w:tcPr>
            <w:tcW w:w="735" w:type="pct"/>
            <w:vAlign w:val="center"/>
          </w:tcPr>
          <w:p w14:paraId="69C54817">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22.5%</w:t>
            </w:r>
          </w:p>
        </w:tc>
        <w:tc>
          <w:tcPr>
            <w:tcW w:w="734" w:type="pct"/>
            <w:vAlign w:val="center"/>
          </w:tcPr>
          <w:p w14:paraId="506B97DC">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达标</w:t>
            </w:r>
          </w:p>
        </w:tc>
      </w:tr>
      <w:tr w14:paraId="6BC64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vAlign w:val="center"/>
          </w:tcPr>
          <w:p w14:paraId="05369617">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O</w:t>
            </w:r>
            <w:r>
              <w:rPr>
                <w:rFonts w:ascii="Times New Roman" w:hAnsi="Times New Roman" w:cs="Times New Roman" w:eastAsiaTheme="minorEastAsia"/>
                <w:color w:val="000000" w:themeColor="text1"/>
                <w:w w:val="99"/>
                <w:kern w:val="2"/>
                <w:sz w:val="21"/>
                <w:szCs w:val="21"/>
                <w:vertAlign w:val="subscript"/>
                <w:lang w:val="en-US" w:bidi="ar-SA"/>
                <w14:textFill>
                  <w14:solidFill>
                    <w14:schemeClr w14:val="tx1"/>
                  </w14:solidFill>
                </w14:textFill>
              </w:rPr>
              <w:t>3</w:t>
            </w:r>
          </w:p>
        </w:tc>
        <w:tc>
          <w:tcPr>
            <w:tcW w:w="1524" w:type="pct"/>
            <w:vAlign w:val="center"/>
          </w:tcPr>
          <w:p w14:paraId="1A28B119">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第90位8h平均质量浓度</w:t>
            </w:r>
          </w:p>
        </w:tc>
        <w:tc>
          <w:tcPr>
            <w:tcW w:w="734" w:type="pct"/>
            <w:vAlign w:val="center"/>
          </w:tcPr>
          <w:p w14:paraId="261EBD29">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126μg/m</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3</w:t>
            </w:r>
          </w:p>
        </w:tc>
        <w:tc>
          <w:tcPr>
            <w:tcW w:w="735" w:type="pct"/>
            <w:vAlign w:val="center"/>
          </w:tcPr>
          <w:p w14:paraId="044BA6C3">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160μg/m</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3</w:t>
            </w:r>
          </w:p>
        </w:tc>
        <w:tc>
          <w:tcPr>
            <w:tcW w:w="735" w:type="pct"/>
            <w:vAlign w:val="center"/>
          </w:tcPr>
          <w:p w14:paraId="65494AA6">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78.75%</w:t>
            </w:r>
          </w:p>
        </w:tc>
        <w:tc>
          <w:tcPr>
            <w:tcW w:w="734" w:type="pct"/>
            <w:vAlign w:val="center"/>
          </w:tcPr>
          <w:p w14:paraId="47C1AAE8">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达标</w:t>
            </w:r>
          </w:p>
        </w:tc>
      </w:tr>
    </w:tbl>
    <w:p w14:paraId="31E9F363">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lang w:val="en-US" w:bidi="ar-SA"/>
          <w14:textFill>
            <w14:solidFill>
              <w14:schemeClr w14:val="tx1"/>
            </w14:solidFill>
          </w14:textFill>
        </w:rPr>
        <w:t>以上统计结果表明，项目所在区域内空气污染因子PM</w:t>
      </w:r>
      <w:r>
        <w:rPr>
          <w:rFonts w:ascii="Times New Roman" w:hAnsi="Times New Roman" w:cs="Times New Roman" w:eastAsiaTheme="minorEastAsia"/>
          <w:color w:val="000000" w:themeColor="text1"/>
          <w:w w:val="99"/>
          <w:kern w:val="2"/>
          <w:sz w:val="24"/>
          <w:vertAlign w:val="subscript"/>
          <w:lang w:val="en-US" w:bidi="ar-SA"/>
          <w14:textFill>
            <w14:solidFill>
              <w14:schemeClr w14:val="tx1"/>
            </w14:solidFill>
          </w14:textFill>
        </w:rPr>
        <w:t>10</w:t>
      </w:r>
      <w:r>
        <w:rPr>
          <w:rFonts w:ascii="Times New Roman" w:hAnsi="Times New Roman" w:cs="Times New Roman" w:eastAsiaTheme="minorEastAsia"/>
          <w:color w:val="000000" w:themeColor="text1"/>
          <w:w w:val="99"/>
          <w:kern w:val="2"/>
          <w:sz w:val="24"/>
          <w:lang w:val="en-US" w:bidi="ar-SA"/>
          <w14:textFill>
            <w14:solidFill>
              <w14:schemeClr w14:val="tx1"/>
            </w14:solidFill>
          </w14:textFill>
        </w:rPr>
        <w:t>、PM</w:t>
      </w:r>
      <w:r>
        <w:rPr>
          <w:rFonts w:ascii="Times New Roman" w:hAnsi="Times New Roman" w:cs="Times New Roman" w:eastAsiaTheme="minorEastAsia"/>
          <w:color w:val="000000" w:themeColor="text1"/>
          <w:w w:val="99"/>
          <w:kern w:val="2"/>
          <w:sz w:val="24"/>
          <w:vertAlign w:val="subscript"/>
          <w:lang w:val="en-US" w:bidi="ar-SA"/>
          <w14:textFill>
            <w14:solidFill>
              <w14:schemeClr w14:val="tx1"/>
            </w14:solidFill>
          </w14:textFill>
        </w:rPr>
        <w:t>2.5</w:t>
      </w:r>
      <w:r>
        <w:rPr>
          <w:rFonts w:ascii="Times New Roman" w:hAnsi="Times New Roman" w:cs="Times New Roman" w:eastAsiaTheme="minorEastAsia"/>
          <w:color w:val="000000" w:themeColor="text1"/>
          <w:w w:val="99"/>
          <w:kern w:val="2"/>
          <w:sz w:val="24"/>
          <w:lang w:val="en-US" w:bidi="ar-SA"/>
          <w14:textFill>
            <w14:solidFill>
              <w14:schemeClr w14:val="tx1"/>
            </w14:solidFill>
          </w14:textFill>
        </w:rPr>
        <w:t>、SO</w:t>
      </w:r>
      <w:r>
        <w:rPr>
          <w:rFonts w:ascii="Times New Roman" w:hAnsi="Times New Roman" w:cs="Times New Roman" w:eastAsiaTheme="minorEastAsia"/>
          <w:color w:val="000000" w:themeColor="text1"/>
          <w:w w:val="99"/>
          <w:kern w:val="2"/>
          <w:sz w:val="24"/>
          <w:vertAlign w:val="subscript"/>
          <w:lang w:val="en-US" w:bidi="ar-SA"/>
          <w14:textFill>
            <w14:solidFill>
              <w14:schemeClr w14:val="tx1"/>
            </w14:solidFill>
          </w14:textFill>
        </w:rPr>
        <w:t>2</w:t>
      </w:r>
      <w:r>
        <w:rPr>
          <w:rFonts w:ascii="Times New Roman" w:hAnsi="Times New Roman" w:cs="Times New Roman" w:eastAsiaTheme="minorEastAsia"/>
          <w:color w:val="000000" w:themeColor="text1"/>
          <w:w w:val="99"/>
          <w:kern w:val="2"/>
          <w:sz w:val="24"/>
          <w:lang w:val="en-US" w:bidi="ar-SA"/>
          <w14:textFill>
            <w14:solidFill>
              <w14:schemeClr w14:val="tx1"/>
            </w14:solidFill>
          </w14:textFill>
        </w:rPr>
        <w:t>、NO</w:t>
      </w:r>
      <w:r>
        <w:rPr>
          <w:rFonts w:ascii="Times New Roman" w:hAnsi="Times New Roman" w:cs="Times New Roman" w:eastAsiaTheme="minorEastAsia"/>
          <w:color w:val="000000" w:themeColor="text1"/>
          <w:w w:val="99"/>
          <w:kern w:val="2"/>
          <w:sz w:val="24"/>
          <w:vertAlign w:val="subscript"/>
          <w:lang w:val="en-US" w:bidi="ar-SA"/>
          <w14:textFill>
            <w14:solidFill>
              <w14:schemeClr w14:val="tx1"/>
            </w14:solidFill>
          </w14:textFill>
        </w:rPr>
        <w:t>2</w:t>
      </w:r>
      <w:r>
        <w:rPr>
          <w:rFonts w:ascii="Times New Roman" w:hAnsi="Times New Roman" w:cs="Times New Roman" w:eastAsiaTheme="minorEastAsia"/>
          <w:color w:val="000000" w:themeColor="text1"/>
          <w:w w:val="99"/>
          <w:kern w:val="2"/>
          <w:sz w:val="24"/>
          <w:lang w:val="en-US" w:bidi="ar-SA"/>
          <w14:textFill>
            <w14:solidFill>
              <w14:schemeClr w14:val="tx1"/>
            </w14:solidFill>
          </w14:textFill>
        </w:rPr>
        <w:t>、CO、O</w:t>
      </w:r>
      <w:r>
        <w:rPr>
          <w:rFonts w:ascii="Times New Roman" w:hAnsi="Times New Roman" w:cs="Times New Roman" w:eastAsiaTheme="minorEastAsia"/>
          <w:color w:val="000000" w:themeColor="text1"/>
          <w:w w:val="99"/>
          <w:kern w:val="2"/>
          <w:sz w:val="24"/>
          <w:vertAlign w:val="subscript"/>
          <w:lang w:val="en-US" w:bidi="ar-SA"/>
          <w14:textFill>
            <w14:solidFill>
              <w14:schemeClr w14:val="tx1"/>
            </w14:solidFill>
          </w14:textFill>
        </w:rPr>
        <w:t>3</w:t>
      </w:r>
      <w:r>
        <w:rPr>
          <w:rFonts w:ascii="Times New Roman" w:hAnsi="Times New Roman" w:cs="Times New Roman" w:eastAsiaTheme="minorEastAsia"/>
          <w:color w:val="000000" w:themeColor="text1"/>
          <w:w w:val="99"/>
          <w:kern w:val="2"/>
          <w:sz w:val="24"/>
          <w:lang w:val="en-US" w:bidi="ar-SA"/>
          <w14:textFill>
            <w14:solidFill>
              <w14:schemeClr w14:val="tx1"/>
            </w14:solidFill>
          </w14:textFill>
        </w:rPr>
        <w:t>均满足《环境空气质量标准》（GB3095-2012）及其修改单中二级标准的要求，判定项目所在区域为达标区。</w:t>
      </w:r>
    </w:p>
    <w:p w14:paraId="772AE86A">
      <w:pPr>
        <w:autoSpaceDE/>
        <w:autoSpaceDN/>
        <w:spacing w:line="440" w:lineRule="exact"/>
        <w:outlineLvl w:val="3"/>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t>4.3.1.2环境空气质量现状补充监测</w:t>
      </w:r>
    </w:p>
    <w:p w14:paraId="44232757">
      <w:pPr>
        <w:tabs>
          <w:tab w:val="left" w:pos="5262"/>
        </w:tabs>
        <w:autoSpaceDE/>
        <w:autoSpaceDN/>
        <w:spacing w:line="440" w:lineRule="exact"/>
        <w:ind w:firstLine="474" w:firstLineChars="200"/>
        <w:jc w:val="both"/>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（1）监测点位布设</w:t>
      </w:r>
    </w:p>
    <w:p w14:paraId="13A8FFC3">
      <w:pPr>
        <w:tabs>
          <w:tab w:val="left" w:pos="5262"/>
        </w:tabs>
        <w:autoSpaceDE/>
        <w:autoSpaceDN/>
        <w:spacing w:line="440" w:lineRule="exact"/>
        <w:ind w:firstLine="474" w:firstLineChars="200"/>
        <w:jc w:val="both"/>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根据《环境影响评价技术导则 大气环境》（HJ2.2—2018），以近20年统计的当地主导风向为轴向，在厂址及主导风向下风向5km范围内设置1～2个监测点。本项目共布设2个环境空气监测点位。</w:t>
      </w:r>
    </w:p>
    <w:p w14:paraId="5568966F">
      <w:pPr>
        <w:tabs>
          <w:tab w:val="left" w:pos="5262"/>
        </w:tabs>
        <w:autoSpaceDE/>
        <w:autoSpaceDN/>
        <w:spacing w:line="440" w:lineRule="exact"/>
        <w:ind w:firstLine="474" w:firstLineChars="200"/>
        <w:jc w:val="both"/>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本项目委托大庆中环评价检测有限公司于</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2022年10月16日-22日</w:t>
      </w: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对评价区域特征污染物进行环境质量现状补充监测，区域特征污染物为非甲烷总烃、TSP，具体点位见表</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4.3-</w:t>
      </w: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2，现状监测点位见附图12。</w:t>
      </w:r>
    </w:p>
    <w:p w14:paraId="285FFBD0">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表4.3-2    环境空气现状监测点位</w:t>
      </w:r>
    </w:p>
    <w:tbl>
      <w:tblPr>
        <w:tblStyle w:val="8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1"/>
        <w:gridCol w:w="1134"/>
        <w:gridCol w:w="1134"/>
        <w:gridCol w:w="1134"/>
        <w:gridCol w:w="708"/>
        <w:gridCol w:w="1276"/>
        <w:gridCol w:w="2407"/>
        <w:gridCol w:w="846"/>
      </w:tblGrid>
      <w:tr w14:paraId="74104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1" w:type="dxa"/>
            <w:vMerge w:val="restart"/>
            <w:vAlign w:val="center"/>
          </w:tcPr>
          <w:p w14:paraId="054C2C17">
            <w:pPr>
              <w:autoSpaceDE/>
              <w:autoSpaceDN/>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序号</w:t>
            </w:r>
          </w:p>
        </w:tc>
        <w:tc>
          <w:tcPr>
            <w:tcW w:w="1134" w:type="dxa"/>
            <w:vMerge w:val="restart"/>
            <w:vAlign w:val="center"/>
          </w:tcPr>
          <w:p w14:paraId="56441372">
            <w:pPr>
              <w:autoSpaceDE/>
              <w:autoSpaceDN/>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监测点名称</w:t>
            </w:r>
          </w:p>
        </w:tc>
        <w:tc>
          <w:tcPr>
            <w:tcW w:w="2268" w:type="dxa"/>
            <w:gridSpan w:val="2"/>
            <w:vAlign w:val="center"/>
          </w:tcPr>
          <w:p w14:paraId="0CAAD2E3">
            <w:pPr>
              <w:autoSpaceDE/>
              <w:autoSpaceDN/>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监测点坐标</w:t>
            </w:r>
          </w:p>
        </w:tc>
        <w:tc>
          <w:tcPr>
            <w:tcW w:w="708" w:type="dxa"/>
            <w:vMerge w:val="restart"/>
            <w:vAlign w:val="center"/>
          </w:tcPr>
          <w:p w14:paraId="1068F31C">
            <w:pPr>
              <w:autoSpaceDE/>
              <w:autoSpaceDN/>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监测因子</w:t>
            </w:r>
          </w:p>
        </w:tc>
        <w:tc>
          <w:tcPr>
            <w:tcW w:w="1276" w:type="dxa"/>
            <w:vMerge w:val="restart"/>
            <w:vAlign w:val="center"/>
          </w:tcPr>
          <w:p w14:paraId="254325D5">
            <w:pPr>
              <w:autoSpaceDE/>
              <w:autoSpaceDN/>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监测时段</w:t>
            </w:r>
          </w:p>
        </w:tc>
        <w:tc>
          <w:tcPr>
            <w:tcW w:w="2407" w:type="dxa"/>
            <w:vMerge w:val="restart"/>
            <w:vAlign w:val="center"/>
          </w:tcPr>
          <w:p w14:paraId="1C0F19BF">
            <w:pPr>
              <w:autoSpaceDE/>
              <w:autoSpaceDN/>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相对厂址方位</w:t>
            </w:r>
          </w:p>
        </w:tc>
        <w:tc>
          <w:tcPr>
            <w:tcW w:w="846" w:type="dxa"/>
            <w:vMerge w:val="restart"/>
            <w:vAlign w:val="center"/>
          </w:tcPr>
          <w:p w14:paraId="0A5B852A">
            <w:pPr>
              <w:autoSpaceDE/>
              <w:autoSpaceDN/>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相对厂界距离</w:t>
            </w:r>
          </w:p>
        </w:tc>
      </w:tr>
      <w:tr w14:paraId="799B9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1" w:type="dxa"/>
            <w:vMerge w:val="continue"/>
            <w:vAlign w:val="center"/>
          </w:tcPr>
          <w:p w14:paraId="2FB5FDA5">
            <w:pPr>
              <w:autoSpaceDE/>
              <w:autoSpaceDN/>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134" w:type="dxa"/>
            <w:vMerge w:val="continue"/>
            <w:vAlign w:val="center"/>
          </w:tcPr>
          <w:p w14:paraId="73D06A32">
            <w:pPr>
              <w:autoSpaceDE/>
              <w:autoSpaceDN/>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134" w:type="dxa"/>
            <w:vAlign w:val="center"/>
          </w:tcPr>
          <w:p w14:paraId="1D86F667">
            <w:pPr>
              <w:autoSpaceDE/>
              <w:autoSpaceDN/>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经度</w:t>
            </w:r>
          </w:p>
        </w:tc>
        <w:tc>
          <w:tcPr>
            <w:tcW w:w="1134" w:type="dxa"/>
            <w:vAlign w:val="center"/>
          </w:tcPr>
          <w:p w14:paraId="5DA7992B">
            <w:pPr>
              <w:autoSpaceDE/>
              <w:autoSpaceDN/>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纬度</w:t>
            </w:r>
          </w:p>
        </w:tc>
        <w:tc>
          <w:tcPr>
            <w:tcW w:w="708" w:type="dxa"/>
            <w:vMerge w:val="continue"/>
            <w:vAlign w:val="center"/>
          </w:tcPr>
          <w:p w14:paraId="01ABF8F7">
            <w:pPr>
              <w:autoSpaceDE/>
              <w:autoSpaceDN/>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276" w:type="dxa"/>
            <w:vMerge w:val="continue"/>
            <w:vAlign w:val="center"/>
          </w:tcPr>
          <w:p w14:paraId="3D7AD640">
            <w:pPr>
              <w:autoSpaceDE/>
              <w:autoSpaceDN/>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2407" w:type="dxa"/>
            <w:vMerge w:val="continue"/>
            <w:vAlign w:val="center"/>
          </w:tcPr>
          <w:p w14:paraId="2C7A29C6">
            <w:pPr>
              <w:autoSpaceDE/>
              <w:autoSpaceDN/>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846" w:type="dxa"/>
            <w:vMerge w:val="continue"/>
            <w:vAlign w:val="center"/>
          </w:tcPr>
          <w:p w14:paraId="65A15736">
            <w:pPr>
              <w:autoSpaceDE/>
              <w:autoSpaceDN/>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r>
      <w:tr w14:paraId="698AA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1" w:type="dxa"/>
            <w:noWrap/>
            <w:vAlign w:val="center"/>
          </w:tcPr>
          <w:p w14:paraId="6195DD16">
            <w:pPr>
              <w:autoSpaceDE/>
              <w:autoSpaceDN/>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1</w:t>
            </w:r>
          </w:p>
        </w:tc>
        <w:tc>
          <w:tcPr>
            <w:tcW w:w="1134" w:type="dxa"/>
            <w:noWrap/>
            <w:vAlign w:val="center"/>
          </w:tcPr>
          <w:p w14:paraId="4D4F7486">
            <w:pPr>
              <w:autoSpaceDE/>
              <w:autoSpaceDN/>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拟建混输阀组间</w:t>
            </w:r>
          </w:p>
        </w:tc>
        <w:tc>
          <w:tcPr>
            <w:tcW w:w="1134" w:type="dxa"/>
            <w:vAlign w:val="center"/>
          </w:tcPr>
          <w:p w14:paraId="7C362938">
            <w:pPr>
              <w:autoSpaceDE/>
              <w:autoSpaceDN/>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124.40461</w:t>
            </w:r>
          </w:p>
        </w:tc>
        <w:tc>
          <w:tcPr>
            <w:tcW w:w="1134" w:type="dxa"/>
            <w:vAlign w:val="center"/>
          </w:tcPr>
          <w:p w14:paraId="44D842CD">
            <w:pPr>
              <w:autoSpaceDE/>
              <w:autoSpaceDN/>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46.31708</w:t>
            </w:r>
          </w:p>
        </w:tc>
        <w:tc>
          <w:tcPr>
            <w:tcW w:w="708" w:type="dxa"/>
            <w:vMerge w:val="restart"/>
            <w:noWrap/>
            <w:vAlign w:val="center"/>
          </w:tcPr>
          <w:p w14:paraId="37879D3F">
            <w:pPr>
              <w:autoSpaceDE/>
              <w:autoSpaceDN/>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非甲烷总烃、TSP</w:t>
            </w:r>
          </w:p>
          <w:p w14:paraId="68A84D81">
            <w:pPr>
              <w:autoSpaceDE/>
              <w:autoSpaceDN/>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276" w:type="dxa"/>
            <w:vMerge w:val="restart"/>
            <w:noWrap/>
            <w:vAlign w:val="center"/>
          </w:tcPr>
          <w:p w14:paraId="1BB242FB">
            <w:pPr>
              <w:autoSpaceDE/>
              <w:autoSpaceDN/>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2022.10.16-2022.10.22</w:t>
            </w:r>
          </w:p>
        </w:tc>
        <w:tc>
          <w:tcPr>
            <w:tcW w:w="2407" w:type="dxa"/>
            <w:noWrap/>
            <w:vAlign w:val="center"/>
          </w:tcPr>
          <w:p w14:paraId="20C046FD">
            <w:pPr>
              <w:autoSpaceDE/>
              <w:autoSpaceDN/>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拟建</w:t>
            </w:r>
          </w:p>
        </w:tc>
        <w:tc>
          <w:tcPr>
            <w:tcW w:w="846" w:type="dxa"/>
            <w:noWrap/>
            <w:vAlign w:val="center"/>
          </w:tcPr>
          <w:p w14:paraId="0B702D68">
            <w:pPr>
              <w:autoSpaceDE/>
              <w:autoSpaceDN/>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w:t>
            </w:r>
          </w:p>
        </w:tc>
      </w:tr>
      <w:tr w14:paraId="7C18E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1" w:type="dxa"/>
            <w:noWrap/>
            <w:vAlign w:val="center"/>
          </w:tcPr>
          <w:p w14:paraId="07F25EF8">
            <w:pPr>
              <w:autoSpaceDE/>
              <w:autoSpaceDN/>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2</w:t>
            </w:r>
          </w:p>
        </w:tc>
        <w:tc>
          <w:tcPr>
            <w:tcW w:w="1134" w:type="dxa"/>
            <w:noWrap/>
            <w:vAlign w:val="center"/>
          </w:tcPr>
          <w:p w14:paraId="78320896">
            <w:pPr>
              <w:autoSpaceDE/>
              <w:autoSpaceDN/>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杏树岗村</w:t>
            </w:r>
          </w:p>
        </w:tc>
        <w:tc>
          <w:tcPr>
            <w:tcW w:w="1134" w:type="dxa"/>
            <w:vAlign w:val="center"/>
          </w:tcPr>
          <w:p w14:paraId="3280610C">
            <w:pPr>
              <w:autoSpaceDE/>
              <w:autoSpaceDN/>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124.43437</w:t>
            </w:r>
          </w:p>
        </w:tc>
        <w:tc>
          <w:tcPr>
            <w:tcW w:w="1134" w:type="dxa"/>
            <w:vAlign w:val="center"/>
          </w:tcPr>
          <w:p w14:paraId="0217DB43">
            <w:pPr>
              <w:autoSpaceDE/>
              <w:autoSpaceDN/>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46.31543</w:t>
            </w:r>
          </w:p>
        </w:tc>
        <w:tc>
          <w:tcPr>
            <w:tcW w:w="708" w:type="dxa"/>
            <w:vMerge w:val="continue"/>
            <w:noWrap/>
            <w:vAlign w:val="center"/>
          </w:tcPr>
          <w:p w14:paraId="68433AE8">
            <w:pPr>
              <w:autoSpaceDE/>
              <w:autoSpaceDN/>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276" w:type="dxa"/>
            <w:vMerge w:val="continue"/>
            <w:noWrap/>
            <w:vAlign w:val="center"/>
          </w:tcPr>
          <w:p w14:paraId="7637BE82">
            <w:pPr>
              <w:autoSpaceDE/>
              <w:autoSpaceDN/>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2407" w:type="dxa"/>
            <w:noWrap/>
            <w:vAlign w:val="center"/>
          </w:tcPr>
          <w:p w14:paraId="5394651B">
            <w:pPr>
              <w:autoSpaceDE/>
              <w:autoSpaceDN/>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
                <w14:textFill>
                  <w14:solidFill>
                    <w14:schemeClr w14:val="tx1"/>
                  </w14:solidFill>
                </w14:textFill>
              </w:rPr>
              <w:t>龙27-斜6拉油点至新建混输阀组间集油管道南侧</w:t>
            </w:r>
          </w:p>
        </w:tc>
        <w:tc>
          <w:tcPr>
            <w:tcW w:w="846" w:type="dxa"/>
            <w:noWrap/>
            <w:vAlign w:val="center"/>
          </w:tcPr>
          <w:p w14:paraId="7EF79B97">
            <w:pPr>
              <w:autoSpaceDE/>
              <w:autoSpaceDN/>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70m</w:t>
            </w:r>
          </w:p>
        </w:tc>
      </w:tr>
    </w:tbl>
    <w:p w14:paraId="097CBBDE">
      <w:pPr>
        <w:autoSpaceDE/>
        <w:autoSpaceDN/>
        <w:spacing w:line="440" w:lineRule="exact"/>
        <w:ind w:firstLine="474" w:firstLineChars="200"/>
        <w:jc w:val="both"/>
        <w:rPr>
          <w:rFonts w:ascii="Times New Roman" w:hAnsi="Times New Roman" w:cs="Times New Roman" w:eastAsiaTheme="minorEastAsia"/>
          <w:color w:val="000000" w:themeColor="text1"/>
          <w:w w:val="99"/>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8"/>
          <w:lang w:val="en-US" w:bidi="ar-SA"/>
          <w14:textFill>
            <w14:solidFill>
              <w14:schemeClr w14:val="tx1"/>
            </w14:solidFill>
          </w14:textFill>
        </w:rPr>
        <w:t>（2）监测项目</w:t>
      </w:r>
    </w:p>
    <w:p w14:paraId="113FD7FE">
      <w:pPr>
        <w:autoSpaceDE/>
        <w:autoSpaceDN/>
        <w:spacing w:line="440" w:lineRule="exact"/>
        <w:ind w:firstLine="474" w:firstLineChars="200"/>
        <w:jc w:val="both"/>
        <w:rPr>
          <w:rFonts w:ascii="Times New Roman" w:hAnsi="Times New Roman" w:cs="Times New Roman" w:eastAsiaTheme="minorEastAsia"/>
          <w:color w:val="000000" w:themeColor="text1"/>
          <w:w w:val="99"/>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8"/>
          <w:lang w:val="en-US" w:bidi="ar-SA"/>
          <w14:textFill>
            <w14:solidFill>
              <w14:schemeClr w14:val="tx1"/>
            </w14:solidFill>
          </w14:textFill>
        </w:rPr>
        <w:t>根据当地的环境空气质量特征，结合本项目大气污染物排放特点，确定环境空气质量监测因子为非甲烷总烃、TSP。</w:t>
      </w:r>
    </w:p>
    <w:p w14:paraId="594DE26B">
      <w:pPr>
        <w:autoSpaceDE/>
        <w:autoSpaceDN/>
        <w:spacing w:line="440" w:lineRule="exact"/>
        <w:ind w:firstLine="474" w:firstLineChars="200"/>
        <w:jc w:val="both"/>
        <w:rPr>
          <w:rFonts w:ascii="Times New Roman" w:hAnsi="Times New Roman" w:cs="Times New Roman" w:eastAsiaTheme="minorEastAsia"/>
          <w:color w:val="000000" w:themeColor="text1"/>
          <w:w w:val="99"/>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8"/>
          <w:lang w:val="en-US" w:bidi="ar-SA"/>
          <w14:textFill>
            <w14:solidFill>
              <w14:schemeClr w14:val="tx1"/>
            </w14:solidFill>
          </w14:textFill>
        </w:rPr>
        <w:t>（3）监测频次</w:t>
      </w:r>
    </w:p>
    <w:p w14:paraId="1BF41716">
      <w:pPr>
        <w:autoSpaceDE/>
        <w:autoSpaceDN/>
        <w:spacing w:line="440" w:lineRule="exact"/>
        <w:ind w:firstLine="474" w:firstLineChars="200"/>
        <w:jc w:val="both"/>
        <w:rPr>
          <w:rFonts w:ascii="Times New Roman" w:hAnsi="Times New Roman" w:cs="Times New Roman" w:eastAsiaTheme="minorEastAsia"/>
          <w:color w:val="000000" w:themeColor="text1"/>
          <w:w w:val="99"/>
          <w:sz w:val="24"/>
          <w:szCs w:val="28"/>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8"/>
          <w:lang w:val="en-US" w:bidi="ar-SA"/>
          <w14:textFill>
            <w14:solidFill>
              <w14:schemeClr w14:val="tx1"/>
            </w14:solidFill>
          </w14:textFill>
        </w:rPr>
        <w:t>非甲烷总烃监测频次为连续7天，每天采样4次，监测小时值；TSP监测频次为连续7天，监测日均值，每日监测24小时</w:t>
      </w:r>
      <w:r>
        <w:rPr>
          <w:rFonts w:ascii="Times New Roman" w:hAnsi="Times New Roman" w:cs="Times New Roman" w:eastAsiaTheme="minorEastAsia"/>
          <w:color w:val="000000" w:themeColor="text1"/>
          <w:w w:val="99"/>
          <w:sz w:val="24"/>
          <w:szCs w:val="28"/>
          <w:lang w:val="en-US" w:bidi="ar-SA"/>
          <w14:textFill>
            <w14:solidFill>
              <w14:schemeClr w14:val="tx1"/>
            </w14:solidFill>
          </w14:textFill>
        </w:rPr>
        <w:t>。</w:t>
      </w:r>
    </w:p>
    <w:p w14:paraId="7E267643">
      <w:pPr>
        <w:autoSpaceDE/>
        <w:autoSpaceDN/>
        <w:spacing w:line="440" w:lineRule="exact"/>
        <w:ind w:firstLine="474" w:firstLineChars="200"/>
        <w:jc w:val="both"/>
        <w:rPr>
          <w:rFonts w:ascii="Times New Roman" w:hAnsi="Times New Roman" w:cs="Times New Roman" w:eastAsiaTheme="minorEastAsia"/>
          <w:color w:val="000000" w:themeColor="text1"/>
          <w:w w:val="99"/>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8"/>
          <w:lang w:val="en-US" w:bidi="ar-SA"/>
          <w14:textFill>
            <w14:solidFill>
              <w14:schemeClr w14:val="tx1"/>
            </w14:solidFill>
          </w14:textFill>
        </w:rPr>
        <w:t>（4）评价方法</w:t>
      </w:r>
    </w:p>
    <w:p w14:paraId="2493EF4A">
      <w:pPr>
        <w:autoSpaceDE/>
        <w:autoSpaceDN/>
        <w:spacing w:line="440" w:lineRule="exact"/>
        <w:ind w:firstLine="474" w:firstLineChars="200"/>
        <w:jc w:val="both"/>
        <w:rPr>
          <w:rFonts w:ascii="Times New Roman" w:hAnsi="Times New Roman" w:cs="Times New Roman" w:eastAsiaTheme="minorEastAsia"/>
          <w:color w:val="000000" w:themeColor="text1"/>
          <w:w w:val="99"/>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8"/>
          <w:lang w:val="en-US" w:bidi="ar-SA"/>
          <w14:textFill>
            <w14:solidFill>
              <w14:schemeClr w14:val="tx1"/>
            </w14:solidFill>
          </w14:textFill>
        </w:rPr>
        <w:t>评价采用最大浓度占标率法，利用各监测点监测数据，统计各类污染物浓度范围、最大浓度占标率、最大超标倍数。数学表达式如下：</w:t>
      </w:r>
    </w:p>
    <w:p w14:paraId="5A4FA29A">
      <w:pPr>
        <w:autoSpaceDE/>
        <w:autoSpaceDN/>
        <w:spacing w:line="440" w:lineRule="exact"/>
        <w:ind w:firstLine="474" w:firstLineChars="200"/>
        <w:jc w:val="center"/>
        <w:rPr>
          <w:rFonts w:ascii="Times New Roman" w:hAnsi="Times New Roman" w:cs="Times New Roman" w:eastAsiaTheme="minorEastAsia"/>
          <w:color w:val="000000" w:themeColor="text1"/>
          <w:w w:val="99"/>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8"/>
          <w:lang w:val="en-US" w:bidi="ar-SA"/>
          <w14:textFill>
            <w14:solidFill>
              <w14:schemeClr w14:val="tx1"/>
            </w14:solidFill>
          </w14:textFill>
        </w:rPr>
        <w:t>I</w:t>
      </w:r>
      <w:r>
        <w:rPr>
          <w:rFonts w:ascii="Times New Roman" w:hAnsi="Times New Roman" w:cs="Times New Roman" w:eastAsiaTheme="minorEastAsia"/>
          <w:color w:val="000000" w:themeColor="text1"/>
          <w:w w:val="99"/>
          <w:sz w:val="24"/>
          <w:szCs w:val="28"/>
          <w:vertAlign w:val="subscript"/>
          <w:lang w:val="en-US" w:bidi="ar-SA"/>
          <w14:textFill>
            <w14:solidFill>
              <w14:schemeClr w14:val="tx1"/>
            </w14:solidFill>
          </w14:textFill>
        </w:rPr>
        <w:t>i</w:t>
      </w:r>
      <w:r>
        <w:rPr>
          <w:rFonts w:ascii="Times New Roman" w:hAnsi="Times New Roman" w:cs="Times New Roman" w:eastAsiaTheme="minorEastAsia"/>
          <w:color w:val="000000" w:themeColor="text1"/>
          <w:w w:val="99"/>
          <w:sz w:val="24"/>
          <w:szCs w:val="28"/>
          <w:lang w:val="en-US" w:bidi="ar-SA"/>
          <w14:textFill>
            <w14:solidFill>
              <w14:schemeClr w14:val="tx1"/>
            </w14:solidFill>
          </w14:textFill>
        </w:rPr>
        <w:t>＝C</w:t>
      </w:r>
      <w:r>
        <w:rPr>
          <w:rFonts w:ascii="Times New Roman" w:hAnsi="Times New Roman" w:cs="Times New Roman" w:eastAsiaTheme="minorEastAsia"/>
          <w:color w:val="000000" w:themeColor="text1"/>
          <w:w w:val="99"/>
          <w:sz w:val="24"/>
          <w:szCs w:val="28"/>
          <w:vertAlign w:val="subscript"/>
          <w:lang w:val="en-US" w:bidi="ar-SA"/>
          <w14:textFill>
            <w14:solidFill>
              <w14:schemeClr w14:val="tx1"/>
            </w14:solidFill>
          </w14:textFill>
        </w:rPr>
        <w:t>i</w:t>
      </w:r>
      <w:r>
        <w:rPr>
          <w:rFonts w:ascii="Times New Roman" w:hAnsi="Times New Roman" w:cs="Times New Roman" w:eastAsiaTheme="minorEastAsia"/>
          <w:color w:val="000000" w:themeColor="text1"/>
          <w:w w:val="99"/>
          <w:sz w:val="24"/>
          <w:szCs w:val="28"/>
          <w:lang w:val="en-US" w:bidi="ar-SA"/>
          <w14:textFill>
            <w14:solidFill>
              <w14:schemeClr w14:val="tx1"/>
            </w14:solidFill>
          </w14:textFill>
        </w:rPr>
        <w:t>/C</w:t>
      </w:r>
      <w:r>
        <w:rPr>
          <w:rFonts w:ascii="Times New Roman" w:hAnsi="Times New Roman" w:cs="Times New Roman" w:eastAsiaTheme="minorEastAsia"/>
          <w:color w:val="000000" w:themeColor="text1"/>
          <w:w w:val="99"/>
          <w:sz w:val="24"/>
          <w:szCs w:val="28"/>
          <w:vertAlign w:val="subscript"/>
          <w:lang w:val="en-US" w:bidi="ar-SA"/>
          <w14:textFill>
            <w14:solidFill>
              <w14:schemeClr w14:val="tx1"/>
            </w14:solidFill>
          </w14:textFill>
        </w:rPr>
        <w:t>oi</w:t>
      </w:r>
      <w:r>
        <w:rPr>
          <w:rFonts w:ascii="Times New Roman" w:hAnsi="Times New Roman" w:cs="Times New Roman" w:eastAsiaTheme="minorEastAsia"/>
          <w:color w:val="000000" w:themeColor="text1"/>
          <w:w w:val="99"/>
          <w:sz w:val="24"/>
          <w:szCs w:val="28"/>
          <w:lang w:val="en-US" w:bidi="ar-SA"/>
          <w14:textFill>
            <w14:solidFill>
              <w14:schemeClr w14:val="tx1"/>
            </w14:solidFill>
          </w14:textFill>
        </w:rPr>
        <w:t>×100%</w:t>
      </w:r>
    </w:p>
    <w:p w14:paraId="3C1DDB0B">
      <w:pPr>
        <w:autoSpaceDE/>
        <w:autoSpaceDN/>
        <w:spacing w:line="440" w:lineRule="exact"/>
        <w:ind w:firstLine="474" w:firstLineChars="200"/>
        <w:jc w:val="both"/>
        <w:rPr>
          <w:rFonts w:ascii="Times New Roman" w:hAnsi="Times New Roman" w:cs="Times New Roman" w:eastAsiaTheme="minorEastAsia"/>
          <w:color w:val="000000" w:themeColor="text1"/>
          <w:w w:val="99"/>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8"/>
          <w:lang w:val="en-US" w:bidi="ar-SA"/>
          <w14:textFill>
            <w14:solidFill>
              <w14:schemeClr w14:val="tx1"/>
            </w14:solidFill>
          </w14:textFill>
        </w:rPr>
        <w:t>式中：I</w:t>
      </w:r>
      <w:r>
        <w:rPr>
          <w:rFonts w:ascii="Times New Roman" w:hAnsi="Times New Roman" w:cs="Times New Roman" w:eastAsiaTheme="minorEastAsia"/>
          <w:color w:val="000000" w:themeColor="text1"/>
          <w:w w:val="99"/>
          <w:sz w:val="24"/>
          <w:szCs w:val="28"/>
          <w:vertAlign w:val="subscript"/>
          <w:lang w:val="en-US" w:bidi="ar-SA"/>
          <w14:textFill>
            <w14:solidFill>
              <w14:schemeClr w14:val="tx1"/>
            </w14:solidFill>
          </w14:textFill>
        </w:rPr>
        <w:t>i</w:t>
      </w:r>
      <w:r>
        <w:rPr>
          <w:rFonts w:ascii="Times New Roman" w:hAnsi="Times New Roman" w:cs="Times New Roman" w:eastAsiaTheme="minorEastAsia"/>
          <w:color w:val="000000" w:themeColor="text1"/>
          <w:w w:val="99"/>
          <w:sz w:val="24"/>
          <w:szCs w:val="28"/>
          <w:lang w:val="en-US" w:bidi="ar-SA"/>
          <w14:textFill>
            <w14:solidFill>
              <w14:schemeClr w14:val="tx1"/>
            </w14:solidFill>
          </w14:textFill>
        </w:rPr>
        <w:t>—第i种污染物的最大浓度占标率，%；</w:t>
      </w:r>
    </w:p>
    <w:p w14:paraId="6068FA74">
      <w:pPr>
        <w:autoSpaceDE/>
        <w:autoSpaceDN/>
        <w:spacing w:line="440" w:lineRule="exact"/>
        <w:ind w:firstLine="474" w:firstLineChars="200"/>
        <w:jc w:val="both"/>
        <w:rPr>
          <w:rFonts w:ascii="Times New Roman" w:hAnsi="Times New Roman" w:cs="Times New Roman" w:eastAsiaTheme="minorEastAsia"/>
          <w:color w:val="000000" w:themeColor="text1"/>
          <w:w w:val="99"/>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8"/>
          <w:lang w:val="en-US" w:bidi="ar-SA"/>
          <w14:textFill>
            <w14:solidFill>
              <w14:schemeClr w14:val="tx1"/>
            </w14:solidFill>
          </w14:textFill>
        </w:rPr>
        <w:t xml:space="preserve">           C</w:t>
      </w:r>
      <w:r>
        <w:rPr>
          <w:rFonts w:ascii="Times New Roman" w:hAnsi="Times New Roman" w:cs="Times New Roman" w:eastAsiaTheme="minorEastAsia"/>
          <w:color w:val="000000" w:themeColor="text1"/>
          <w:w w:val="99"/>
          <w:sz w:val="24"/>
          <w:szCs w:val="28"/>
          <w:vertAlign w:val="subscript"/>
          <w:lang w:val="en-US" w:bidi="ar-SA"/>
          <w14:textFill>
            <w14:solidFill>
              <w14:schemeClr w14:val="tx1"/>
            </w14:solidFill>
          </w14:textFill>
        </w:rPr>
        <w:t>i</w:t>
      </w:r>
      <w:r>
        <w:rPr>
          <w:rFonts w:ascii="Times New Roman" w:hAnsi="Times New Roman" w:cs="Times New Roman" w:eastAsiaTheme="minorEastAsia"/>
          <w:color w:val="000000" w:themeColor="text1"/>
          <w:w w:val="99"/>
          <w:sz w:val="24"/>
          <w:szCs w:val="28"/>
          <w:lang w:val="en-US" w:bidi="ar-SA"/>
          <w14:textFill>
            <w14:solidFill>
              <w14:schemeClr w14:val="tx1"/>
            </w14:solidFill>
          </w14:textFill>
        </w:rPr>
        <w:t>—第i种污染物平均浓度，mg/m</w:t>
      </w:r>
      <w:r>
        <w:rPr>
          <w:rFonts w:ascii="Times New Roman" w:hAnsi="Times New Roman" w:cs="Times New Roman" w:eastAsiaTheme="minorEastAsia"/>
          <w:color w:val="000000" w:themeColor="text1"/>
          <w:w w:val="99"/>
          <w:sz w:val="24"/>
          <w:szCs w:val="28"/>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sz w:val="24"/>
          <w:szCs w:val="28"/>
          <w:lang w:val="en-US" w:bidi="ar-SA"/>
          <w14:textFill>
            <w14:solidFill>
              <w14:schemeClr w14:val="tx1"/>
            </w14:solidFill>
          </w14:textFill>
        </w:rPr>
        <w:t>；</w:t>
      </w:r>
    </w:p>
    <w:p w14:paraId="365D1C97">
      <w:pPr>
        <w:autoSpaceDE/>
        <w:autoSpaceDN/>
        <w:spacing w:line="440" w:lineRule="exact"/>
        <w:ind w:firstLine="474" w:firstLineChars="200"/>
        <w:jc w:val="both"/>
        <w:rPr>
          <w:rFonts w:ascii="Times New Roman" w:hAnsi="Times New Roman" w:cs="Times New Roman" w:eastAsiaTheme="minorEastAsia"/>
          <w:color w:val="000000" w:themeColor="text1"/>
          <w:w w:val="99"/>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8"/>
          <w:lang w:val="en-US" w:bidi="ar-SA"/>
          <w14:textFill>
            <w14:solidFill>
              <w14:schemeClr w14:val="tx1"/>
            </w14:solidFill>
          </w14:textFill>
        </w:rPr>
        <w:t xml:space="preserve">          C</w:t>
      </w:r>
      <w:r>
        <w:rPr>
          <w:rFonts w:ascii="Times New Roman" w:hAnsi="Times New Roman" w:cs="Times New Roman" w:eastAsiaTheme="minorEastAsia"/>
          <w:color w:val="000000" w:themeColor="text1"/>
          <w:w w:val="99"/>
          <w:sz w:val="24"/>
          <w:szCs w:val="28"/>
          <w:vertAlign w:val="subscript"/>
          <w:lang w:val="en-US" w:bidi="ar-SA"/>
          <w14:textFill>
            <w14:solidFill>
              <w14:schemeClr w14:val="tx1"/>
            </w14:solidFill>
          </w14:textFill>
        </w:rPr>
        <w:t>0i</w:t>
      </w:r>
      <w:r>
        <w:rPr>
          <w:rFonts w:ascii="Times New Roman" w:hAnsi="Times New Roman" w:cs="Times New Roman" w:eastAsiaTheme="minorEastAsia"/>
          <w:color w:val="000000" w:themeColor="text1"/>
          <w:w w:val="99"/>
          <w:sz w:val="24"/>
          <w:szCs w:val="28"/>
          <w:lang w:val="en-US" w:bidi="ar-SA"/>
          <w14:textFill>
            <w14:solidFill>
              <w14:schemeClr w14:val="tx1"/>
            </w14:solidFill>
          </w14:textFill>
        </w:rPr>
        <w:t>—第i种污染物环境质量标准，mg/m</w:t>
      </w:r>
      <w:r>
        <w:rPr>
          <w:rFonts w:ascii="Times New Roman" w:hAnsi="Times New Roman" w:cs="Times New Roman" w:eastAsiaTheme="minorEastAsia"/>
          <w:color w:val="000000" w:themeColor="text1"/>
          <w:w w:val="99"/>
          <w:sz w:val="24"/>
          <w:szCs w:val="28"/>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sz w:val="24"/>
          <w:szCs w:val="28"/>
          <w:lang w:val="en-US" w:bidi="ar-SA"/>
          <w14:textFill>
            <w14:solidFill>
              <w14:schemeClr w14:val="tx1"/>
            </w14:solidFill>
          </w14:textFill>
        </w:rPr>
        <w:t>。</w:t>
      </w:r>
    </w:p>
    <w:p w14:paraId="2D1EAEA3">
      <w:pPr>
        <w:autoSpaceDE/>
        <w:autoSpaceDN/>
        <w:spacing w:line="440" w:lineRule="exact"/>
        <w:ind w:firstLine="474" w:firstLineChars="200"/>
        <w:jc w:val="both"/>
        <w:rPr>
          <w:rFonts w:ascii="Times New Roman" w:hAnsi="Times New Roman" w:cs="Times New Roman" w:eastAsiaTheme="minorEastAsia"/>
          <w:color w:val="000000" w:themeColor="text1"/>
          <w:w w:val="99"/>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8"/>
          <w:lang w:val="en-US" w:bidi="ar-SA"/>
          <w14:textFill>
            <w14:solidFill>
              <w14:schemeClr w14:val="tx1"/>
            </w14:solidFill>
          </w14:textFill>
        </w:rPr>
        <w:t>若I</w:t>
      </w:r>
      <w:r>
        <w:rPr>
          <w:rFonts w:ascii="Times New Roman" w:hAnsi="Times New Roman" w:cs="Times New Roman" w:eastAsiaTheme="minorEastAsia"/>
          <w:color w:val="000000" w:themeColor="text1"/>
          <w:w w:val="99"/>
          <w:sz w:val="24"/>
          <w:szCs w:val="28"/>
          <w:vertAlign w:val="subscript"/>
          <w:lang w:val="en-US" w:bidi="ar-SA"/>
          <w14:textFill>
            <w14:solidFill>
              <w14:schemeClr w14:val="tx1"/>
            </w14:solidFill>
          </w14:textFill>
        </w:rPr>
        <w:t>i</w:t>
      </w:r>
      <w:r>
        <w:rPr>
          <w:rFonts w:ascii="Times New Roman" w:hAnsi="Times New Roman" w:cs="Times New Roman" w:eastAsiaTheme="minorEastAsia"/>
          <w:color w:val="000000" w:themeColor="text1"/>
          <w:w w:val="99"/>
          <w:sz w:val="24"/>
          <w:szCs w:val="28"/>
          <w:lang w:val="en-US" w:bidi="ar-SA"/>
          <w14:textFill>
            <w14:solidFill>
              <w14:schemeClr w14:val="tx1"/>
            </w14:solidFill>
          </w14:textFill>
        </w:rPr>
        <w:t>≥100%，表明该项指标超过了相应的环境空气质量标准，不能满足使用功能要求。若I</w:t>
      </w:r>
      <w:r>
        <w:rPr>
          <w:rFonts w:ascii="Times New Roman" w:hAnsi="Times New Roman" w:cs="Times New Roman" w:eastAsiaTheme="minorEastAsia"/>
          <w:color w:val="000000" w:themeColor="text1"/>
          <w:w w:val="99"/>
          <w:sz w:val="24"/>
          <w:szCs w:val="28"/>
          <w:vertAlign w:val="subscript"/>
          <w:lang w:val="en-US" w:bidi="ar-SA"/>
          <w14:textFill>
            <w14:solidFill>
              <w14:schemeClr w14:val="tx1"/>
            </w14:solidFill>
          </w14:textFill>
        </w:rPr>
        <w:t>i</w:t>
      </w:r>
      <w:r>
        <w:rPr>
          <w:rFonts w:ascii="Times New Roman" w:hAnsi="Times New Roman" w:cs="Times New Roman" w:eastAsiaTheme="minorEastAsia"/>
          <w:color w:val="000000" w:themeColor="text1"/>
          <w:w w:val="99"/>
          <w:sz w:val="24"/>
          <w:szCs w:val="28"/>
          <w:lang w:val="en-US" w:bidi="ar-SA"/>
          <w14:textFill>
            <w14:solidFill>
              <w14:schemeClr w14:val="tx1"/>
            </w14:solidFill>
          </w14:textFill>
        </w:rPr>
        <w:t>＜100%，则该指标满足环境空气质量标准，可以满足使用功能要求。</w:t>
      </w:r>
    </w:p>
    <w:p w14:paraId="0D1E7EA1">
      <w:pPr>
        <w:autoSpaceDE/>
        <w:autoSpaceDN/>
        <w:spacing w:line="440" w:lineRule="exact"/>
        <w:ind w:firstLine="474" w:firstLineChars="200"/>
        <w:jc w:val="both"/>
        <w:rPr>
          <w:rFonts w:ascii="Times New Roman" w:hAnsi="Times New Roman" w:cs="Times New Roman" w:eastAsiaTheme="minorEastAsia"/>
          <w:color w:val="000000" w:themeColor="text1"/>
          <w:w w:val="99"/>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8"/>
          <w:lang w:val="en-US" w:bidi="ar-SA"/>
          <w14:textFill>
            <w14:solidFill>
              <w14:schemeClr w14:val="tx1"/>
            </w14:solidFill>
          </w14:textFill>
        </w:rPr>
        <w:t>（5）评价标准</w:t>
      </w:r>
    </w:p>
    <w:p w14:paraId="65ECB10A">
      <w:pPr>
        <w:autoSpaceDE/>
        <w:autoSpaceDN/>
        <w:spacing w:line="440" w:lineRule="exact"/>
        <w:ind w:firstLine="474" w:firstLineChars="200"/>
        <w:jc w:val="both"/>
        <w:rPr>
          <w:rFonts w:ascii="Times New Roman" w:hAnsi="Times New Roman" w:cs="Times New Roman" w:eastAsiaTheme="minorEastAsia"/>
          <w:color w:val="000000" w:themeColor="text1"/>
          <w:w w:val="99"/>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8"/>
          <w:lang w:val="en-US" w:bidi="ar-SA"/>
          <w14:textFill>
            <w14:solidFill>
              <w14:schemeClr w14:val="tx1"/>
            </w14:solidFill>
          </w14:textFill>
        </w:rPr>
        <w:t>非甲烷总烃执行《大气污染物综合排放标准详解》中的2.0mg/m</w:t>
      </w:r>
      <w:r>
        <w:rPr>
          <w:rFonts w:ascii="Times New Roman" w:hAnsi="Times New Roman" w:cs="Times New Roman" w:eastAsiaTheme="minorEastAsia"/>
          <w:color w:val="000000" w:themeColor="text1"/>
          <w:w w:val="99"/>
          <w:sz w:val="24"/>
          <w:szCs w:val="28"/>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sz w:val="24"/>
          <w:szCs w:val="28"/>
          <w:lang w:val="en-US" w:bidi="ar-SA"/>
          <w14:textFill>
            <w14:solidFill>
              <w14:schemeClr w14:val="tx1"/>
            </w14:solidFill>
          </w14:textFill>
        </w:rPr>
        <w:t>标准限值，TSP执行</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《环境空气质量标准》（GB3095-2012）及其修改单中的二级标准</w:t>
      </w:r>
      <w:r>
        <w:rPr>
          <w:rFonts w:ascii="Times New Roman" w:hAnsi="Times New Roman" w:cs="Times New Roman" w:eastAsiaTheme="minorEastAsia"/>
          <w:color w:val="000000" w:themeColor="text1"/>
          <w:w w:val="99"/>
          <w:sz w:val="24"/>
          <w:szCs w:val="28"/>
          <w:lang w:val="en-US" w:bidi="ar-SA"/>
          <w14:textFill>
            <w14:solidFill>
              <w14:schemeClr w14:val="tx1"/>
            </w14:solidFill>
          </w14:textFill>
        </w:rPr>
        <w:t>。</w:t>
      </w:r>
    </w:p>
    <w:p w14:paraId="4450C292">
      <w:pPr>
        <w:autoSpaceDE/>
        <w:autoSpaceDN/>
        <w:spacing w:line="440" w:lineRule="exact"/>
        <w:ind w:firstLine="474" w:firstLineChars="200"/>
        <w:jc w:val="both"/>
        <w:rPr>
          <w:rFonts w:ascii="Times New Roman" w:hAnsi="Times New Roman" w:cs="Times New Roman" w:eastAsiaTheme="minorEastAsia"/>
          <w:color w:val="000000" w:themeColor="text1"/>
          <w:w w:val="99"/>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8"/>
          <w:lang w:val="en-US" w:bidi="ar-SA"/>
          <w14:textFill>
            <w14:solidFill>
              <w14:schemeClr w14:val="tx1"/>
            </w14:solidFill>
          </w14:textFill>
        </w:rPr>
        <w:t>（6）监测及评价结果</w:t>
      </w:r>
    </w:p>
    <w:p w14:paraId="69453121">
      <w:pPr>
        <w:tabs>
          <w:tab w:val="left" w:pos="5262"/>
        </w:tabs>
        <w:autoSpaceDE/>
        <w:autoSpaceDN/>
        <w:spacing w:line="440" w:lineRule="exact"/>
        <w:ind w:firstLine="474" w:firstLineChars="200"/>
        <w:jc w:val="both"/>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8"/>
          <w:lang w:val="en-US" w:bidi="ar-SA"/>
          <w14:textFill>
            <w14:solidFill>
              <w14:schemeClr w14:val="tx1"/>
            </w14:solidFill>
          </w14:textFill>
        </w:rPr>
        <w:t>特征污染物现状监测及评价结果详见表</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4.3-</w:t>
      </w:r>
      <w:r>
        <w:rPr>
          <w:rFonts w:ascii="Times New Roman" w:hAnsi="Times New Roman" w:cs="Times New Roman" w:eastAsiaTheme="minorEastAsia"/>
          <w:color w:val="000000" w:themeColor="text1"/>
          <w:w w:val="99"/>
          <w:sz w:val="24"/>
          <w:szCs w:val="28"/>
          <w:lang w:val="en-US" w:bidi="ar-SA"/>
          <w14:textFill>
            <w14:solidFill>
              <w14:schemeClr w14:val="tx1"/>
            </w14:solidFill>
          </w14:textFill>
        </w:rPr>
        <w:t>3。</w:t>
      </w:r>
    </w:p>
    <w:p w14:paraId="1E7AB3E1">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表4.3-3    特征污染物现状监测及评价结果    单位：mg/m</w:t>
      </w:r>
      <w:r>
        <w:rPr>
          <w:rFonts w:ascii="Times New Roman" w:hAnsi="Times New Roman" w:cs="Times New Roman" w:eastAsiaTheme="minorEastAsia"/>
          <w:b/>
          <w:color w:val="000000" w:themeColor="text1"/>
          <w:w w:val="99"/>
          <w:kern w:val="2"/>
          <w:sz w:val="24"/>
          <w:szCs w:val="24"/>
          <w:vertAlign w:val="superscript"/>
          <w:lang w:val="en-US" w:bidi="ar-SA"/>
          <w14:textFill>
            <w14:solidFill>
              <w14:schemeClr w14:val="tx1"/>
            </w14:solidFill>
          </w14:textFill>
        </w:rPr>
        <w:t>3</w:t>
      </w:r>
    </w:p>
    <w:tbl>
      <w:tblPr>
        <w:tblStyle w:val="80"/>
        <w:tblW w:w="90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9"/>
        <w:gridCol w:w="1134"/>
        <w:gridCol w:w="1134"/>
        <w:gridCol w:w="709"/>
        <w:gridCol w:w="567"/>
        <w:gridCol w:w="851"/>
        <w:gridCol w:w="1275"/>
        <w:gridCol w:w="832"/>
        <w:gridCol w:w="733"/>
        <w:gridCol w:w="710"/>
      </w:tblGrid>
      <w:tr w14:paraId="51E6F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29" w:type="dxa"/>
            <w:vMerge w:val="restart"/>
            <w:vAlign w:val="center"/>
          </w:tcPr>
          <w:p w14:paraId="64538000">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监测点位</w:t>
            </w:r>
          </w:p>
        </w:tc>
        <w:tc>
          <w:tcPr>
            <w:tcW w:w="2268" w:type="dxa"/>
            <w:gridSpan w:val="2"/>
            <w:vAlign w:val="center"/>
          </w:tcPr>
          <w:p w14:paraId="726261DB">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监测点坐标</w:t>
            </w:r>
          </w:p>
        </w:tc>
        <w:tc>
          <w:tcPr>
            <w:tcW w:w="709" w:type="dxa"/>
            <w:vMerge w:val="restart"/>
            <w:vAlign w:val="center"/>
          </w:tcPr>
          <w:p w14:paraId="4350F0F1">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污染物</w:t>
            </w:r>
          </w:p>
        </w:tc>
        <w:tc>
          <w:tcPr>
            <w:tcW w:w="567" w:type="dxa"/>
            <w:vMerge w:val="restart"/>
            <w:vAlign w:val="center"/>
          </w:tcPr>
          <w:p w14:paraId="13381410">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平均时间</w:t>
            </w:r>
          </w:p>
        </w:tc>
        <w:tc>
          <w:tcPr>
            <w:tcW w:w="851" w:type="dxa"/>
            <w:vMerge w:val="restart"/>
            <w:vAlign w:val="center"/>
          </w:tcPr>
          <w:p w14:paraId="69665A5D">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评价</w:t>
            </w:r>
          </w:p>
          <w:p w14:paraId="16A5969A">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标准mg/m</w:t>
            </w:r>
            <w:r>
              <w:rPr>
                <w:rFonts w:ascii="Times New Roman" w:hAnsi="Times New Roman" w:cs="Times New Roman" w:eastAsiaTheme="minorEastAsia"/>
                <w:color w:val="000000" w:themeColor="text1"/>
                <w:w w:val="99"/>
                <w:sz w:val="21"/>
                <w:szCs w:val="21"/>
                <w:vertAlign w:val="superscript"/>
                <w:lang w:val="en-US" w:bidi="ar-SA"/>
                <w14:textFill>
                  <w14:solidFill>
                    <w14:schemeClr w14:val="tx1"/>
                  </w14:solidFill>
                </w14:textFill>
              </w:rPr>
              <w:t>3</w:t>
            </w:r>
          </w:p>
        </w:tc>
        <w:tc>
          <w:tcPr>
            <w:tcW w:w="1275" w:type="dxa"/>
            <w:vMerge w:val="restart"/>
            <w:vAlign w:val="center"/>
          </w:tcPr>
          <w:p w14:paraId="698F4C3D">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监测浓度范围mg/m</w:t>
            </w:r>
            <w:r>
              <w:rPr>
                <w:rFonts w:ascii="Times New Roman" w:hAnsi="Times New Roman" w:cs="Times New Roman" w:eastAsiaTheme="minorEastAsia"/>
                <w:color w:val="000000" w:themeColor="text1"/>
                <w:w w:val="99"/>
                <w:sz w:val="21"/>
                <w:szCs w:val="21"/>
                <w:vertAlign w:val="superscript"/>
                <w:lang w:val="en-US" w:bidi="ar-SA"/>
                <w14:textFill>
                  <w14:solidFill>
                    <w14:schemeClr w14:val="tx1"/>
                  </w14:solidFill>
                </w14:textFill>
              </w:rPr>
              <w:t>3</w:t>
            </w:r>
          </w:p>
        </w:tc>
        <w:tc>
          <w:tcPr>
            <w:tcW w:w="832" w:type="dxa"/>
            <w:vMerge w:val="restart"/>
            <w:vAlign w:val="center"/>
          </w:tcPr>
          <w:p w14:paraId="396CA623">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最大浓度占标率%</w:t>
            </w:r>
          </w:p>
        </w:tc>
        <w:tc>
          <w:tcPr>
            <w:tcW w:w="733" w:type="dxa"/>
            <w:vMerge w:val="restart"/>
            <w:vAlign w:val="center"/>
          </w:tcPr>
          <w:p w14:paraId="182E6EB9">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超标率%</w:t>
            </w:r>
          </w:p>
        </w:tc>
        <w:tc>
          <w:tcPr>
            <w:tcW w:w="710" w:type="dxa"/>
            <w:vMerge w:val="restart"/>
            <w:vAlign w:val="center"/>
          </w:tcPr>
          <w:p w14:paraId="485A7929">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达标情况</w:t>
            </w:r>
          </w:p>
        </w:tc>
      </w:tr>
      <w:tr w14:paraId="09A46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29" w:type="dxa"/>
            <w:vMerge w:val="continue"/>
            <w:vAlign w:val="center"/>
          </w:tcPr>
          <w:p w14:paraId="25BC527A">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134" w:type="dxa"/>
            <w:vAlign w:val="center"/>
          </w:tcPr>
          <w:p w14:paraId="44B4DDD9">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经度</w:t>
            </w:r>
          </w:p>
        </w:tc>
        <w:tc>
          <w:tcPr>
            <w:tcW w:w="1134" w:type="dxa"/>
            <w:vAlign w:val="center"/>
          </w:tcPr>
          <w:p w14:paraId="69AFAB44">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纬度</w:t>
            </w:r>
          </w:p>
        </w:tc>
        <w:tc>
          <w:tcPr>
            <w:tcW w:w="709" w:type="dxa"/>
            <w:vMerge w:val="continue"/>
            <w:vAlign w:val="center"/>
          </w:tcPr>
          <w:p w14:paraId="134A3CF4">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567" w:type="dxa"/>
            <w:vMerge w:val="continue"/>
            <w:vAlign w:val="center"/>
          </w:tcPr>
          <w:p w14:paraId="221109AD">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851" w:type="dxa"/>
            <w:vMerge w:val="continue"/>
            <w:vAlign w:val="center"/>
          </w:tcPr>
          <w:p w14:paraId="02ACEBB2">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275" w:type="dxa"/>
            <w:vMerge w:val="continue"/>
            <w:vAlign w:val="center"/>
          </w:tcPr>
          <w:p w14:paraId="3EDAC7D5">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832" w:type="dxa"/>
            <w:vMerge w:val="continue"/>
            <w:vAlign w:val="center"/>
          </w:tcPr>
          <w:p w14:paraId="6A310AC0">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733" w:type="dxa"/>
            <w:vMerge w:val="continue"/>
            <w:vAlign w:val="center"/>
          </w:tcPr>
          <w:p w14:paraId="76764675">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710" w:type="dxa"/>
            <w:vMerge w:val="continue"/>
            <w:vAlign w:val="center"/>
          </w:tcPr>
          <w:p w14:paraId="3279E71F">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r>
      <w:tr w14:paraId="6073C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29" w:type="dxa"/>
            <w:vAlign w:val="center"/>
          </w:tcPr>
          <w:p w14:paraId="0392B89B">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拟建混输阀组间</w:t>
            </w:r>
          </w:p>
        </w:tc>
        <w:tc>
          <w:tcPr>
            <w:tcW w:w="1134" w:type="dxa"/>
            <w:vAlign w:val="center"/>
          </w:tcPr>
          <w:p w14:paraId="2EC0B4DA">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124.40461</w:t>
            </w:r>
          </w:p>
        </w:tc>
        <w:tc>
          <w:tcPr>
            <w:tcW w:w="1134" w:type="dxa"/>
            <w:vAlign w:val="center"/>
          </w:tcPr>
          <w:p w14:paraId="31E6DEEC">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46.31708</w:t>
            </w:r>
          </w:p>
        </w:tc>
        <w:tc>
          <w:tcPr>
            <w:tcW w:w="709" w:type="dxa"/>
            <w:vMerge w:val="restart"/>
            <w:vAlign w:val="center"/>
          </w:tcPr>
          <w:p w14:paraId="0102C168">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非甲烷总烃</w:t>
            </w:r>
          </w:p>
        </w:tc>
        <w:tc>
          <w:tcPr>
            <w:tcW w:w="567" w:type="dxa"/>
            <w:vMerge w:val="restart"/>
            <w:vAlign w:val="center"/>
          </w:tcPr>
          <w:p w14:paraId="61C252B3">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1h</w:t>
            </w:r>
          </w:p>
        </w:tc>
        <w:tc>
          <w:tcPr>
            <w:tcW w:w="851" w:type="dxa"/>
            <w:vAlign w:val="center"/>
          </w:tcPr>
          <w:p w14:paraId="76EB8567">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w:t>
            </w:r>
          </w:p>
        </w:tc>
        <w:tc>
          <w:tcPr>
            <w:tcW w:w="1275" w:type="dxa"/>
            <w:vAlign w:val="center"/>
          </w:tcPr>
          <w:p w14:paraId="4469A6B2">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0.45~0.84</w:t>
            </w:r>
          </w:p>
        </w:tc>
        <w:tc>
          <w:tcPr>
            <w:tcW w:w="832" w:type="dxa"/>
            <w:vAlign w:val="center"/>
          </w:tcPr>
          <w:p w14:paraId="242CD242">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42</w:t>
            </w:r>
          </w:p>
        </w:tc>
        <w:tc>
          <w:tcPr>
            <w:tcW w:w="733" w:type="dxa"/>
            <w:vAlign w:val="center"/>
          </w:tcPr>
          <w:p w14:paraId="668AEE6A">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10" w:type="dxa"/>
            <w:vAlign w:val="center"/>
          </w:tcPr>
          <w:p w14:paraId="7AE93A70">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达标</w:t>
            </w:r>
          </w:p>
        </w:tc>
      </w:tr>
      <w:tr w14:paraId="5266F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29" w:type="dxa"/>
            <w:vAlign w:val="center"/>
          </w:tcPr>
          <w:p w14:paraId="54347618">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杏树岗村</w:t>
            </w:r>
          </w:p>
        </w:tc>
        <w:tc>
          <w:tcPr>
            <w:tcW w:w="1134" w:type="dxa"/>
            <w:vAlign w:val="center"/>
          </w:tcPr>
          <w:p w14:paraId="7BA354FA">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124.43437</w:t>
            </w:r>
          </w:p>
        </w:tc>
        <w:tc>
          <w:tcPr>
            <w:tcW w:w="1134" w:type="dxa"/>
            <w:vAlign w:val="center"/>
          </w:tcPr>
          <w:p w14:paraId="43FFE7FE">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46.31543</w:t>
            </w:r>
          </w:p>
        </w:tc>
        <w:tc>
          <w:tcPr>
            <w:tcW w:w="709" w:type="dxa"/>
            <w:vMerge w:val="continue"/>
            <w:vAlign w:val="center"/>
          </w:tcPr>
          <w:p w14:paraId="4B73C7C6">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567" w:type="dxa"/>
            <w:vMerge w:val="continue"/>
            <w:vAlign w:val="center"/>
          </w:tcPr>
          <w:p w14:paraId="33C3E23A">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851" w:type="dxa"/>
            <w:vAlign w:val="center"/>
          </w:tcPr>
          <w:p w14:paraId="7CCAA91A">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w:t>
            </w:r>
          </w:p>
        </w:tc>
        <w:tc>
          <w:tcPr>
            <w:tcW w:w="1275" w:type="dxa"/>
            <w:vAlign w:val="center"/>
          </w:tcPr>
          <w:p w14:paraId="05C64914">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0.49~0.89</w:t>
            </w:r>
          </w:p>
        </w:tc>
        <w:tc>
          <w:tcPr>
            <w:tcW w:w="832" w:type="dxa"/>
            <w:vAlign w:val="center"/>
          </w:tcPr>
          <w:p w14:paraId="22EE36D8">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44.5</w:t>
            </w:r>
          </w:p>
        </w:tc>
        <w:tc>
          <w:tcPr>
            <w:tcW w:w="733" w:type="dxa"/>
            <w:vAlign w:val="center"/>
          </w:tcPr>
          <w:p w14:paraId="27BAC740">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10" w:type="dxa"/>
            <w:vAlign w:val="center"/>
          </w:tcPr>
          <w:p w14:paraId="437AA05E">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达标</w:t>
            </w:r>
          </w:p>
        </w:tc>
      </w:tr>
      <w:tr w14:paraId="59C65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29" w:type="dxa"/>
            <w:vAlign w:val="center"/>
          </w:tcPr>
          <w:p w14:paraId="78768AC8">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拟建混输阀组间</w:t>
            </w:r>
          </w:p>
        </w:tc>
        <w:tc>
          <w:tcPr>
            <w:tcW w:w="1134" w:type="dxa"/>
            <w:vAlign w:val="center"/>
          </w:tcPr>
          <w:p w14:paraId="76B70FD7">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124.40461</w:t>
            </w:r>
          </w:p>
        </w:tc>
        <w:tc>
          <w:tcPr>
            <w:tcW w:w="1134" w:type="dxa"/>
            <w:vAlign w:val="center"/>
          </w:tcPr>
          <w:p w14:paraId="67E7AE9A">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46.31708</w:t>
            </w:r>
          </w:p>
        </w:tc>
        <w:tc>
          <w:tcPr>
            <w:tcW w:w="709" w:type="dxa"/>
            <w:vMerge w:val="restart"/>
            <w:vAlign w:val="center"/>
          </w:tcPr>
          <w:p w14:paraId="3E2241C2">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TSP</w:t>
            </w:r>
          </w:p>
        </w:tc>
        <w:tc>
          <w:tcPr>
            <w:tcW w:w="567" w:type="dxa"/>
            <w:vMerge w:val="restart"/>
            <w:vAlign w:val="center"/>
          </w:tcPr>
          <w:p w14:paraId="434173F6">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24h</w:t>
            </w:r>
          </w:p>
        </w:tc>
        <w:tc>
          <w:tcPr>
            <w:tcW w:w="851" w:type="dxa"/>
            <w:vAlign w:val="center"/>
          </w:tcPr>
          <w:p w14:paraId="410A7EF5">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0.3</w:t>
            </w:r>
          </w:p>
        </w:tc>
        <w:tc>
          <w:tcPr>
            <w:tcW w:w="1275" w:type="dxa"/>
            <w:vAlign w:val="center"/>
          </w:tcPr>
          <w:p w14:paraId="4AB547A2">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0.059~0.085</w:t>
            </w:r>
          </w:p>
        </w:tc>
        <w:tc>
          <w:tcPr>
            <w:tcW w:w="832" w:type="dxa"/>
            <w:vAlign w:val="center"/>
          </w:tcPr>
          <w:p w14:paraId="2789E865">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28.3</w:t>
            </w:r>
          </w:p>
        </w:tc>
        <w:tc>
          <w:tcPr>
            <w:tcW w:w="733" w:type="dxa"/>
            <w:vAlign w:val="center"/>
          </w:tcPr>
          <w:p w14:paraId="70A53CA9">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10" w:type="dxa"/>
            <w:vAlign w:val="center"/>
          </w:tcPr>
          <w:p w14:paraId="0E1514A9">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达标</w:t>
            </w:r>
          </w:p>
        </w:tc>
      </w:tr>
      <w:tr w14:paraId="5C534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29" w:type="dxa"/>
            <w:vAlign w:val="center"/>
          </w:tcPr>
          <w:p w14:paraId="28BFCCD7">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杏树岗村</w:t>
            </w:r>
          </w:p>
        </w:tc>
        <w:tc>
          <w:tcPr>
            <w:tcW w:w="1134" w:type="dxa"/>
            <w:vAlign w:val="center"/>
          </w:tcPr>
          <w:p w14:paraId="61220DE0">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124.43437</w:t>
            </w:r>
          </w:p>
        </w:tc>
        <w:tc>
          <w:tcPr>
            <w:tcW w:w="1134" w:type="dxa"/>
            <w:vAlign w:val="center"/>
          </w:tcPr>
          <w:p w14:paraId="727B25EF">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46.31543</w:t>
            </w:r>
          </w:p>
        </w:tc>
        <w:tc>
          <w:tcPr>
            <w:tcW w:w="709" w:type="dxa"/>
            <w:vMerge w:val="continue"/>
            <w:vAlign w:val="center"/>
          </w:tcPr>
          <w:p w14:paraId="796B40AD">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567" w:type="dxa"/>
            <w:vMerge w:val="continue"/>
            <w:vAlign w:val="center"/>
          </w:tcPr>
          <w:p w14:paraId="229D1A9F">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851" w:type="dxa"/>
            <w:vAlign w:val="center"/>
          </w:tcPr>
          <w:p w14:paraId="0012FD4A">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0.3</w:t>
            </w:r>
          </w:p>
        </w:tc>
        <w:tc>
          <w:tcPr>
            <w:tcW w:w="1275" w:type="dxa"/>
            <w:vAlign w:val="center"/>
          </w:tcPr>
          <w:p w14:paraId="738BA3D8">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0.06~0.081</w:t>
            </w:r>
          </w:p>
        </w:tc>
        <w:tc>
          <w:tcPr>
            <w:tcW w:w="832" w:type="dxa"/>
            <w:vAlign w:val="center"/>
          </w:tcPr>
          <w:p w14:paraId="4F199CDD">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27</w:t>
            </w:r>
          </w:p>
        </w:tc>
        <w:tc>
          <w:tcPr>
            <w:tcW w:w="733" w:type="dxa"/>
            <w:vAlign w:val="center"/>
          </w:tcPr>
          <w:p w14:paraId="24A3BA74">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10" w:type="dxa"/>
            <w:vAlign w:val="center"/>
          </w:tcPr>
          <w:p w14:paraId="3834CAC2">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达标</w:t>
            </w:r>
          </w:p>
        </w:tc>
      </w:tr>
    </w:tbl>
    <w:p w14:paraId="66CB3D6E">
      <w:pPr>
        <w:tabs>
          <w:tab w:val="left" w:pos="5262"/>
        </w:tabs>
        <w:autoSpaceDE/>
        <w:autoSpaceDN/>
        <w:spacing w:line="440" w:lineRule="exact"/>
        <w:ind w:firstLine="474" w:firstLineChars="200"/>
        <w:jc w:val="both"/>
        <w:rPr>
          <w:rFonts w:ascii="Times New Roman" w:hAnsi="Times New Roman" w:cs="Times New Roman" w:eastAsiaTheme="minorEastAsia"/>
          <w:color w:val="000000" w:themeColor="text1"/>
          <w:w w:val="99"/>
          <w:sz w:val="24"/>
          <w:szCs w:val="28"/>
          <w:lang w:val="en-US" w:bidi="ar-SA"/>
          <w14:textFill>
            <w14:solidFill>
              <w14:schemeClr w14:val="tx1"/>
            </w14:solidFill>
          </w14:textFill>
        </w:rPr>
      </w:pP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评价结果表明，评价区域特征污染物非甲烷总烃满足《大气污染物综合排放标准详解》</w:t>
      </w:r>
      <w:r>
        <w:rPr>
          <w:rFonts w:ascii="Times New Roman" w:hAnsi="Times New Roman" w:cs="Times New Roman" w:eastAsiaTheme="minorEastAsia"/>
          <w:color w:val="000000" w:themeColor="text1"/>
          <w:w w:val="99"/>
          <w:sz w:val="24"/>
          <w:szCs w:val="28"/>
          <w:lang w:val="en-US" w:bidi="ar-SA"/>
          <w14:textFill>
            <w14:solidFill>
              <w14:schemeClr w14:val="tx1"/>
            </w14:solidFill>
          </w14:textFill>
        </w:rPr>
        <w:t>中的2.0mg/m</w:t>
      </w:r>
      <w:r>
        <w:rPr>
          <w:rFonts w:ascii="Times New Roman" w:hAnsi="Times New Roman" w:cs="Times New Roman" w:eastAsiaTheme="minorEastAsia"/>
          <w:color w:val="000000" w:themeColor="text1"/>
          <w:w w:val="99"/>
          <w:sz w:val="24"/>
          <w:szCs w:val="28"/>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sz w:val="24"/>
          <w:szCs w:val="28"/>
          <w:lang w:val="en-US" w:bidi="ar-SA"/>
          <w14:textFill>
            <w14:solidFill>
              <w14:schemeClr w14:val="tx1"/>
            </w14:solidFill>
          </w14:textFill>
        </w:rPr>
        <w:t>标准要求，</w:t>
      </w: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TSP满足</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《环境空气质量标准》（GB3095-2012）及其修改单中的二级标准</w:t>
      </w:r>
      <w:r>
        <w:rPr>
          <w:rFonts w:ascii="Times New Roman" w:hAnsi="Times New Roman" w:cs="Times New Roman" w:eastAsiaTheme="minorEastAsia"/>
          <w:color w:val="000000" w:themeColor="text1"/>
          <w:w w:val="99"/>
          <w:sz w:val="24"/>
          <w:szCs w:val="28"/>
          <w:lang w:val="en-US" w:bidi="ar-SA"/>
          <w14:textFill>
            <w14:solidFill>
              <w14:schemeClr w14:val="tx1"/>
            </w14:solidFill>
          </w14:textFill>
        </w:rPr>
        <w:t>。说明评价区域内大气环境质量较好。</w:t>
      </w:r>
    </w:p>
    <w:p w14:paraId="1E0092A9">
      <w:pPr>
        <w:autoSpaceDE/>
        <w:autoSpaceDN/>
        <w:spacing w:before="60" w:after="60" w:line="440" w:lineRule="exact"/>
        <w:jc w:val="both"/>
        <w:outlineLvl w:val="2"/>
        <w:rPr>
          <w:rFonts w:ascii="Times New Roman" w:hAnsi="Times New Roman" w:cs="Times New Roman" w:eastAsiaTheme="minorEastAsia"/>
          <w:b/>
          <w:bCs/>
          <w:color w:val="000000" w:themeColor="text1"/>
          <w:w w:val="99"/>
          <w:kern w:val="2"/>
          <w:sz w:val="24"/>
          <w:szCs w:val="24"/>
          <w:lang w:val="en-US" w:bidi="ar-SA"/>
          <w14:textFill>
            <w14:solidFill>
              <w14:schemeClr w14:val="tx1"/>
            </w14:solidFill>
          </w14:textFill>
        </w:rPr>
      </w:pPr>
      <w:bookmarkStart w:id="262" w:name="_Toc78816500"/>
      <w:bookmarkStart w:id="263" w:name="_Toc70050221"/>
      <w:bookmarkStart w:id="264" w:name="_Toc41655199"/>
      <w:bookmarkStart w:id="265" w:name="_Toc34124484"/>
      <w:bookmarkStart w:id="266" w:name="_Toc57203285"/>
      <w:bookmarkStart w:id="267" w:name="_Toc106810337"/>
      <w:bookmarkStart w:id="268" w:name="_Toc117794579"/>
      <w:bookmarkStart w:id="269" w:name="_Toc61597271"/>
      <w:bookmarkStart w:id="270" w:name="_Toc29644702"/>
      <w:bookmarkStart w:id="271" w:name="_Toc84929272"/>
      <w:bookmarkStart w:id="272" w:name="_Toc85640796"/>
      <w:bookmarkStart w:id="273" w:name="_Toc67860172"/>
      <w:bookmarkStart w:id="274" w:name="_Toc80971417"/>
      <w:bookmarkStart w:id="275" w:name="_Toc103610910"/>
      <w:bookmarkStart w:id="276" w:name="_Toc38545055"/>
      <w:bookmarkStart w:id="277" w:name="_Toc86141971"/>
      <w:bookmarkStart w:id="278" w:name="_Toc83209517"/>
      <w:bookmarkStart w:id="279" w:name="_Toc38296422"/>
      <w:bookmarkStart w:id="280" w:name="_Toc438540826"/>
      <w:bookmarkStart w:id="281" w:name="_Toc80588295"/>
      <w:bookmarkStart w:id="282" w:name="_Toc76976286"/>
      <w:bookmarkStart w:id="283" w:name="_Toc77067698"/>
      <w:bookmarkStart w:id="284" w:name="_Toc430689876"/>
      <w:bookmarkStart w:id="285" w:name="_Toc430692061"/>
      <w:bookmarkStart w:id="286" w:name="_Toc8019"/>
      <w:bookmarkStart w:id="287" w:name="_Toc57707955"/>
      <w:bookmarkStart w:id="288" w:name="_Toc29643950"/>
      <w:bookmarkStart w:id="289" w:name="_Toc57976707"/>
      <w:bookmarkStart w:id="290" w:name="_Toc100822151"/>
      <w:bookmarkStart w:id="291" w:name="_Toc29642918"/>
      <w:r>
        <w:rPr>
          <w:rFonts w:ascii="Times New Roman" w:hAnsi="Times New Roman" w:cs="Times New Roman" w:eastAsiaTheme="minorEastAsia"/>
          <w:b/>
          <w:bCs/>
          <w:color w:val="000000" w:themeColor="text1"/>
          <w:w w:val="99"/>
          <w:kern w:val="2"/>
          <w:sz w:val="24"/>
          <w:szCs w:val="24"/>
          <w:lang w:val="en-US" w:bidi="ar-SA"/>
          <w14:textFill>
            <w14:solidFill>
              <w14:schemeClr w14:val="tx1"/>
            </w14:solidFill>
          </w14:textFill>
        </w:rPr>
        <w:t>4.3.2地下水环境质量现状评价</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17070DE0">
      <w:pPr>
        <w:autoSpaceDE/>
        <w:autoSpaceDN/>
        <w:spacing w:line="440" w:lineRule="exact"/>
        <w:ind w:firstLine="474" w:firstLineChars="200"/>
        <w:jc w:val="both"/>
        <w:rPr>
          <w:rFonts w:ascii="Times New Roman" w:hAnsi="Times New Roman" w:cs="Times New Roman" w:eastAsiaTheme="minorEastAsia"/>
          <w:bCs/>
          <w:color w:val="000000" w:themeColor="text1"/>
          <w:w w:val="99"/>
          <w:kern w:val="21"/>
          <w:sz w:val="24"/>
          <w:szCs w:val="20"/>
          <w:lang w:val="en-US" w:bidi="ar-SA"/>
          <w14:textFill>
            <w14:solidFill>
              <w14:schemeClr w14:val="tx1"/>
            </w14:solidFill>
          </w14:textFill>
        </w:rPr>
      </w:pPr>
      <w:r>
        <w:rPr>
          <w:rFonts w:ascii="Times New Roman" w:hAnsi="Times New Roman" w:cs="Times New Roman" w:eastAsiaTheme="minorEastAsia"/>
          <w:bCs/>
          <w:color w:val="000000" w:themeColor="text1"/>
          <w:w w:val="99"/>
          <w:kern w:val="21"/>
          <w:sz w:val="24"/>
          <w:szCs w:val="20"/>
          <w:lang w:val="en-US" w:bidi="ar-SA"/>
          <w14:textFill>
            <w14:solidFill>
              <w14:schemeClr w14:val="tx1"/>
            </w14:solidFill>
          </w14:textFill>
        </w:rPr>
        <w:t>根据本项目地层特征，以及地下水含水层特点和区域水资源开发利用情况，参照《环境影响评价技术导则 地下水环境》（HJ 610-2016），详见下表。</w:t>
      </w:r>
    </w:p>
    <w:p w14:paraId="04AC11DC">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表4.3-4    地下水环境现状监测频率参照表</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11"/>
        <w:gridCol w:w="1103"/>
        <w:gridCol w:w="1421"/>
        <w:gridCol w:w="1111"/>
        <w:gridCol w:w="1263"/>
        <w:gridCol w:w="1421"/>
        <w:gridCol w:w="957"/>
      </w:tblGrid>
      <w:tr w14:paraId="25E1E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83" w:type="pct"/>
            <w:vAlign w:val="center"/>
          </w:tcPr>
          <w:p w14:paraId="5835E356">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评价等级</w:t>
            </w:r>
          </w:p>
        </w:tc>
        <w:tc>
          <w:tcPr>
            <w:tcW w:w="1957" w:type="pct"/>
            <w:gridSpan w:val="3"/>
            <w:vAlign w:val="center"/>
          </w:tcPr>
          <w:p w14:paraId="265F3FD9">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水位监测频率</w:t>
            </w:r>
          </w:p>
        </w:tc>
        <w:tc>
          <w:tcPr>
            <w:tcW w:w="1959" w:type="pct"/>
            <w:gridSpan w:val="3"/>
            <w:vAlign w:val="center"/>
          </w:tcPr>
          <w:p w14:paraId="2F2126FF">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水质监测频率</w:t>
            </w:r>
          </w:p>
        </w:tc>
      </w:tr>
      <w:tr w14:paraId="78ADC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83" w:type="pct"/>
            <w:vAlign w:val="center"/>
          </w:tcPr>
          <w:p w14:paraId="65D5D7D8">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分布区</w:t>
            </w:r>
          </w:p>
        </w:tc>
        <w:tc>
          <w:tcPr>
            <w:tcW w:w="594" w:type="pct"/>
            <w:vAlign w:val="center"/>
          </w:tcPr>
          <w:p w14:paraId="57C65BC6">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一级</w:t>
            </w:r>
          </w:p>
        </w:tc>
        <w:tc>
          <w:tcPr>
            <w:tcW w:w="765" w:type="pct"/>
            <w:vAlign w:val="center"/>
          </w:tcPr>
          <w:p w14:paraId="6FBBA0C1">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二级（√）</w:t>
            </w:r>
          </w:p>
        </w:tc>
        <w:tc>
          <w:tcPr>
            <w:tcW w:w="598" w:type="pct"/>
            <w:vAlign w:val="center"/>
          </w:tcPr>
          <w:p w14:paraId="0C13068D">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三级</w:t>
            </w:r>
          </w:p>
        </w:tc>
        <w:tc>
          <w:tcPr>
            <w:tcW w:w="680" w:type="pct"/>
            <w:vAlign w:val="center"/>
          </w:tcPr>
          <w:p w14:paraId="50EEFB34">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一级</w:t>
            </w:r>
          </w:p>
        </w:tc>
        <w:tc>
          <w:tcPr>
            <w:tcW w:w="765" w:type="pct"/>
            <w:vAlign w:val="center"/>
          </w:tcPr>
          <w:p w14:paraId="7B27EBA1">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二级（√）</w:t>
            </w:r>
          </w:p>
        </w:tc>
        <w:tc>
          <w:tcPr>
            <w:tcW w:w="514" w:type="pct"/>
            <w:vAlign w:val="center"/>
          </w:tcPr>
          <w:p w14:paraId="4587755A">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三级</w:t>
            </w:r>
          </w:p>
        </w:tc>
      </w:tr>
      <w:tr w14:paraId="03547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83" w:type="pct"/>
            <w:vAlign w:val="center"/>
          </w:tcPr>
          <w:p w14:paraId="3E9A46CE">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山前冲（洪）积</w:t>
            </w:r>
          </w:p>
        </w:tc>
        <w:tc>
          <w:tcPr>
            <w:tcW w:w="594" w:type="pct"/>
            <w:vAlign w:val="center"/>
          </w:tcPr>
          <w:p w14:paraId="3F9B2FF7">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枯平丰</w:t>
            </w:r>
          </w:p>
        </w:tc>
        <w:tc>
          <w:tcPr>
            <w:tcW w:w="765" w:type="pct"/>
            <w:vAlign w:val="center"/>
          </w:tcPr>
          <w:p w14:paraId="3F8BFC7C">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枯丰</w:t>
            </w:r>
          </w:p>
        </w:tc>
        <w:tc>
          <w:tcPr>
            <w:tcW w:w="598" w:type="pct"/>
            <w:vAlign w:val="center"/>
          </w:tcPr>
          <w:p w14:paraId="7861EE25">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一期</w:t>
            </w:r>
          </w:p>
        </w:tc>
        <w:tc>
          <w:tcPr>
            <w:tcW w:w="680" w:type="pct"/>
            <w:vAlign w:val="center"/>
          </w:tcPr>
          <w:p w14:paraId="5FF9FE1F">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枯平丰</w:t>
            </w:r>
          </w:p>
        </w:tc>
        <w:tc>
          <w:tcPr>
            <w:tcW w:w="765" w:type="pct"/>
            <w:vAlign w:val="center"/>
          </w:tcPr>
          <w:p w14:paraId="1496CEB2">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枯丰</w:t>
            </w:r>
          </w:p>
        </w:tc>
        <w:tc>
          <w:tcPr>
            <w:tcW w:w="514" w:type="pct"/>
            <w:vAlign w:val="center"/>
          </w:tcPr>
          <w:p w14:paraId="7884378F">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一期</w:t>
            </w:r>
          </w:p>
        </w:tc>
      </w:tr>
      <w:tr w14:paraId="40603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83" w:type="pct"/>
            <w:vAlign w:val="center"/>
          </w:tcPr>
          <w:p w14:paraId="59B17F23">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滨海（含填海区）</w:t>
            </w:r>
          </w:p>
        </w:tc>
        <w:tc>
          <w:tcPr>
            <w:tcW w:w="594" w:type="pct"/>
            <w:vAlign w:val="center"/>
          </w:tcPr>
          <w:p w14:paraId="09673E08">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二期a</w:t>
            </w:r>
          </w:p>
        </w:tc>
        <w:tc>
          <w:tcPr>
            <w:tcW w:w="765" w:type="pct"/>
            <w:vAlign w:val="center"/>
          </w:tcPr>
          <w:p w14:paraId="58C37AFE">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一期</w:t>
            </w:r>
          </w:p>
        </w:tc>
        <w:tc>
          <w:tcPr>
            <w:tcW w:w="598" w:type="pct"/>
            <w:vAlign w:val="center"/>
          </w:tcPr>
          <w:p w14:paraId="5E52440E">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一期</w:t>
            </w:r>
          </w:p>
        </w:tc>
        <w:tc>
          <w:tcPr>
            <w:tcW w:w="680" w:type="pct"/>
            <w:vAlign w:val="center"/>
          </w:tcPr>
          <w:p w14:paraId="1509A880">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一期</w:t>
            </w:r>
          </w:p>
        </w:tc>
        <w:tc>
          <w:tcPr>
            <w:tcW w:w="765" w:type="pct"/>
            <w:vAlign w:val="center"/>
          </w:tcPr>
          <w:p w14:paraId="2E92010E">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一期</w:t>
            </w:r>
          </w:p>
        </w:tc>
        <w:tc>
          <w:tcPr>
            <w:tcW w:w="514" w:type="pct"/>
            <w:vAlign w:val="center"/>
          </w:tcPr>
          <w:p w14:paraId="323F45A9">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一期</w:t>
            </w:r>
          </w:p>
        </w:tc>
      </w:tr>
      <w:tr w14:paraId="3D07C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83" w:type="pct"/>
            <w:vAlign w:val="center"/>
          </w:tcPr>
          <w:p w14:paraId="46B09BEF">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其他平原区（√）</w:t>
            </w:r>
          </w:p>
        </w:tc>
        <w:tc>
          <w:tcPr>
            <w:tcW w:w="594" w:type="pct"/>
            <w:vAlign w:val="center"/>
          </w:tcPr>
          <w:p w14:paraId="005B0774">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枯丰</w:t>
            </w:r>
          </w:p>
        </w:tc>
        <w:tc>
          <w:tcPr>
            <w:tcW w:w="765" w:type="pct"/>
            <w:vAlign w:val="center"/>
          </w:tcPr>
          <w:p w14:paraId="3F39A8A2">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一期（√）</w:t>
            </w:r>
          </w:p>
        </w:tc>
        <w:tc>
          <w:tcPr>
            <w:tcW w:w="598" w:type="pct"/>
            <w:vAlign w:val="center"/>
          </w:tcPr>
          <w:p w14:paraId="2207313C">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一期</w:t>
            </w:r>
          </w:p>
        </w:tc>
        <w:tc>
          <w:tcPr>
            <w:tcW w:w="680" w:type="pct"/>
            <w:vAlign w:val="center"/>
          </w:tcPr>
          <w:p w14:paraId="08F89F9F">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枯</w:t>
            </w:r>
          </w:p>
        </w:tc>
        <w:tc>
          <w:tcPr>
            <w:tcW w:w="765" w:type="pct"/>
            <w:vAlign w:val="center"/>
          </w:tcPr>
          <w:p w14:paraId="45103B8D">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一期（√）</w:t>
            </w:r>
          </w:p>
        </w:tc>
        <w:tc>
          <w:tcPr>
            <w:tcW w:w="514" w:type="pct"/>
            <w:vAlign w:val="center"/>
          </w:tcPr>
          <w:p w14:paraId="1AC9712F">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一期</w:t>
            </w:r>
          </w:p>
        </w:tc>
      </w:tr>
      <w:tr w14:paraId="1B17C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83" w:type="pct"/>
            <w:vAlign w:val="center"/>
          </w:tcPr>
          <w:p w14:paraId="6F57EF0C">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黄土地区</w:t>
            </w:r>
          </w:p>
        </w:tc>
        <w:tc>
          <w:tcPr>
            <w:tcW w:w="594" w:type="pct"/>
            <w:vAlign w:val="center"/>
          </w:tcPr>
          <w:p w14:paraId="1B7A912E">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枯平丰</w:t>
            </w:r>
          </w:p>
        </w:tc>
        <w:tc>
          <w:tcPr>
            <w:tcW w:w="765" w:type="pct"/>
            <w:vAlign w:val="center"/>
          </w:tcPr>
          <w:p w14:paraId="482041E4">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一期</w:t>
            </w:r>
          </w:p>
        </w:tc>
        <w:tc>
          <w:tcPr>
            <w:tcW w:w="598" w:type="pct"/>
            <w:vAlign w:val="center"/>
          </w:tcPr>
          <w:p w14:paraId="188C99CD">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一期</w:t>
            </w:r>
          </w:p>
        </w:tc>
        <w:tc>
          <w:tcPr>
            <w:tcW w:w="680" w:type="pct"/>
            <w:vAlign w:val="center"/>
          </w:tcPr>
          <w:p w14:paraId="64F51C5F">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二期</w:t>
            </w:r>
          </w:p>
        </w:tc>
        <w:tc>
          <w:tcPr>
            <w:tcW w:w="765" w:type="pct"/>
            <w:vAlign w:val="center"/>
          </w:tcPr>
          <w:p w14:paraId="2A4E4C9E">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一期</w:t>
            </w:r>
          </w:p>
        </w:tc>
        <w:tc>
          <w:tcPr>
            <w:tcW w:w="514" w:type="pct"/>
            <w:vAlign w:val="center"/>
          </w:tcPr>
          <w:p w14:paraId="18DE16A7">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一期</w:t>
            </w:r>
          </w:p>
        </w:tc>
      </w:tr>
      <w:tr w14:paraId="23E8FB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83" w:type="pct"/>
            <w:vAlign w:val="center"/>
          </w:tcPr>
          <w:p w14:paraId="798FC322">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沙漠地区</w:t>
            </w:r>
          </w:p>
        </w:tc>
        <w:tc>
          <w:tcPr>
            <w:tcW w:w="594" w:type="pct"/>
            <w:vAlign w:val="center"/>
          </w:tcPr>
          <w:p w14:paraId="1B3DF1BB">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枯丰</w:t>
            </w:r>
          </w:p>
        </w:tc>
        <w:tc>
          <w:tcPr>
            <w:tcW w:w="765" w:type="pct"/>
            <w:vAlign w:val="center"/>
          </w:tcPr>
          <w:p w14:paraId="326F4882">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一期</w:t>
            </w:r>
          </w:p>
        </w:tc>
        <w:tc>
          <w:tcPr>
            <w:tcW w:w="598" w:type="pct"/>
            <w:vAlign w:val="center"/>
          </w:tcPr>
          <w:p w14:paraId="723D7831">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一期</w:t>
            </w:r>
          </w:p>
        </w:tc>
        <w:tc>
          <w:tcPr>
            <w:tcW w:w="680" w:type="pct"/>
            <w:vAlign w:val="center"/>
          </w:tcPr>
          <w:p w14:paraId="3B38EF41">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一期</w:t>
            </w:r>
          </w:p>
        </w:tc>
        <w:tc>
          <w:tcPr>
            <w:tcW w:w="765" w:type="pct"/>
            <w:vAlign w:val="center"/>
          </w:tcPr>
          <w:p w14:paraId="123F6968">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一期</w:t>
            </w:r>
          </w:p>
        </w:tc>
        <w:tc>
          <w:tcPr>
            <w:tcW w:w="514" w:type="pct"/>
            <w:vAlign w:val="center"/>
          </w:tcPr>
          <w:p w14:paraId="25BB77A0">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一期</w:t>
            </w:r>
          </w:p>
        </w:tc>
      </w:tr>
      <w:tr w14:paraId="63500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83" w:type="pct"/>
            <w:vAlign w:val="center"/>
          </w:tcPr>
          <w:p w14:paraId="3C048D07">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丘陵山区</w:t>
            </w:r>
          </w:p>
        </w:tc>
        <w:tc>
          <w:tcPr>
            <w:tcW w:w="594" w:type="pct"/>
            <w:vAlign w:val="center"/>
          </w:tcPr>
          <w:p w14:paraId="15A31C3D">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枯丰</w:t>
            </w:r>
          </w:p>
        </w:tc>
        <w:tc>
          <w:tcPr>
            <w:tcW w:w="765" w:type="pct"/>
            <w:vAlign w:val="center"/>
          </w:tcPr>
          <w:p w14:paraId="2D7F09B5">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一期</w:t>
            </w:r>
          </w:p>
        </w:tc>
        <w:tc>
          <w:tcPr>
            <w:tcW w:w="598" w:type="pct"/>
            <w:vAlign w:val="center"/>
          </w:tcPr>
          <w:p w14:paraId="7DA42B68">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一期</w:t>
            </w:r>
          </w:p>
        </w:tc>
        <w:tc>
          <w:tcPr>
            <w:tcW w:w="680" w:type="pct"/>
            <w:vAlign w:val="center"/>
          </w:tcPr>
          <w:p w14:paraId="1E224000">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一期</w:t>
            </w:r>
          </w:p>
        </w:tc>
        <w:tc>
          <w:tcPr>
            <w:tcW w:w="765" w:type="pct"/>
            <w:vAlign w:val="center"/>
          </w:tcPr>
          <w:p w14:paraId="22FE065C">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一期</w:t>
            </w:r>
          </w:p>
        </w:tc>
        <w:tc>
          <w:tcPr>
            <w:tcW w:w="514" w:type="pct"/>
            <w:vAlign w:val="center"/>
          </w:tcPr>
          <w:p w14:paraId="0646C068">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一期</w:t>
            </w:r>
          </w:p>
        </w:tc>
      </w:tr>
      <w:tr w14:paraId="21192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83" w:type="pct"/>
            <w:vAlign w:val="center"/>
          </w:tcPr>
          <w:p w14:paraId="10074015">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岩溶裂隙</w:t>
            </w:r>
          </w:p>
        </w:tc>
        <w:tc>
          <w:tcPr>
            <w:tcW w:w="594" w:type="pct"/>
            <w:vAlign w:val="center"/>
          </w:tcPr>
          <w:p w14:paraId="01322C4A">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枯丰</w:t>
            </w:r>
          </w:p>
        </w:tc>
        <w:tc>
          <w:tcPr>
            <w:tcW w:w="765" w:type="pct"/>
            <w:vAlign w:val="center"/>
          </w:tcPr>
          <w:p w14:paraId="7CD9D15F">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一期</w:t>
            </w:r>
          </w:p>
        </w:tc>
        <w:tc>
          <w:tcPr>
            <w:tcW w:w="598" w:type="pct"/>
            <w:vAlign w:val="center"/>
          </w:tcPr>
          <w:p w14:paraId="4B421615">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一期</w:t>
            </w:r>
          </w:p>
        </w:tc>
        <w:tc>
          <w:tcPr>
            <w:tcW w:w="680" w:type="pct"/>
            <w:vAlign w:val="center"/>
          </w:tcPr>
          <w:p w14:paraId="415610A6">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枯丰</w:t>
            </w:r>
          </w:p>
        </w:tc>
        <w:tc>
          <w:tcPr>
            <w:tcW w:w="765" w:type="pct"/>
            <w:vAlign w:val="center"/>
          </w:tcPr>
          <w:p w14:paraId="1DC99529">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一期</w:t>
            </w:r>
          </w:p>
        </w:tc>
        <w:tc>
          <w:tcPr>
            <w:tcW w:w="514" w:type="pct"/>
            <w:vAlign w:val="center"/>
          </w:tcPr>
          <w:p w14:paraId="596C0C1A">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一期</w:t>
            </w:r>
          </w:p>
        </w:tc>
      </w:tr>
      <w:tr w14:paraId="5DE22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83" w:type="pct"/>
            <w:vAlign w:val="center"/>
          </w:tcPr>
          <w:p w14:paraId="5C5AE421">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岩溶管道</w:t>
            </w:r>
          </w:p>
        </w:tc>
        <w:tc>
          <w:tcPr>
            <w:tcW w:w="594" w:type="pct"/>
            <w:vAlign w:val="center"/>
          </w:tcPr>
          <w:p w14:paraId="25EEA526">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二期</w:t>
            </w:r>
          </w:p>
        </w:tc>
        <w:tc>
          <w:tcPr>
            <w:tcW w:w="765" w:type="pct"/>
            <w:vAlign w:val="center"/>
          </w:tcPr>
          <w:p w14:paraId="4F427081">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一期</w:t>
            </w:r>
          </w:p>
        </w:tc>
        <w:tc>
          <w:tcPr>
            <w:tcW w:w="598" w:type="pct"/>
            <w:vAlign w:val="center"/>
          </w:tcPr>
          <w:p w14:paraId="42E2EC90">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一期</w:t>
            </w:r>
          </w:p>
        </w:tc>
        <w:tc>
          <w:tcPr>
            <w:tcW w:w="680" w:type="pct"/>
            <w:vAlign w:val="center"/>
          </w:tcPr>
          <w:p w14:paraId="169A3924">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二期</w:t>
            </w:r>
          </w:p>
        </w:tc>
        <w:tc>
          <w:tcPr>
            <w:tcW w:w="765" w:type="pct"/>
            <w:vAlign w:val="center"/>
          </w:tcPr>
          <w:p w14:paraId="358ED1FA">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一期</w:t>
            </w:r>
          </w:p>
        </w:tc>
        <w:tc>
          <w:tcPr>
            <w:tcW w:w="514" w:type="pct"/>
            <w:vAlign w:val="center"/>
          </w:tcPr>
          <w:p w14:paraId="431A2AA1">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一期</w:t>
            </w:r>
          </w:p>
        </w:tc>
      </w:tr>
      <w:tr w14:paraId="1E6FE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7"/>
            <w:vAlign w:val="center"/>
          </w:tcPr>
          <w:p w14:paraId="492EAB56">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a“二期”的间隔有明显水位变化，其变化幅度接近年内变幅。</w:t>
            </w:r>
          </w:p>
        </w:tc>
      </w:tr>
    </w:tbl>
    <w:p w14:paraId="4599F4F2">
      <w:pPr>
        <w:autoSpaceDE/>
        <w:autoSpaceDN/>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一般情况下，地下水水位监测点数宜大于相应评价级别地下水水质监测点数的2倍。二级评价项目潜水含水层的水质监测点应不少于5个，可能受建设项目影响且具有饮用水开发利用价值的含水层2-4个。原则上建设项目场地上游和两侧的地下水水质监测点均不得少于1个，建设项目场地及其下游影响区的地下水水质监测点不得少于2个。本项目共布设8个水质监测点和16个水位监测点。</w:t>
      </w:r>
    </w:p>
    <w:p w14:paraId="3E56C43A">
      <w:pPr>
        <w:autoSpaceDE/>
        <w:autoSpaceDN/>
        <w:spacing w:line="440" w:lineRule="exact"/>
        <w:outlineLvl w:val="3"/>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t>4.3.2.1地下水位监测</w:t>
      </w:r>
    </w:p>
    <w:p w14:paraId="21B2B685">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（1）监测点位</w:t>
      </w:r>
    </w:p>
    <w:p w14:paraId="6010D0CD">
      <w:pPr>
        <w:autoSpaceDE/>
        <w:autoSpaceDN/>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根据本项目地层特征，以及地下水含水层特点和区域水资源开发利用情况，参照《环境影响评价技术导则 地下水环境》（HJ 610-2016），本次共监测区域内地下水水位监测点16个，其中，潜水水位监测点10个，承压水水位监测点6个。</w:t>
      </w:r>
    </w:p>
    <w:p w14:paraId="00272311">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表4.3-5    地下水水位监测点基本情况表</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8"/>
        <w:gridCol w:w="1360"/>
        <w:gridCol w:w="1330"/>
        <w:gridCol w:w="1452"/>
        <w:gridCol w:w="1744"/>
        <w:gridCol w:w="1163"/>
        <w:gridCol w:w="1300"/>
      </w:tblGrid>
      <w:tr w14:paraId="32244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Align w:val="center"/>
          </w:tcPr>
          <w:p w14:paraId="7878E770">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编号</w:t>
            </w:r>
          </w:p>
        </w:tc>
        <w:tc>
          <w:tcPr>
            <w:tcW w:w="732" w:type="pct"/>
            <w:vAlign w:val="center"/>
          </w:tcPr>
          <w:p w14:paraId="5153B098">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监测点位置</w:t>
            </w:r>
          </w:p>
        </w:tc>
        <w:tc>
          <w:tcPr>
            <w:tcW w:w="716" w:type="pct"/>
          </w:tcPr>
          <w:p w14:paraId="52E4E253">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井深（m）</w:t>
            </w:r>
          </w:p>
        </w:tc>
        <w:tc>
          <w:tcPr>
            <w:tcW w:w="782" w:type="pct"/>
            <w:vAlign w:val="center"/>
          </w:tcPr>
          <w:p w14:paraId="3588B2BE">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埋深（m）</w:t>
            </w:r>
          </w:p>
        </w:tc>
        <w:tc>
          <w:tcPr>
            <w:tcW w:w="939" w:type="pct"/>
            <w:vAlign w:val="center"/>
          </w:tcPr>
          <w:p w14:paraId="583DEB07">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地下水位（m）</w:t>
            </w:r>
          </w:p>
        </w:tc>
        <w:tc>
          <w:tcPr>
            <w:tcW w:w="626" w:type="pct"/>
            <w:vAlign w:val="center"/>
          </w:tcPr>
          <w:p w14:paraId="5A6E5ABC">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监测层位</w:t>
            </w:r>
          </w:p>
        </w:tc>
        <w:tc>
          <w:tcPr>
            <w:tcW w:w="700" w:type="pct"/>
            <w:vAlign w:val="center"/>
          </w:tcPr>
          <w:p w14:paraId="569BCD6A">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水井功能</w:t>
            </w:r>
          </w:p>
        </w:tc>
      </w:tr>
      <w:tr w14:paraId="0413DC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Align w:val="center"/>
          </w:tcPr>
          <w:p w14:paraId="3444704E">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w:t>
            </w:r>
          </w:p>
        </w:tc>
        <w:tc>
          <w:tcPr>
            <w:tcW w:w="732" w:type="pct"/>
            <w:vAlign w:val="center"/>
          </w:tcPr>
          <w:p w14:paraId="409525DF">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敖林西伯乡</w:t>
            </w:r>
          </w:p>
        </w:tc>
        <w:tc>
          <w:tcPr>
            <w:tcW w:w="716" w:type="pct"/>
          </w:tcPr>
          <w:p w14:paraId="65379CE1">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20</w:t>
            </w:r>
          </w:p>
        </w:tc>
        <w:tc>
          <w:tcPr>
            <w:tcW w:w="782" w:type="pct"/>
            <w:vAlign w:val="center"/>
          </w:tcPr>
          <w:p w14:paraId="42FB5AD6">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7.33</w:t>
            </w:r>
          </w:p>
        </w:tc>
        <w:tc>
          <w:tcPr>
            <w:tcW w:w="939" w:type="pct"/>
            <w:vAlign w:val="center"/>
          </w:tcPr>
          <w:p w14:paraId="3FD89F88">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130.47</w:t>
            </w:r>
          </w:p>
        </w:tc>
        <w:tc>
          <w:tcPr>
            <w:tcW w:w="626" w:type="pct"/>
            <w:vAlign w:val="center"/>
          </w:tcPr>
          <w:p w14:paraId="746CEB6F">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潜水</w:t>
            </w:r>
          </w:p>
        </w:tc>
        <w:tc>
          <w:tcPr>
            <w:tcW w:w="700" w:type="pct"/>
            <w:vAlign w:val="center"/>
          </w:tcPr>
          <w:p w14:paraId="11910906">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灌溉、养殖</w:t>
            </w:r>
          </w:p>
        </w:tc>
      </w:tr>
      <w:tr w14:paraId="3A1CE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Align w:val="center"/>
          </w:tcPr>
          <w:p w14:paraId="090CA7D0">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w:t>
            </w:r>
          </w:p>
        </w:tc>
        <w:tc>
          <w:tcPr>
            <w:tcW w:w="732" w:type="pct"/>
            <w:vAlign w:val="center"/>
          </w:tcPr>
          <w:p w14:paraId="458E7967">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好尔陶村</w:t>
            </w:r>
          </w:p>
        </w:tc>
        <w:tc>
          <w:tcPr>
            <w:tcW w:w="716" w:type="pct"/>
          </w:tcPr>
          <w:p w14:paraId="534E9B8F">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20</w:t>
            </w:r>
          </w:p>
        </w:tc>
        <w:tc>
          <w:tcPr>
            <w:tcW w:w="782" w:type="pct"/>
            <w:vAlign w:val="center"/>
          </w:tcPr>
          <w:p w14:paraId="3D0E7D00">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6.3</w:t>
            </w:r>
          </w:p>
        </w:tc>
        <w:tc>
          <w:tcPr>
            <w:tcW w:w="939" w:type="pct"/>
            <w:vAlign w:val="center"/>
          </w:tcPr>
          <w:p w14:paraId="6FDE30C7">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131.9</w:t>
            </w:r>
          </w:p>
        </w:tc>
        <w:tc>
          <w:tcPr>
            <w:tcW w:w="626" w:type="pct"/>
            <w:vAlign w:val="center"/>
          </w:tcPr>
          <w:p w14:paraId="3A0242F2">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潜水</w:t>
            </w:r>
          </w:p>
        </w:tc>
        <w:tc>
          <w:tcPr>
            <w:tcW w:w="700" w:type="pct"/>
            <w:vAlign w:val="center"/>
          </w:tcPr>
          <w:p w14:paraId="03CF131D">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灌溉、养殖</w:t>
            </w:r>
          </w:p>
        </w:tc>
      </w:tr>
      <w:tr w14:paraId="57F1F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Align w:val="center"/>
          </w:tcPr>
          <w:p w14:paraId="00E90B31">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w:t>
            </w:r>
          </w:p>
        </w:tc>
        <w:tc>
          <w:tcPr>
            <w:tcW w:w="732" w:type="pct"/>
            <w:vAlign w:val="center"/>
          </w:tcPr>
          <w:p w14:paraId="075F0DCD">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龙虎岗村</w:t>
            </w:r>
          </w:p>
        </w:tc>
        <w:tc>
          <w:tcPr>
            <w:tcW w:w="716" w:type="pct"/>
          </w:tcPr>
          <w:p w14:paraId="2768C5DA">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22</w:t>
            </w:r>
          </w:p>
        </w:tc>
        <w:tc>
          <w:tcPr>
            <w:tcW w:w="782" w:type="pct"/>
            <w:vAlign w:val="center"/>
          </w:tcPr>
          <w:p w14:paraId="16F085FC">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5.9</w:t>
            </w:r>
          </w:p>
        </w:tc>
        <w:tc>
          <w:tcPr>
            <w:tcW w:w="939" w:type="pct"/>
            <w:vAlign w:val="center"/>
          </w:tcPr>
          <w:p w14:paraId="2450DCA1">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130.2</w:t>
            </w:r>
          </w:p>
        </w:tc>
        <w:tc>
          <w:tcPr>
            <w:tcW w:w="626" w:type="pct"/>
            <w:vAlign w:val="center"/>
          </w:tcPr>
          <w:p w14:paraId="4D2CDC49">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潜水</w:t>
            </w:r>
          </w:p>
        </w:tc>
        <w:tc>
          <w:tcPr>
            <w:tcW w:w="700" w:type="pct"/>
            <w:vAlign w:val="center"/>
          </w:tcPr>
          <w:p w14:paraId="4D0BC784">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灌溉、养殖</w:t>
            </w:r>
          </w:p>
        </w:tc>
      </w:tr>
      <w:tr w14:paraId="34152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Align w:val="center"/>
          </w:tcPr>
          <w:p w14:paraId="79496011">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w:t>
            </w:r>
          </w:p>
        </w:tc>
        <w:tc>
          <w:tcPr>
            <w:tcW w:w="732" w:type="pct"/>
            <w:vAlign w:val="center"/>
          </w:tcPr>
          <w:p w14:paraId="0EF769D5">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杏树岗村</w:t>
            </w:r>
          </w:p>
        </w:tc>
        <w:tc>
          <w:tcPr>
            <w:tcW w:w="716" w:type="pct"/>
          </w:tcPr>
          <w:p w14:paraId="00C4578F">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15</w:t>
            </w:r>
          </w:p>
        </w:tc>
        <w:tc>
          <w:tcPr>
            <w:tcW w:w="782" w:type="pct"/>
            <w:vAlign w:val="center"/>
          </w:tcPr>
          <w:p w14:paraId="5D24119F">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7.28</w:t>
            </w:r>
          </w:p>
        </w:tc>
        <w:tc>
          <w:tcPr>
            <w:tcW w:w="939" w:type="pct"/>
            <w:vAlign w:val="center"/>
          </w:tcPr>
          <w:p w14:paraId="4BC4E47E">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129.8</w:t>
            </w:r>
          </w:p>
        </w:tc>
        <w:tc>
          <w:tcPr>
            <w:tcW w:w="626" w:type="pct"/>
            <w:vAlign w:val="center"/>
          </w:tcPr>
          <w:p w14:paraId="5B7E868B">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潜水</w:t>
            </w:r>
          </w:p>
        </w:tc>
        <w:tc>
          <w:tcPr>
            <w:tcW w:w="700" w:type="pct"/>
            <w:vAlign w:val="center"/>
          </w:tcPr>
          <w:p w14:paraId="1FFC7B5C">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灌溉、养殖</w:t>
            </w:r>
          </w:p>
        </w:tc>
      </w:tr>
      <w:tr w14:paraId="6D179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Align w:val="center"/>
          </w:tcPr>
          <w:p w14:paraId="2B2DC922">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w:t>
            </w:r>
          </w:p>
        </w:tc>
        <w:tc>
          <w:tcPr>
            <w:tcW w:w="732" w:type="pct"/>
            <w:vAlign w:val="center"/>
          </w:tcPr>
          <w:p w14:paraId="1689ED3A">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东好利保村</w:t>
            </w:r>
          </w:p>
        </w:tc>
        <w:tc>
          <w:tcPr>
            <w:tcW w:w="716" w:type="pct"/>
          </w:tcPr>
          <w:p w14:paraId="7F8A2ABB">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18</w:t>
            </w:r>
          </w:p>
        </w:tc>
        <w:tc>
          <w:tcPr>
            <w:tcW w:w="782" w:type="pct"/>
            <w:vAlign w:val="center"/>
          </w:tcPr>
          <w:p w14:paraId="7BA0CBE3">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5.2</w:t>
            </w:r>
          </w:p>
        </w:tc>
        <w:tc>
          <w:tcPr>
            <w:tcW w:w="939" w:type="pct"/>
            <w:vAlign w:val="center"/>
          </w:tcPr>
          <w:p w14:paraId="62BAAC96">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129.2</w:t>
            </w:r>
          </w:p>
        </w:tc>
        <w:tc>
          <w:tcPr>
            <w:tcW w:w="626" w:type="pct"/>
            <w:vAlign w:val="center"/>
          </w:tcPr>
          <w:p w14:paraId="2E7BF0B4">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潜水</w:t>
            </w:r>
          </w:p>
        </w:tc>
        <w:tc>
          <w:tcPr>
            <w:tcW w:w="700" w:type="pct"/>
            <w:vAlign w:val="center"/>
          </w:tcPr>
          <w:p w14:paraId="63CDE6AE">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灌溉、养殖</w:t>
            </w:r>
          </w:p>
        </w:tc>
      </w:tr>
      <w:tr w14:paraId="104A9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Align w:val="center"/>
          </w:tcPr>
          <w:p w14:paraId="3C310CDB">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6#</w:t>
            </w:r>
          </w:p>
        </w:tc>
        <w:tc>
          <w:tcPr>
            <w:tcW w:w="732" w:type="pct"/>
            <w:vAlign w:val="center"/>
          </w:tcPr>
          <w:p w14:paraId="40C70680">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新村</w:t>
            </w:r>
          </w:p>
        </w:tc>
        <w:tc>
          <w:tcPr>
            <w:tcW w:w="716" w:type="pct"/>
          </w:tcPr>
          <w:p w14:paraId="0B7DFB60">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22</w:t>
            </w:r>
          </w:p>
        </w:tc>
        <w:tc>
          <w:tcPr>
            <w:tcW w:w="782" w:type="pct"/>
            <w:vAlign w:val="center"/>
          </w:tcPr>
          <w:p w14:paraId="7A5CB345">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7.2</w:t>
            </w:r>
          </w:p>
        </w:tc>
        <w:tc>
          <w:tcPr>
            <w:tcW w:w="939" w:type="pct"/>
            <w:vAlign w:val="center"/>
          </w:tcPr>
          <w:p w14:paraId="51564E29">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127.2</w:t>
            </w:r>
          </w:p>
        </w:tc>
        <w:tc>
          <w:tcPr>
            <w:tcW w:w="626" w:type="pct"/>
            <w:vAlign w:val="center"/>
          </w:tcPr>
          <w:p w14:paraId="77014A8A">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潜水</w:t>
            </w:r>
          </w:p>
        </w:tc>
        <w:tc>
          <w:tcPr>
            <w:tcW w:w="700" w:type="pct"/>
            <w:vAlign w:val="center"/>
          </w:tcPr>
          <w:p w14:paraId="07959390">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灌溉、养殖</w:t>
            </w:r>
          </w:p>
        </w:tc>
      </w:tr>
      <w:tr w14:paraId="00B002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Align w:val="center"/>
          </w:tcPr>
          <w:p w14:paraId="19D5E771">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7#</w:t>
            </w:r>
          </w:p>
        </w:tc>
        <w:tc>
          <w:tcPr>
            <w:tcW w:w="732" w:type="pct"/>
            <w:vAlign w:val="center"/>
          </w:tcPr>
          <w:p w14:paraId="3E1C89C8">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英台村</w:t>
            </w:r>
          </w:p>
        </w:tc>
        <w:tc>
          <w:tcPr>
            <w:tcW w:w="716" w:type="pct"/>
          </w:tcPr>
          <w:p w14:paraId="487F4792">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15</w:t>
            </w:r>
          </w:p>
        </w:tc>
        <w:tc>
          <w:tcPr>
            <w:tcW w:w="782" w:type="pct"/>
            <w:vAlign w:val="center"/>
          </w:tcPr>
          <w:p w14:paraId="5FB4A856">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5.7</w:t>
            </w:r>
          </w:p>
        </w:tc>
        <w:tc>
          <w:tcPr>
            <w:tcW w:w="939" w:type="pct"/>
            <w:vAlign w:val="center"/>
          </w:tcPr>
          <w:p w14:paraId="30AACD1A">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128.3</w:t>
            </w:r>
          </w:p>
        </w:tc>
        <w:tc>
          <w:tcPr>
            <w:tcW w:w="626" w:type="pct"/>
            <w:vAlign w:val="center"/>
          </w:tcPr>
          <w:p w14:paraId="238B1A77">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潜水</w:t>
            </w:r>
          </w:p>
        </w:tc>
        <w:tc>
          <w:tcPr>
            <w:tcW w:w="700" w:type="pct"/>
            <w:vAlign w:val="center"/>
          </w:tcPr>
          <w:p w14:paraId="2A830DAA">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灌溉、养殖</w:t>
            </w:r>
          </w:p>
        </w:tc>
      </w:tr>
      <w:tr w14:paraId="1598C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Align w:val="center"/>
          </w:tcPr>
          <w:p w14:paraId="7B64AC52">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w:t>
            </w:r>
          </w:p>
        </w:tc>
        <w:tc>
          <w:tcPr>
            <w:tcW w:w="732" w:type="pct"/>
            <w:vAlign w:val="center"/>
          </w:tcPr>
          <w:p w14:paraId="6033CC6F">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韩家窑村</w:t>
            </w:r>
          </w:p>
        </w:tc>
        <w:tc>
          <w:tcPr>
            <w:tcW w:w="716" w:type="pct"/>
          </w:tcPr>
          <w:p w14:paraId="7C0F4B68">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18</w:t>
            </w:r>
          </w:p>
        </w:tc>
        <w:tc>
          <w:tcPr>
            <w:tcW w:w="782" w:type="pct"/>
            <w:vAlign w:val="center"/>
          </w:tcPr>
          <w:p w14:paraId="538EA5DB">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5.8</w:t>
            </w:r>
          </w:p>
        </w:tc>
        <w:tc>
          <w:tcPr>
            <w:tcW w:w="939" w:type="pct"/>
            <w:vAlign w:val="center"/>
          </w:tcPr>
          <w:p w14:paraId="227D980E">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132.0</w:t>
            </w:r>
          </w:p>
        </w:tc>
        <w:tc>
          <w:tcPr>
            <w:tcW w:w="626" w:type="pct"/>
            <w:vAlign w:val="center"/>
          </w:tcPr>
          <w:p w14:paraId="473F0E3A">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潜水</w:t>
            </w:r>
          </w:p>
        </w:tc>
        <w:tc>
          <w:tcPr>
            <w:tcW w:w="700" w:type="pct"/>
            <w:vAlign w:val="center"/>
          </w:tcPr>
          <w:p w14:paraId="5911A94D">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灌溉、养殖</w:t>
            </w:r>
          </w:p>
        </w:tc>
      </w:tr>
      <w:tr w14:paraId="3B771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Align w:val="center"/>
          </w:tcPr>
          <w:p w14:paraId="221D3C92">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9#</w:t>
            </w:r>
          </w:p>
        </w:tc>
        <w:tc>
          <w:tcPr>
            <w:tcW w:w="732" w:type="pct"/>
            <w:vAlign w:val="center"/>
          </w:tcPr>
          <w:p w14:paraId="56A97EDC">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双榆树</w:t>
            </w:r>
          </w:p>
        </w:tc>
        <w:tc>
          <w:tcPr>
            <w:tcW w:w="716" w:type="pct"/>
          </w:tcPr>
          <w:p w14:paraId="575BF897">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30</w:t>
            </w:r>
          </w:p>
        </w:tc>
        <w:tc>
          <w:tcPr>
            <w:tcW w:w="782" w:type="pct"/>
            <w:vAlign w:val="center"/>
          </w:tcPr>
          <w:p w14:paraId="78F44E3B">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7.3</w:t>
            </w:r>
          </w:p>
        </w:tc>
        <w:tc>
          <w:tcPr>
            <w:tcW w:w="939" w:type="pct"/>
            <w:vAlign w:val="center"/>
          </w:tcPr>
          <w:p w14:paraId="4F6A204C">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133.2</w:t>
            </w:r>
          </w:p>
        </w:tc>
        <w:tc>
          <w:tcPr>
            <w:tcW w:w="626" w:type="pct"/>
            <w:vAlign w:val="center"/>
          </w:tcPr>
          <w:p w14:paraId="3565EEFC">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潜水</w:t>
            </w:r>
          </w:p>
        </w:tc>
        <w:tc>
          <w:tcPr>
            <w:tcW w:w="700" w:type="pct"/>
            <w:vAlign w:val="center"/>
          </w:tcPr>
          <w:p w14:paraId="228DF830">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灌溉、养殖</w:t>
            </w:r>
          </w:p>
        </w:tc>
      </w:tr>
      <w:tr w14:paraId="7E28B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Align w:val="center"/>
          </w:tcPr>
          <w:p w14:paraId="63B6B64B">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10#</w:t>
            </w:r>
          </w:p>
        </w:tc>
        <w:tc>
          <w:tcPr>
            <w:tcW w:w="732" w:type="pct"/>
            <w:vAlign w:val="center"/>
          </w:tcPr>
          <w:p w14:paraId="737C3AED">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好尔陶牧场</w:t>
            </w:r>
          </w:p>
        </w:tc>
        <w:tc>
          <w:tcPr>
            <w:tcW w:w="716" w:type="pct"/>
          </w:tcPr>
          <w:p w14:paraId="416BBD37">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18</w:t>
            </w:r>
          </w:p>
        </w:tc>
        <w:tc>
          <w:tcPr>
            <w:tcW w:w="782" w:type="pct"/>
            <w:vAlign w:val="center"/>
          </w:tcPr>
          <w:p w14:paraId="5869BC9E">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7.8</w:t>
            </w:r>
          </w:p>
        </w:tc>
        <w:tc>
          <w:tcPr>
            <w:tcW w:w="939" w:type="pct"/>
            <w:vAlign w:val="center"/>
          </w:tcPr>
          <w:p w14:paraId="6B75E4EB">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134.4</w:t>
            </w:r>
          </w:p>
        </w:tc>
        <w:tc>
          <w:tcPr>
            <w:tcW w:w="626" w:type="pct"/>
            <w:vAlign w:val="center"/>
          </w:tcPr>
          <w:p w14:paraId="24DBFE50">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潜水</w:t>
            </w:r>
          </w:p>
        </w:tc>
        <w:tc>
          <w:tcPr>
            <w:tcW w:w="700" w:type="pct"/>
            <w:vAlign w:val="center"/>
          </w:tcPr>
          <w:p w14:paraId="26B80F1E">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灌溉、养殖</w:t>
            </w:r>
          </w:p>
        </w:tc>
      </w:tr>
      <w:tr w14:paraId="3EDAA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Align w:val="center"/>
          </w:tcPr>
          <w:p w14:paraId="7A76AD5C">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w:t>
            </w:r>
          </w:p>
        </w:tc>
        <w:tc>
          <w:tcPr>
            <w:tcW w:w="732" w:type="pct"/>
            <w:vAlign w:val="center"/>
          </w:tcPr>
          <w:p w14:paraId="35E59EE1">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东好利保村</w:t>
            </w:r>
          </w:p>
        </w:tc>
        <w:tc>
          <w:tcPr>
            <w:tcW w:w="716" w:type="pct"/>
          </w:tcPr>
          <w:p w14:paraId="7CF01A83">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80</w:t>
            </w:r>
          </w:p>
        </w:tc>
        <w:tc>
          <w:tcPr>
            <w:tcW w:w="782" w:type="pct"/>
            <w:vAlign w:val="center"/>
          </w:tcPr>
          <w:p w14:paraId="1BD38DD7">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9.5</w:t>
            </w:r>
          </w:p>
        </w:tc>
        <w:tc>
          <w:tcPr>
            <w:tcW w:w="939" w:type="pct"/>
            <w:vAlign w:val="center"/>
          </w:tcPr>
          <w:p w14:paraId="1DF5287B">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124.9</w:t>
            </w:r>
          </w:p>
        </w:tc>
        <w:tc>
          <w:tcPr>
            <w:tcW w:w="626" w:type="pct"/>
            <w:vAlign w:val="center"/>
          </w:tcPr>
          <w:p w14:paraId="611EB313">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承压水</w:t>
            </w:r>
          </w:p>
        </w:tc>
        <w:tc>
          <w:tcPr>
            <w:tcW w:w="700" w:type="pct"/>
            <w:vAlign w:val="center"/>
          </w:tcPr>
          <w:p w14:paraId="71C8C92D">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灌溉、养殖</w:t>
            </w:r>
          </w:p>
        </w:tc>
      </w:tr>
      <w:tr w14:paraId="5DF26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Align w:val="center"/>
          </w:tcPr>
          <w:p w14:paraId="64FADE87">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w:t>
            </w:r>
          </w:p>
        </w:tc>
        <w:tc>
          <w:tcPr>
            <w:tcW w:w="732" w:type="pct"/>
            <w:vAlign w:val="center"/>
          </w:tcPr>
          <w:p w14:paraId="0737D616">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好尔陶村</w:t>
            </w:r>
          </w:p>
        </w:tc>
        <w:tc>
          <w:tcPr>
            <w:tcW w:w="716" w:type="pct"/>
          </w:tcPr>
          <w:p w14:paraId="0E20F5D3">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80</w:t>
            </w:r>
          </w:p>
        </w:tc>
        <w:tc>
          <w:tcPr>
            <w:tcW w:w="782" w:type="pct"/>
            <w:vAlign w:val="center"/>
          </w:tcPr>
          <w:p w14:paraId="5C0548A1">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10.3</w:t>
            </w:r>
          </w:p>
        </w:tc>
        <w:tc>
          <w:tcPr>
            <w:tcW w:w="939" w:type="pct"/>
            <w:vAlign w:val="center"/>
          </w:tcPr>
          <w:p w14:paraId="51C02B9E">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127.9</w:t>
            </w:r>
          </w:p>
        </w:tc>
        <w:tc>
          <w:tcPr>
            <w:tcW w:w="626" w:type="pct"/>
            <w:vAlign w:val="center"/>
          </w:tcPr>
          <w:p w14:paraId="54563226">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承压水</w:t>
            </w:r>
          </w:p>
        </w:tc>
        <w:tc>
          <w:tcPr>
            <w:tcW w:w="700" w:type="pct"/>
            <w:vAlign w:val="center"/>
          </w:tcPr>
          <w:p w14:paraId="09CECF46">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灌溉、养殖</w:t>
            </w:r>
          </w:p>
        </w:tc>
      </w:tr>
      <w:tr w14:paraId="62612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Align w:val="center"/>
          </w:tcPr>
          <w:p w14:paraId="36687308">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13#</w:t>
            </w:r>
          </w:p>
        </w:tc>
        <w:tc>
          <w:tcPr>
            <w:tcW w:w="732" w:type="pct"/>
            <w:vAlign w:val="center"/>
          </w:tcPr>
          <w:p w14:paraId="6011D52B">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杏树岗村</w:t>
            </w:r>
          </w:p>
        </w:tc>
        <w:tc>
          <w:tcPr>
            <w:tcW w:w="716" w:type="pct"/>
          </w:tcPr>
          <w:p w14:paraId="4957A549">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75</w:t>
            </w:r>
          </w:p>
        </w:tc>
        <w:tc>
          <w:tcPr>
            <w:tcW w:w="782" w:type="pct"/>
            <w:vAlign w:val="center"/>
          </w:tcPr>
          <w:p w14:paraId="52E2ACC3">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10.1</w:t>
            </w:r>
          </w:p>
        </w:tc>
        <w:tc>
          <w:tcPr>
            <w:tcW w:w="939" w:type="pct"/>
            <w:vAlign w:val="center"/>
          </w:tcPr>
          <w:p w14:paraId="5D0A8A2F">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127.7</w:t>
            </w:r>
          </w:p>
        </w:tc>
        <w:tc>
          <w:tcPr>
            <w:tcW w:w="626" w:type="pct"/>
            <w:vAlign w:val="center"/>
          </w:tcPr>
          <w:p w14:paraId="786402A4">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承压水</w:t>
            </w:r>
          </w:p>
        </w:tc>
        <w:tc>
          <w:tcPr>
            <w:tcW w:w="700" w:type="pct"/>
            <w:vAlign w:val="center"/>
          </w:tcPr>
          <w:p w14:paraId="2FC6380D">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灌溉、养殖</w:t>
            </w:r>
          </w:p>
        </w:tc>
      </w:tr>
      <w:tr w14:paraId="6F185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Align w:val="center"/>
          </w:tcPr>
          <w:p w14:paraId="446B327C">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14#</w:t>
            </w:r>
          </w:p>
        </w:tc>
        <w:tc>
          <w:tcPr>
            <w:tcW w:w="732" w:type="pct"/>
            <w:vAlign w:val="center"/>
          </w:tcPr>
          <w:p w14:paraId="5F7C8F98">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新村</w:t>
            </w:r>
          </w:p>
        </w:tc>
        <w:tc>
          <w:tcPr>
            <w:tcW w:w="716" w:type="pct"/>
          </w:tcPr>
          <w:p w14:paraId="60092DD8">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78</w:t>
            </w:r>
          </w:p>
        </w:tc>
        <w:tc>
          <w:tcPr>
            <w:tcW w:w="782" w:type="pct"/>
            <w:vAlign w:val="center"/>
          </w:tcPr>
          <w:p w14:paraId="61C9E3A9">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8.5</w:t>
            </w:r>
          </w:p>
        </w:tc>
        <w:tc>
          <w:tcPr>
            <w:tcW w:w="939" w:type="pct"/>
            <w:vAlign w:val="center"/>
          </w:tcPr>
          <w:p w14:paraId="192FB6E5">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125.9</w:t>
            </w:r>
          </w:p>
        </w:tc>
        <w:tc>
          <w:tcPr>
            <w:tcW w:w="626" w:type="pct"/>
            <w:vAlign w:val="center"/>
          </w:tcPr>
          <w:p w14:paraId="56882344">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承压水</w:t>
            </w:r>
          </w:p>
        </w:tc>
        <w:tc>
          <w:tcPr>
            <w:tcW w:w="700" w:type="pct"/>
            <w:vAlign w:val="center"/>
          </w:tcPr>
          <w:p w14:paraId="3FBDCAC2">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灌溉、养殖</w:t>
            </w:r>
          </w:p>
        </w:tc>
      </w:tr>
      <w:tr w14:paraId="2CC64A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Align w:val="center"/>
          </w:tcPr>
          <w:p w14:paraId="133F0291">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15#</w:t>
            </w:r>
          </w:p>
        </w:tc>
        <w:tc>
          <w:tcPr>
            <w:tcW w:w="732" w:type="pct"/>
            <w:vAlign w:val="center"/>
          </w:tcPr>
          <w:p w14:paraId="73522441">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英台村</w:t>
            </w:r>
          </w:p>
        </w:tc>
        <w:tc>
          <w:tcPr>
            <w:tcW w:w="716" w:type="pct"/>
          </w:tcPr>
          <w:p w14:paraId="71DBAE84">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75</w:t>
            </w:r>
          </w:p>
        </w:tc>
        <w:tc>
          <w:tcPr>
            <w:tcW w:w="782" w:type="pct"/>
            <w:vAlign w:val="center"/>
          </w:tcPr>
          <w:p w14:paraId="5AC65C54">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6.7</w:t>
            </w:r>
          </w:p>
        </w:tc>
        <w:tc>
          <w:tcPr>
            <w:tcW w:w="939" w:type="pct"/>
            <w:vAlign w:val="center"/>
          </w:tcPr>
          <w:p w14:paraId="06D0F190">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126.3</w:t>
            </w:r>
          </w:p>
        </w:tc>
        <w:tc>
          <w:tcPr>
            <w:tcW w:w="626" w:type="pct"/>
            <w:vAlign w:val="center"/>
          </w:tcPr>
          <w:p w14:paraId="18CFDC22">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承压水</w:t>
            </w:r>
          </w:p>
        </w:tc>
        <w:tc>
          <w:tcPr>
            <w:tcW w:w="700" w:type="pct"/>
            <w:vAlign w:val="center"/>
          </w:tcPr>
          <w:p w14:paraId="793CCE61">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灌溉、养殖</w:t>
            </w:r>
          </w:p>
        </w:tc>
      </w:tr>
      <w:tr w14:paraId="5DE8B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5" w:type="pct"/>
            <w:vAlign w:val="center"/>
          </w:tcPr>
          <w:p w14:paraId="092FD46C">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val="en-US" w:bidi="ar-SA"/>
                <w14:textFill>
                  <w14:solidFill>
                    <w14:schemeClr w14:val="tx1"/>
                  </w14:solidFill>
                </w14:textFill>
              </w:rPr>
              <w:t>1</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6#</w:t>
            </w:r>
          </w:p>
        </w:tc>
        <w:tc>
          <w:tcPr>
            <w:tcW w:w="732" w:type="pct"/>
            <w:vAlign w:val="center"/>
          </w:tcPr>
          <w:p w14:paraId="0AF4E9A3">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东好利保村</w:t>
            </w:r>
          </w:p>
        </w:tc>
        <w:tc>
          <w:tcPr>
            <w:tcW w:w="716" w:type="pct"/>
          </w:tcPr>
          <w:p w14:paraId="70B3C0BE">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val="en-US" w:bidi="ar-SA"/>
                <w14:textFill>
                  <w14:solidFill>
                    <w14:schemeClr w14:val="tx1"/>
                  </w14:solidFill>
                </w14:textFill>
              </w:rPr>
              <w:t>7</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2" w:type="pct"/>
            <w:vAlign w:val="center"/>
          </w:tcPr>
          <w:p w14:paraId="3AF63182">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val="en-US" w:bidi="ar-SA"/>
                <w14:textFill>
                  <w14:solidFill>
                    <w14:schemeClr w14:val="tx1"/>
                  </w14:solidFill>
                </w14:textFill>
              </w:rPr>
              <w:t>8</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w:t>
            </w:r>
          </w:p>
        </w:tc>
        <w:tc>
          <w:tcPr>
            <w:tcW w:w="939" w:type="pct"/>
            <w:vAlign w:val="center"/>
          </w:tcPr>
          <w:p w14:paraId="11D62511">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val="en-US" w:bidi="ar-SA"/>
                <w14:textFill>
                  <w14:solidFill>
                    <w14:schemeClr w14:val="tx1"/>
                  </w14:solidFill>
                </w14:textFill>
              </w:rPr>
              <w:t>1</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28.6</w:t>
            </w:r>
          </w:p>
        </w:tc>
        <w:tc>
          <w:tcPr>
            <w:tcW w:w="626" w:type="pct"/>
            <w:vAlign w:val="center"/>
          </w:tcPr>
          <w:p w14:paraId="5F58B2AC">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承压水</w:t>
            </w:r>
          </w:p>
        </w:tc>
        <w:tc>
          <w:tcPr>
            <w:tcW w:w="700" w:type="pct"/>
            <w:vAlign w:val="center"/>
          </w:tcPr>
          <w:p w14:paraId="68CB64D9">
            <w:pPr>
              <w:autoSpaceDE/>
              <w:autoSpaceDN/>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灌溉、养殖</w:t>
            </w:r>
          </w:p>
        </w:tc>
      </w:tr>
    </w:tbl>
    <w:p w14:paraId="630BBC57">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（2）监测频率</w:t>
      </w:r>
    </w:p>
    <w:p w14:paraId="54454A1E">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本项目位于松嫩平原区低平原区，依据《环境影响评价技术导则 地下水环境》（HJ 610-2016）中表4中的要求，本次地下水位监测频率为一期。</w:t>
      </w:r>
    </w:p>
    <w:p w14:paraId="01394C0D">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（3）现状地下水流场</w:t>
      </w:r>
    </w:p>
    <w:p w14:paraId="0E273876">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hint="eastAsia"/>
          <w:color w:val="000000" w:themeColor="text1"/>
          <w:w w:val="99"/>
          <w:sz w:val="24"/>
          <w:szCs w:val="24"/>
          <w:lang w:val="en-US" w:bidi="ar-SA"/>
          <w14:textFill>
            <w14:solidFill>
              <w14:schemeClr w14:val="tx1"/>
            </w14:solidFill>
          </w14:textFill>
        </w:rPr>
        <w:t>①</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承压水</w:t>
      </w:r>
    </w:p>
    <w:p w14:paraId="11ADC104">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本次对区域承压水水位进行了监测，承压水井和潜水井分布位置能够覆盖项目区域，监测井情况见表4.3-5，评价区内地下水流总体由西北向东南，地下水水力坡度0.4‰。承压水等水位线图见附图14。</w:t>
      </w:r>
    </w:p>
    <w:p w14:paraId="51D273A2">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hint="eastAsia"/>
          <w:color w:val="000000" w:themeColor="text1"/>
          <w:w w:val="99"/>
          <w:sz w:val="24"/>
          <w:szCs w:val="24"/>
          <w:lang w:val="en-US" w:bidi="ar-SA"/>
          <w14:textFill>
            <w14:solidFill>
              <w14:schemeClr w14:val="tx1"/>
            </w14:solidFill>
          </w14:textFill>
        </w:rPr>
        <w:t>②</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潜水</w:t>
      </w:r>
    </w:p>
    <w:p w14:paraId="11AAE063">
      <w:pPr>
        <w:widowControl/>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本次对区域潜水水位进行了监测，具体见表4.3-5，评价区内地下水流由西北向东南，地下水水力坡度1‰。潜水地下水等水位线图见附图13。</w:t>
      </w:r>
    </w:p>
    <w:p w14:paraId="636EFF8B">
      <w:pPr>
        <w:autoSpaceDE/>
        <w:autoSpaceDN/>
        <w:spacing w:line="440" w:lineRule="exact"/>
        <w:outlineLvl w:val="3"/>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t>4.3.2.2地下水水质监测</w:t>
      </w:r>
    </w:p>
    <w:p w14:paraId="344E5F93">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（1）地下水质监测因子</w:t>
      </w:r>
    </w:p>
    <w:p w14:paraId="3DB54958">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监测因子：K</w:t>
      </w:r>
      <w:r>
        <w:rPr>
          <w:rFonts w:ascii="Times New Roman" w:hAnsi="Times New Roman" w:cs="Times New Roman" w:eastAsiaTheme="minorEastAsia"/>
          <w:color w:val="000000" w:themeColor="text1"/>
          <w:w w:val="99"/>
          <w:sz w:val="24"/>
          <w:szCs w:val="24"/>
          <w:vertAlign w:val="superscript"/>
          <w:lang w:val="en-US" w:bidi="ar-SA"/>
          <w14:textFill>
            <w14:solidFill>
              <w14:schemeClr w14:val="tx1"/>
            </w14:solidFill>
          </w14:textFill>
        </w:rPr>
        <w:t>+</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、Na</w:t>
      </w:r>
      <w:r>
        <w:rPr>
          <w:rFonts w:ascii="Times New Roman" w:hAnsi="Times New Roman" w:cs="Times New Roman" w:eastAsiaTheme="minorEastAsia"/>
          <w:color w:val="000000" w:themeColor="text1"/>
          <w:w w:val="99"/>
          <w:sz w:val="24"/>
          <w:szCs w:val="24"/>
          <w:vertAlign w:val="superscript"/>
          <w:lang w:val="en-US" w:bidi="ar-SA"/>
          <w14:textFill>
            <w14:solidFill>
              <w14:schemeClr w14:val="tx1"/>
            </w14:solidFill>
          </w14:textFill>
        </w:rPr>
        <w:t>+</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、Ca</w:t>
      </w:r>
      <w:r>
        <w:rPr>
          <w:rFonts w:ascii="Times New Roman" w:hAnsi="Times New Roman" w:cs="Times New Roman" w:eastAsiaTheme="minorEastAsia"/>
          <w:color w:val="000000" w:themeColor="text1"/>
          <w:w w:val="99"/>
          <w:sz w:val="24"/>
          <w:szCs w:val="24"/>
          <w:vertAlign w:val="superscript"/>
          <w:lang w:val="en-US" w:bidi="ar-SA"/>
          <w14:textFill>
            <w14:solidFill>
              <w14:schemeClr w14:val="tx1"/>
            </w14:solidFill>
          </w14:textFill>
        </w:rPr>
        <w:t>2+</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、Mg</w:t>
      </w:r>
      <w:r>
        <w:rPr>
          <w:rFonts w:ascii="Times New Roman" w:hAnsi="Times New Roman" w:cs="Times New Roman" w:eastAsiaTheme="minorEastAsia"/>
          <w:color w:val="000000" w:themeColor="text1"/>
          <w:w w:val="99"/>
          <w:sz w:val="24"/>
          <w:szCs w:val="24"/>
          <w:vertAlign w:val="superscript"/>
          <w:lang w:val="en-US" w:bidi="ar-SA"/>
          <w14:textFill>
            <w14:solidFill>
              <w14:schemeClr w14:val="tx1"/>
            </w14:solidFill>
          </w14:textFill>
        </w:rPr>
        <w:t>2+</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、CO</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3</w:t>
      </w:r>
      <w:r>
        <w:rPr>
          <w:rFonts w:ascii="Times New Roman" w:hAnsi="Times New Roman" w:cs="Times New Roman" w:eastAsiaTheme="minorEastAsia"/>
          <w:color w:val="000000" w:themeColor="text1"/>
          <w:w w:val="99"/>
          <w:sz w:val="24"/>
          <w:szCs w:val="24"/>
          <w:vertAlign w:val="superscript"/>
          <w:lang w:val="en-US" w:bidi="ar-SA"/>
          <w14:textFill>
            <w14:solidFill>
              <w14:schemeClr w14:val="tx1"/>
            </w14:solidFill>
          </w14:textFill>
        </w:rPr>
        <w:t>2-</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、HCO</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3</w:t>
      </w:r>
      <w:r>
        <w:rPr>
          <w:rFonts w:ascii="Times New Roman" w:hAnsi="Times New Roman" w:cs="Times New Roman" w:eastAsiaTheme="minorEastAsia"/>
          <w:color w:val="000000" w:themeColor="text1"/>
          <w:w w:val="99"/>
          <w:sz w:val="24"/>
          <w:szCs w:val="24"/>
          <w:vertAlign w:val="superscript"/>
          <w:lang w:val="en-US" w:bidi="ar-SA"/>
          <w14:textFill>
            <w14:solidFill>
              <w14:schemeClr w14:val="tx1"/>
            </w14:solidFill>
          </w14:textFill>
        </w:rPr>
        <w:t>-</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、Cl</w:t>
      </w:r>
      <w:r>
        <w:rPr>
          <w:rFonts w:ascii="Times New Roman" w:hAnsi="Times New Roman" w:cs="Times New Roman" w:eastAsiaTheme="minorEastAsia"/>
          <w:color w:val="000000" w:themeColor="text1"/>
          <w:w w:val="99"/>
          <w:sz w:val="24"/>
          <w:szCs w:val="24"/>
          <w:vertAlign w:val="superscript"/>
          <w:lang w:val="en-US" w:bidi="ar-SA"/>
          <w14:textFill>
            <w14:solidFill>
              <w14:schemeClr w14:val="tx1"/>
            </w14:solidFill>
          </w14:textFill>
        </w:rPr>
        <w:t>-</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、SO</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4</w:t>
      </w:r>
      <w:r>
        <w:rPr>
          <w:rFonts w:ascii="Times New Roman" w:hAnsi="Times New Roman" w:cs="Times New Roman" w:eastAsiaTheme="minorEastAsia"/>
          <w:color w:val="000000" w:themeColor="text1"/>
          <w:w w:val="99"/>
          <w:sz w:val="24"/>
          <w:szCs w:val="24"/>
          <w:vertAlign w:val="superscript"/>
          <w:lang w:val="en-US" w:bidi="ar-SA"/>
          <w14:textFill>
            <w14:solidFill>
              <w14:schemeClr w14:val="tx1"/>
            </w14:solidFill>
          </w14:textFill>
        </w:rPr>
        <w:t>2-</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、pH、氨氮、硝酸盐、亚硝酸盐、挥发性酚类、氰化物、砷、汞、铬（六价）、总硬度、铅、氟化物、镉、铁、锰、溶解性总固体、耗氧量、总大肠菌群、菌落总数、石油类。</w:t>
      </w:r>
    </w:p>
    <w:p w14:paraId="6ECB7E9F">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（2）水质监测布点</w:t>
      </w:r>
    </w:p>
    <w:p w14:paraId="0FC588CF">
      <w:pPr>
        <w:autoSpaceDE/>
        <w:autoSpaceDN/>
        <w:spacing w:line="440" w:lineRule="exact"/>
        <w:ind w:firstLine="474" w:firstLineChars="200"/>
        <w:rPr>
          <w:rFonts w:ascii="Times New Roman" w:hAnsi="Times New Roman" w:cs="Times New Roman" w:eastAsiaTheme="minorEastAsia"/>
          <w:bCs/>
          <w:color w:val="000000" w:themeColor="text1"/>
          <w:w w:val="99"/>
          <w:kern w:val="21"/>
          <w:sz w:val="24"/>
          <w:szCs w:val="20"/>
          <w:lang w:val="en-US" w:bidi="ar-SA"/>
          <w14:textFill>
            <w14:solidFill>
              <w14:schemeClr w14:val="tx1"/>
            </w14:solidFill>
          </w14:textFill>
        </w:rPr>
      </w:pPr>
      <w:r>
        <w:rPr>
          <w:rFonts w:ascii="Times New Roman" w:hAnsi="Times New Roman" w:cs="Times New Roman" w:eastAsiaTheme="minorEastAsia"/>
          <w:bCs/>
          <w:color w:val="000000" w:themeColor="text1"/>
          <w:w w:val="99"/>
          <w:kern w:val="21"/>
          <w:sz w:val="24"/>
          <w:szCs w:val="20"/>
          <w:lang w:val="en-US" w:bidi="ar-SA"/>
          <w14:textFill>
            <w14:solidFill>
              <w14:schemeClr w14:val="tx1"/>
            </w14:solidFill>
          </w14:textFill>
        </w:rPr>
        <w:t>根据本项目地层特征，以及地下水含水层特点和区域水资源开发利用情况，参照《环境影响评价技术导则 地下水环境》（HJ610-2016），本次共布设8个水质监测点。</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地下水水质监测布点见附图12。</w:t>
      </w:r>
    </w:p>
    <w:p w14:paraId="281E282B">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地下水水质监测布点信息见表4.3-6。</w:t>
      </w:r>
    </w:p>
    <w:p w14:paraId="27F7D197">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表4.3-6    地下水水质监测布点信息表</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36"/>
        <w:gridCol w:w="1304"/>
        <w:gridCol w:w="788"/>
        <w:gridCol w:w="1393"/>
        <w:gridCol w:w="2669"/>
        <w:gridCol w:w="812"/>
        <w:gridCol w:w="897"/>
        <w:gridCol w:w="988"/>
      </w:tblGrid>
      <w:tr w14:paraId="02765A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5" w:type="pct"/>
            <w:vAlign w:val="center"/>
          </w:tcPr>
          <w:p w14:paraId="69304AC5">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编号</w:t>
            </w:r>
          </w:p>
        </w:tc>
        <w:tc>
          <w:tcPr>
            <w:tcW w:w="702" w:type="pct"/>
            <w:vAlign w:val="center"/>
          </w:tcPr>
          <w:p w14:paraId="7CB15B41">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监测点位</w:t>
            </w:r>
          </w:p>
        </w:tc>
        <w:tc>
          <w:tcPr>
            <w:tcW w:w="424" w:type="pct"/>
            <w:vAlign w:val="center"/>
          </w:tcPr>
          <w:p w14:paraId="3B06B7D6">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监测层位</w:t>
            </w:r>
          </w:p>
        </w:tc>
        <w:tc>
          <w:tcPr>
            <w:tcW w:w="750" w:type="pct"/>
            <w:vAlign w:val="center"/>
          </w:tcPr>
          <w:p w14:paraId="0BC763E3">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坐标</w:t>
            </w:r>
          </w:p>
        </w:tc>
        <w:tc>
          <w:tcPr>
            <w:tcW w:w="1437" w:type="pct"/>
            <w:vAlign w:val="center"/>
          </w:tcPr>
          <w:p w14:paraId="7B4FB874">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相对位置</w:t>
            </w:r>
          </w:p>
        </w:tc>
        <w:tc>
          <w:tcPr>
            <w:tcW w:w="437" w:type="pct"/>
            <w:vAlign w:val="center"/>
          </w:tcPr>
          <w:p w14:paraId="3C6434CC">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井深（m）</w:t>
            </w:r>
          </w:p>
        </w:tc>
        <w:tc>
          <w:tcPr>
            <w:tcW w:w="483" w:type="pct"/>
            <w:vAlign w:val="center"/>
          </w:tcPr>
          <w:p w14:paraId="6B4A5D49">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与地下水流向关系</w:t>
            </w:r>
          </w:p>
        </w:tc>
        <w:tc>
          <w:tcPr>
            <w:tcW w:w="533" w:type="pct"/>
            <w:vAlign w:val="center"/>
          </w:tcPr>
          <w:p w14:paraId="1EE997EE">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水井功能</w:t>
            </w:r>
          </w:p>
        </w:tc>
      </w:tr>
      <w:tr w14:paraId="3D75F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5" w:type="pct"/>
            <w:vAlign w:val="center"/>
          </w:tcPr>
          <w:p w14:paraId="116F6771">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w:t>
            </w:r>
          </w:p>
        </w:tc>
        <w:tc>
          <w:tcPr>
            <w:tcW w:w="702" w:type="pct"/>
            <w:vAlign w:val="center"/>
          </w:tcPr>
          <w:p w14:paraId="79E018C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好尔陶牧场潜水井</w:t>
            </w:r>
          </w:p>
        </w:tc>
        <w:tc>
          <w:tcPr>
            <w:tcW w:w="424" w:type="pct"/>
            <w:vAlign w:val="center"/>
          </w:tcPr>
          <w:p w14:paraId="25230952">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潜水</w:t>
            </w:r>
          </w:p>
        </w:tc>
        <w:tc>
          <w:tcPr>
            <w:tcW w:w="750" w:type="pct"/>
            <w:vAlign w:val="center"/>
          </w:tcPr>
          <w:p w14:paraId="4C295AD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124.40775，46.38369</w:t>
            </w:r>
          </w:p>
        </w:tc>
        <w:tc>
          <w:tcPr>
            <w:tcW w:w="1437" w:type="pct"/>
            <w:vAlign w:val="center"/>
          </w:tcPr>
          <w:p w14:paraId="698ED1F4">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11号平台至龙一联合站集油管道西北侧2915m</w:t>
            </w:r>
          </w:p>
        </w:tc>
        <w:tc>
          <w:tcPr>
            <w:tcW w:w="437" w:type="pct"/>
            <w:vAlign w:val="center"/>
          </w:tcPr>
          <w:p w14:paraId="27197467">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18.0</w:t>
            </w:r>
          </w:p>
        </w:tc>
        <w:tc>
          <w:tcPr>
            <w:tcW w:w="483" w:type="pct"/>
            <w:vAlign w:val="center"/>
          </w:tcPr>
          <w:p w14:paraId="16936970">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上游水井</w:t>
            </w:r>
          </w:p>
        </w:tc>
        <w:tc>
          <w:tcPr>
            <w:tcW w:w="533" w:type="pct"/>
            <w:vAlign w:val="center"/>
          </w:tcPr>
          <w:p w14:paraId="3040B53F">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灌溉、养殖</w:t>
            </w:r>
          </w:p>
        </w:tc>
      </w:tr>
      <w:tr w14:paraId="32642A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5" w:type="pct"/>
            <w:vAlign w:val="center"/>
          </w:tcPr>
          <w:p w14:paraId="719BF38C">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w:t>
            </w:r>
          </w:p>
        </w:tc>
        <w:tc>
          <w:tcPr>
            <w:tcW w:w="702" w:type="pct"/>
            <w:vAlign w:val="center"/>
          </w:tcPr>
          <w:p w14:paraId="06DB27C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龙虎岗村潜水井</w:t>
            </w:r>
          </w:p>
        </w:tc>
        <w:tc>
          <w:tcPr>
            <w:tcW w:w="424" w:type="pct"/>
            <w:vAlign w:val="center"/>
          </w:tcPr>
          <w:p w14:paraId="20913EE1">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潜水</w:t>
            </w:r>
          </w:p>
        </w:tc>
        <w:tc>
          <w:tcPr>
            <w:tcW w:w="750" w:type="pct"/>
            <w:vAlign w:val="center"/>
          </w:tcPr>
          <w:p w14:paraId="7F260BCF">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124.36056，46.32427</w:t>
            </w:r>
          </w:p>
        </w:tc>
        <w:tc>
          <w:tcPr>
            <w:tcW w:w="1437" w:type="pct"/>
            <w:vAlign w:val="center"/>
          </w:tcPr>
          <w:p w14:paraId="71A00EBD">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5号拉油点至汇合点1集油管道</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西北侧2947m</w:t>
            </w:r>
          </w:p>
        </w:tc>
        <w:tc>
          <w:tcPr>
            <w:tcW w:w="437" w:type="pct"/>
            <w:vAlign w:val="center"/>
          </w:tcPr>
          <w:p w14:paraId="24626352">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22.0</w:t>
            </w:r>
          </w:p>
        </w:tc>
        <w:tc>
          <w:tcPr>
            <w:tcW w:w="483" w:type="pct"/>
            <w:vAlign w:val="center"/>
          </w:tcPr>
          <w:p w14:paraId="6D890199">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侧向水井</w:t>
            </w:r>
          </w:p>
        </w:tc>
        <w:tc>
          <w:tcPr>
            <w:tcW w:w="533" w:type="pct"/>
            <w:vAlign w:val="center"/>
          </w:tcPr>
          <w:p w14:paraId="3C0F4F5B">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灌溉、养殖</w:t>
            </w:r>
          </w:p>
        </w:tc>
      </w:tr>
      <w:tr w14:paraId="771DAE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5" w:type="pct"/>
            <w:vAlign w:val="center"/>
          </w:tcPr>
          <w:p w14:paraId="47CAE505">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3</w:t>
            </w:r>
          </w:p>
        </w:tc>
        <w:tc>
          <w:tcPr>
            <w:tcW w:w="702" w:type="pct"/>
            <w:vAlign w:val="center"/>
          </w:tcPr>
          <w:p w14:paraId="4DC0D5E5">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双榆树潜水井</w:t>
            </w:r>
          </w:p>
        </w:tc>
        <w:tc>
          <w:tcPr>
            <w:tcW w:w="424" w:type="pct"/>
            <w:vAlign w:val="center"/>
          </w:tcPr>
          <w:p w14:paraId="79DA8D4D">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潜水</w:t>
            </w:r>
          </w:p>
        </w:tc>
        <w:tc>
          <w:tcPr>
            <w:tcW w:w="750" w:type="pct"/>
            <w:vAlign w:val="center"/>
          </w:tcPr>
          <w:p w14:paraId="506BBE61">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124.46500，46.33961</w:t>
            </w:r>
          </w:p>
        </w:tc>
        <w:tc>
          <w:tcPr>
            <w:tcW w:w="1437" w:type="pct"/>
            <w:vAlign w:val="center"/>
          </w:tcPr>
          <w:p w14:paraId="50736F5F">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龙27-1号拉油点1号平台至龙27-斜6拉油点集油管道东北侧1445m</w:t>
            </w:r>
          </w:p>
        </w:tc>
        <w:tc>
          <w:tcPr>
            <w:tcW w:w="437" w:type="pct"/>
            <w:vAlign w:val="center"/>
          </w:tcPr>
          <w:p w14:paraId="77846B12">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30.0</w:t>
            </w:r>
          </w:p>
        </w:tc>
        <w:tc>
          <w:tcPr>
            <w:tcW w:w="483" w:type="pct"/>
            <w:vAlign w:val="center"/>
          </w:tcPr>
          <w:p w14:paraId="2E0C9065">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侧向水井</w:t>
            </w:r>
          </w:p>
        </w:tc>
        <w:tc>
          <w:tcPr>
            <w:tcW w:w="533" w:type="pct"/>
            <w:vAlign w:val="center"/>
          </w:tcPr>
          <w:p w14:paraId="330C3A19">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灌溉、养殖</w:t>
            </w:r>
          </w:p>
        </w:tc>
      </w:tr>
      <w:tr w14:paraId="486CC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5" w:type="pct"/>
            <w:vAlign w:val="center"/>
          </w:tcPr>
          <w:p w14:paraId="48CB4A8D">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4</w:t>
            </w:r>
          </w:p>
        </w:tc>
        <w:tc>
          <w:tcPr>
            <w:tcW w:w="702" w:type="pct"/>
            <w:vAlign w:val="center"/>
          </w:tcPr>
          <w:p w14:paraId="39F7E87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杏树岗村潜水井</w:t>
            </w:r>
          </w:p>
        </w:tc>
        <w:tc>
          <w:tcPr>
            <w:tcW w:w="424" w:type="pct"/>
            <w:vAlign w:val="center"/>
          </w:tcPr>
          <w:p w14:paraId="769D6CD3">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潜水</w:t>
            </w:r>
          </w:p>
        </w:tc>
        <w:tc>
          <w:tcPr>
            <w:tcW w:w="750" w:type="pct"/>
            <w:vAlign w:val="center"/>
          </w:tcPr>
          <w:p w14:paraId="1064CDD2">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124.43350，46.31454</w:t>
            </w:r>
          </w:p>
        </w:tc>
        <w:tc>
          <w:tcPr>
            <w:tcW w:w="1437" w:type="pct"/>
            <w:vAlign w:val="center"/>
          </w:tcPr>
          <w:p w14:paraId="0638ABD0">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龙27-斜6拉油点至新建混输阀组间集油管道南侧70m</w:t>
            </w:r>
          </w:p>
        </w:tc>
        <w:tc>
          <w:tcPr>
            <w:tcW w:w="437" w:type="pct"/>
            <w:vAlign w:val="center"/>
          </w:tcPr>
          <w:p w14:paraId="4723F8B8">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15.0</w:t>
            </w:r>
          </w:p>
        </w:tc>
        <w:tc>
          <w:tcPr>
            <w:tcW w:w="483" w:type="pct"/>
            <w:vAlign w:val="center"/>
          </w:tcPr>
          <w:p w14:paraId="4A09807D">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区域内水井</w:t>
            </w:r>
          </w:p>
        </w:tc>
        <w:tc>
          <w:tcPr>
            <w:tcW w:w="533" w:type="pct"/>
            <w:vAlign w:val="center"/>
          </w:tcPr>
          <w:p w14:paraId="6993067C">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灌溉、养殖</w:t>
            </w:r>
          </w:p>
        </w:tc>
      </w:tr>
      <w:tr w14:paraId="7A9F4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5" w:type="pct"/>
            <w:vAlign w:val="center"/>
          </w:tcPr>
          <w:p w14:paraId="0F90FFAB">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5</w:t>
            </w:r>
          </w:p>
        </w:tc>
        <w:tc>
          <w:tcPr>
            <w:tcW w:w="702" w:type="pct"/>
            <w:vAlign w:val="center"/>
          </w:tcPr>
          <w:p w14:paraId="48ACEDE8">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东好利保村潜水井</w:t>
            </w:r>
          </w:p>
        </w:tc>
        <w:tc>
          <w:tcPr>
            <w:tcW w:w="424" w:type="pct"/>
            <w:vAlign w:val="center"/>
          </w:tcPr>
          <w:p w14:paraId="2D2FAC42">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潜水</w:t>
            </w:r>
          </w:p>
        </w:tc>
        <w:tc>
          <w:tcPr>
            <w:tcW w:w="750" w:type="pct"/>
            <w:vAlign w:val="center"/>
          </w:tcPr>
          <w:p w14:paraId="18F024B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124.36639，46.26413</w:t>
            </w:r>
          </w:p>
        </w:tc>
        <w:tc>
          <w:tcPr>
            <w:tcW w:w="1437" w:type="pct"/>
            <w:vAlign w:val="center"/>
          </w:tcPr>
          <w:p w14:paraId="4FBC3D11">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8号拉油点至汇合点4集油管道西南侧</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3130m</w:t>
            </w:r>
          </w:p>
        </w:tc>
        <w:tc>
          <w:tcPr>
            <w:tcW w:w="437" w:type="pct"/>
            <w:vAlign w:val="center"/>
          </w:tcPr>
          <w:p w14:paraId="037F99CF">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18.0</w:t>
            </w:r>
          </w:p>
        </w:tc>
        <w:tc>
          <w:tcPr>
            <w:tcW w:w="483" w:type="pct"/>
            <w:vAlign w:val="center"/>
          </w:tcPr>
          <w:p w14:paraId="513C4B80">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下游水井</w:t>
            </w:r>
          </w:p>
        </w:tc>
        <w:tc>
          <w:tcPr>
            <w:tcW w:w="533" w:type="pct"/>
            <w:vAlign w:val="center"/>
          </w:tcPr>
          <w:p w14:paraId="11295B46">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灌溉、养殖</w:t>
            </w:r>
          </w:p>
        </w:tc>
      </w:tr>
      <w:tr w14:paraId="285B4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5" w:type="pct"/>
            <w:vAlign w:val="center"/>
          </w:tcPr>
          <w:p w14:paraId="4AFBD219">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6</w:t>
            </w:r>
          </w:p>
        </w:tc>
        <w:tc>
          <w:tcPr>
            <w:tcW w:w="702" w:type="pct"/>
            <w:vAlign w:val="center"/>
          </w:tcPr>
          <w:p w14:paraId="39B7EE5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杏树岗村承压水井</w:t>
            </w:r>
          </w:p>
        </w:tc>
        <w:tc>
          <w:tcPr>
            <w:tcW w:w="424" w:type="pct"/>
            <w:vAlign w:val="center"/>
          </w:tcPr>
          <w:p w14:paraId="603E35BF">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承压水</w:t>
            </w:r>
          </w:p>
        </w:tc>
        <w:tc>
          <w:tcPr>
            <w:tcW w:w="750" w:type="pct"/>
            <w:vAlign w:val="center"/>
          </w:tcPr>
          <w:p w14:paraId="4DA0D38D">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124.43350，46.31454</w:t>
            </w:r>
          </w:p>
        </w:tc>
        <w:tc>
          <w:tcPr>
            <w:tcW w:w="1437" w:type="pct"/>
            <w:vAlign w:val="center"/>
          </w:tcPr>
          <w:p w14:paraId="2DE0A908">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龙27-斜6拉油点至新建混输阀组间集油管道南侧70m</w:t>
            </w:r>
          </w:p>
        </w:tc>
        <w:tc>
          <w:tcPr>
            <w:tcW w:w="437" w:type="pct"/>
            <w:vAlign w:val="center"/>
          </w:tcPr>
          <w:p w14:paraId="1EC16576">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75.0</w:t>
            </w:r>
          </w:p>
        </w:tc>
        <w:tc>
          <w:tcPr>
            <w:tcW w:w="483" w:type="pct"/>
            <w:vAlign w:val="center"/>
          </w:tcPr>
          <w:p w14:paraId="7C5E1344">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区域内水井</w:t>
            </w:r>
          </w:p>
        </w:tc>
        <w:tc>
          <w:tcPr>
            <w:tcW w:w="533" w:type="pct"/>
            <w:vAlign w:val="center"/>
          </w:tcPr>
          <w:p w14:paraId="401608C5">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灌溉、养殖</w:t>
            </w:r>
          </w:p>
        </w:tc>
      </w:tr>
      <w:tr w14:paraId="5D7BE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5" w:type="pct"/>
            <w:vAlign w:val="center"/>
          </w:tcPr>
          <w:p w14:paraId="515EEBFC">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7</w:t>
            </w:r>
          </w:p>
        </w:tc>
        <w:tc>
          <w:tcPr>
            <w:tcW w:w="702" w:type="pct"/>
            <w:vAlign w:val="center"/>
          </w:tcPr>
          <w:p w14:paraId="4190141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东好利保村承压水井</w:t>
            </w:r>
          </w:p>
        </w:tc>
        <w:tc>
          <w:tcPr>
            <w:tcW w:w="424" w:type="pct"/>
            <w:vAlign w:val="center"/>
          </w:tcPr>
          <w:p w14:paraId="4F5E8AC5">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承压水</w:t>
            </w:r>
          </w:p>
        </w:tc>
        <w:tc>
          <w:tcPr>
            <w:tcW w:w="750" w:type="pct"/>
            <w:vAlign w:val="center"/>
          </w:tcPr>
          <w:p w14:paraId="78FE830D">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124.36639，46.26413</w:t>
            </w:r>
          </w:p>
        </w:tc>
        <w:tc>
          <w:tcPr>
            <w:tcW w:w="1437" w:type="pct"/>
            <w:vAlign w:val="center"/>
          </w:tcPr>
          <w:p w14:paraId="56F6819B">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8号拉油点至汇合点4集油管道西南侧</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3130m</w:t>
            </w:r>
          </w:p>
        </w:tc>
        <w:tc>
          <w:tcPr>
            <w:tcW w:w="437" w:type="pct"/>
            <w:vAlign w:val="center"/>
          </w:tcPr>
          <w:p w14:paraId="49D70920">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80.0</w:t>
            </w:r>
          </w:p>
        </w:tc>
        <w:tc>
          <w:tcPr>
            <w:tcW w:w="483" w:type="pct"/>
            <w:vAlign w:val="center"/>
          </w:tcPr>
          <w:p w14:paraId="5985E717">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下游水井</w:t>
            </w:r>
          </w:p>
        </w:tc>
        <w:tc>
          <w:tcPr>
            <w:tcW w:w="533" w:type="pct"/>
            <w:vAlign w:val="center"/>
          </w:tcPr>
          <w:p w14:paraId="00FF4EBA">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灌溉、养殖</w:t>
            </w:r>
          </w:p>
        </w:tc>
      </w:tr>
      <w:tr w14:paraId="7719F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5" w:type="pct"/>
            <w:vAlign w:val="center"/>
          </w:tcPr>
          <w:p w14:paraId="2D57344F">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8</w:t>
            </w:r>
          </w:p>
        </w:tc>
        <w:tc>
          <w:tcPr>
            <w:tcW w:w="702" w:type="pct"/>
            <w:vAlign w:val="center"/>
          </w:tcPr>
          <w:p w14:paraId="057E9332">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杏树岗村集中供水饮用水井</w:t>
            </w:r>
          </w:p>
        </w:tc>
        <w:tc>
          <w:tcPr>
            <w:tcW w:w="424" w:type="pct"/>
            <w:vAlign w:val="center"/>
          </w:tcPr>
          <w:p w14:paraId="63E18621">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承压水</w:t>
            </w:r>
          </w:p>
        </w:tc>
        <w:tc>
          <w:tcPr>
            <w:tcW w:w="750" w:type="pct"/>
            <w:vAlign w:val="center"/>
          </w:tcPr>
          <w:p w14:paraId="5DE39D31">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124.43293</w:t>
            </w: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46.31313</w:t>
            </w:r>
          </w:p>
        </w:tc>
        <w:tc>
          <w:tcPr>
            <w:tcW w:w="1437" w:type="pct"/>
            <w:vAlign w:val="center"/>
          </w:tcPr>
          <w:p w14:paraId="00124EA6">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龙27-斜6拉油点至新建混输阀组间集油管道南侧989m</w:t>
            </w:r>
          </w:p>
        </w:tc>
        <w:tc>
          <w:tcPr>
            <w:tcW w:w="437" w:type="pct"/>
            <w:vAlign w:val="center"/>
          </w:tcPr>
          <w:p w14:paraId="595FF4B8">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val="en-US" w:bidi="ar-SA"/>
                <w14:textFill>
                  <w14:solidFill>
                    <w14:schemeClr w14:val="tx1"/>
                  </w14:solidFill>
                </w14:textFill>
              </w:rPr>
              <w:t>1</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10</w:t>
            </w:r>
          </w:p>
        </w:tc>
        <w:tc>
          <w:tcPr>
            <w:tcW w:w="483" w:type="pct"/>
            <w:vAlign w:val="center"/>
          </w:tcPr>
          <w:p w14:paraId="513C1C72">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区域内水井</w:t>
            </w:r>
          </w:p>
        </w:tc>
        <w:tc>
          <w:tcPr>
            <w:tcW w:w="533" w:type="pct"/>
            <w:vAlign w:val="center"/>
          </w:tcPr>
          <w:p w14:paraId="0A1C3495">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饮用</w:t>
            </w:r>
          </w:p>
        </w:tc>
      </w:tr>
    </w:tbl>
    <w:p w14:paraId="74A2AECC">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（3）监测时间及频次</w:t>
      </w:r>
    </w:p>
    <w:p w14:paraId="2018CAB6">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1#~7#监测点于2022年10月16日监测，</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8</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#监测点于2023年2月2日监测，对地下水质监测井取样1次，并进行水质分析。</w:t>
      </w:r>
    </w:p>
    <w:p w14:paraId="722572AB">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（4）监测结果</w:t>
      </w:r>
    </w:p>
    <w:p w14:paraId="21AD000F">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地下水水质现状监测结果见表4.3-7。</w:t>
      </w:r>
    </w:p>
    <w:p w14:paraId="04E815B2">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 xml:space="preserve">表4.3-7    地下水水质现状监测结果 </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89"/>
        <w:gridCol w:w="887"/>
        <w:gridCol w:w="887"/>
        <w:gridCol w:w="887"/>
        <w:gridCol w:w="887"/>
        <w:gridCol w:w="887"/>
        <w:gridCol w:w="887"/>
        <w:gridCol w:w="887"/>
        <w:gridCol w:w="887"/>
        <w:gridCol w:w="702"/>
      </w:tblGrid>
      <w:tr w14:paraId="15D8C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22" w:type="pct"/>
            <w:vAlign w:val="center"/>
          </w:tcPr>
          <w:p w14:paraId="0415586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监测项目</w:t>
            </w:r>
          </w:p>
        </w:tc>
        <w:tc>
          <w:tcPr>
            <w:tcW w:w="458" w:type="pct"/>
            <w:vAlign w:val="center"/>
          </w:tcPr>
          <w:p w14:paraId="41ED2B1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好尔陶牧场潜水井(苏家)</w:t>
            </w:r>
          </w:p>
        </w:tc>
        <w:tc>
          <w:tcPr>
            <w:tcW w:w="459" w:type="pct"/>
            <w:vAlign w:val="center"/>
          </w:tcPr>
          <w:p w14:paraId="429A78EE">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龙虎岗村潜水井(韩家)</w:t>
            </w:r>
          </w:p>
        </w:tc>
        <w:tc>
          <w:tcPr>
            <w:tcW w:w="458" w:type="pct"/>
            <w:vAlign w:val="center"/>
          </w:tcPr>
          <w:p w14:paraId="3B1E140F">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双榆树潜水井(陈家)</w:t>
            </w:r>
          </w:p>
        </w:tc>
        <w:tc>
          <w:tcPr>
            <w:tcW w:w="458" w:type="pct"/>
            <w:vAlign w:val="center"/>
          </w:tcPr>
          <w:p w14:paraId="0BF455E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杏树岗村潜水井(张家)</w:t>
            </w:r>
          </w:p>
        </w:tc>
        <w:tc>
          <w:tcPr>
            <w:tcW w:w="534" w:type="pct"/>
            <w:vAlign w:val="center"/>
          </w:tcPr>
          <w:p w14:paraId="378F1E5C">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东好利保村潜水井(索家)</w:t>
            </w:r>
          </w:p>
        </w:tc>
        <w:tc>
          <w:tcPr>
            <w:tcW w:w="457" w:type="pct"/>
            <w:vAlign w:val="center"/>
          </w:tcPr>
          <w:p w14:paraId="088C7ACE">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杏树岗村承压水井(汪家)</w:t>
            </w:r>
          </w:p>
        </w:tc>
        <w:tc>
          <w:tcPr>
            <w:tcW w:w="458" w:type="pct"/>
            <w:vAlign w:val="center"/>
          </w:tcPr>
          <w:p w14:paraId="104FD9F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东好利保村承压水井(张家)</w:t>
            </w:r>
          </w:p>
        </w:tc>
        <w:tc>
          <w:tcPr>
            <w:tcW w:w="500" w:type="pct"/>
          </w:tcPr>
          <w:p w14:paraId="778DDC7C">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杏树岗村集中供水饮用水井</w:t>
            </w:r>
          </w:p>
        </w:tc>
        <w:tc>
          <w:tcPr>
            <w:tcW w:w="396" w:type="pct"/>
            <w:vAlign w:val="center"/>
          </w:tcPr>
          <w:p w14:paraId="6269F49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标准限值</w:t>
            </w:r>
          </w:p>
        </w:tc>
      </w:tr>
      <w:tr w14:paraId="61DE7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22" w:type="pct"/>
            <w:vAlign w:val="center"/>
          </w:tcPr>
          <w:p w14:paraId="38E7F52E">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K</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（mg/L）</w:t>
            </w:r>
          </w:p>
        </w:tc>
        <w:tc>
          <w:tcPr>
            <w:tcW w:w="458" w:type="pct"/>
            <w:vAlign w:val="center"/>
          </w:tcPr>
          <w:p w14:paraId="35B5CB1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2.36</w:t>
            </w:r>
          </w:p>
        </w:tc>
        <w:tc>
          <w:tcPr>
            <w:tcW w:w="459" w:type="pct"/>
            <w:vAlign w:val="center"/>
          </w:tcPr>
          <w:p w14:paraId="1A3D01FB">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3.02</w:t>
            </w:r>
          </w:p>
        </w:tc>
        <w:tc>
          <w:tcPr>
            <w:tcW w:w="458" w:type="pct"/>
            <w:vAlign w:val="center"/>
          </w:tcPr>
          <w:p w14:paraId="3181BEBF">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2.09</w:t>
            </w:r>
          </w:p>
        </w:tc>
        <w:tc>
          <w:tcPr>
            <w:tcW w:w="458" w:type="pct"/>
            <w:vAlign w:val="center"/>
          </w:tcPr>
          <w:p w14:paraId="597F609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1.97</w:t>
            </w:r>
          </w:p>
        </w:tc>
        <w:tc>
          <w:tcPr>
            <w:tcW w:w="534" w:type="pct"/>
            <w:vAlign w:val="center"/>
          </w:tcPr>
          <w:p w14:paraId="06A8FAA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2.78</w:t>
            </w:r>
          </w:p>
        </w:tc>
        <w:tc>
          <w:tcPr>
            <w:tcW w:w="457" w:type="pct"/>
            <w:vAlign w:val="center"/>
          </w:tcPr>
          <w:p w14:paraId="1BA41622">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1.24</w:t>
            </w:r>
          </w:p>
        </w:tc>
        <w:tc>
          <w:tcPr>
            <w:tcW w:w="458" w:type="pct"/>
            <w:vAlign w:val="center"/>
          </w:tcPr>
          <w:p w14:paraId="00F1E4CE">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1.33</w:t>
            </w:r>
          </w:p>
        </w:tc>
        <w:tc>
          <w:tcPr>
            <w:tcW w:w="500" w:type="pct"/>
            <w:vAlign w:val="center"/>
          </w:tcPr>
          <w:p w14:paraId="6095A75C">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1.16</w:t>
            </w:r>
          </w:p>
        </w:tc>
        <w:tc>
          <w:tcPr>
            <w:tcW w:w="396" w:type="pct"/>
            <w:vAlign w:val="center"/>
          </w:tcPr>
          <w:p w14:paraId="5AE36D21">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r>
      <w:tr w14:paraId="41512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22" w:type="pct"/>
            <w:vAlign w:val="center"/>
          </w:tcPr>
          <w:p w14:paraId="2DA0A13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Na</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（mg/L）</w:t>
            </w:r>
          </w:p>
        </w:tc>
        <w:tc>
          <w:tcPr>
            <w:tcW w:w="458" w:type="pct"/>
            <w:vAlign w:val="center"/>
          </w:tcPr>
          <w:p w14:paraId="065509D5">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54.8</w:t>
            </w:r>
          </w:p>
        </w:tc>
        <w:tc>
          <w:tcPr>
            <w:tcW w:w="459" w:type="pct"/>
            <w:vAlign w:val="center"/>
          </w:tcPr>
          <w:p w14:paraId="0766DDDD">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61.4</w:t>
            </w:r>
          </w:p>
        </w:tc>
        <w:tc>
          <w:tcPr>
            <w:tcW w:w="458" w:type="pct"/>
            <w:vAlign w:val="center"/>
          </w:tcPr>
          <w:p w14:paraId="105A249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58.4</w:t>
            </w:r>
          </w:p>
        </w:tc>
        <w:tc>
          <w:tcPr>
            <w:tcW w:w="458" w:type="pct"/>
            <w:vAlign w:val="center"/>
          </w:tcPr>
          <w:p w14:paraId="6D3A0B91">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51.4</w:t>
            </w:r>
          </w:p>
        </w:tc>
        <w:tc>
          <w:tcPr>
            <w:tcW w:w="534" w:type="pct"/>
            <w:vAlign w:val="center"/>
          </w:tcPr>
          <w:p w14:paraId="66DAB6A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59.4</w:t>
            </w:r>
          </w:p>
        </w:tc>
        <w:tc>
          <w:tcPr>
            <w:tcW w:w="457" w:type="pct"/>
            <w:vAlign w:val="center"/>
          </w:tcPr>
          <w:p w14:paraId="6F9E23F8">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43.5</w:t>
            </w:r>
          </w:p>
        </w:tc>
        <w:tc>
          <w:tcPr>
            <w:tcW w:w="458" w:type="pct"/>
            <w:vAlign w:val="center"/>
          </w:tcPr>
          <w:p w14:paraId="20D6D23D">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47.2</w:t>
            </w:r>
          </w:p>
        </w:tc>
        <w:tc>
          <w:tcPr>
            <w:tcW w:w="500" w:type="pct"/>
            <w:vAlign w:val="center"/>
          </w:tcPr>
          <w:p w14:paraId="57D7576D">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41.4</w:t>
            </w:r>
          </w:p>
        </w:tc>
        <w:tc>
          <w:tcPr>
            <w:tcW w:w="396" w:type="pct"/>
            <w:vAlign w:val="center"/>
          </w:tcPr>
          <w:p w14:paraId="6C4C2C6C">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≤200</w:t>
            </w:r>
          </w:p>
        </w:tc>
      </w:tr>
      <w:tr w14:paraId="52D65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22" w:type="pct"/>
            <w:vAlign w:val="center"/>
          </w:tcPr>
          <w:p w14:paraId="61A8DD42">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Ca</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2+</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（mg/L）</w:t>
            </w:r>
          </w:p>
        </w:tc>
        <w:tc>
          <w:tcPr>
            <w:tcW w:w="458" w:type="pct"/>
            <w:vAlign w:val="center"/>
          </w:tcPr>
          <w:p w14:paraId="263D18B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46.2</w:t>
            </w:r>
          </w:p>
        </w:tc>
        <w:tc>
          <w:tcPr>
            <w:tcW w:w="459" w:type="pct"/>
            <w:vAlign w:val="center"/>
          </w:tcPr>
          <w:p w14:paraId="10EA52B1">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52.3</w:t>
            </w:r>
          </w:p>
        </w:tc>
        <w:tc>
          <w:tcPr>
            <w:tcW w:w="458" w:type="pct"/>
            <w:vAlign w:val="center"/>
          </w:tcPr>
          <w:p w14:paraId="08730FD8">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44.8</w:t>
            </w:r>
          </w:p>
        </w:tc>
        <w:tc>
          <w:tcPr>
            <w:tcW w:w="458" w:type="pct"/>
            <w:vAlign w:val="center"/>
          </w:tcPr>
          <w:p w14:paraId="41338625">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40.3</w:t>
            </w:r>
          </w:p>
        </w:tc>
        <w:tc>
          <w:tcPr>
            <w:tcW w:w="534" w:type="pct"/>
            <w:vAlign w:val="center"/>
          </w:tcPr>
          <w:p w14:paraId="70AE078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49.3</w:t>
            </w:r>
          </w:p>
        </w:tc>
        <w:tc>
          <w:tcPr>
            <w:tcW w:w="457" w:type="pct"/>
            <w:vAlign w:val="center"/>
          </w:tcPr>
          <w:p w14:paraId="5F633721">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32.6</w:t>
            </w:r>
          </w:p>
        </w:tc>
        <w:tc>
          <w:tcPr>
            <w:tcW w:w="458" w:type="pct"/>
            <w:vAlign w:val="center"/>
          </w:tcPr>
          <w:p w14:paraId="7C46E7A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36.8</w:t>
            </w:r>
          </w:p>
        </w:tc>
        <w:tc>
          <w:tcPr>
            <w:tcW w:w="500" w:type="pct"/>
            <w:vAlign w:val="center"/>
          </w:tcPr>
          <w:p w14:paraId="27E006C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35.2</w:t>
            </w:r>
          </w:p>
        </w:tc>
        <w:tc>
          <w:tcPr>
            <w:tcW w:w="396" w:type="pct"/>
            <w:vAlign w:val="center"/>
          </w:tcPr>
          <w:p w14:paraId="47318C0B">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r>
      <w:tr w14:paraId="6A5FF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22" w:type="pct"/>
            <w:vAlign w:val="center"/>
          </w:tcPr>
          <w:p w14:paraId="0431F68E">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Mg</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2+</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（mg/L）</w:t>
            </w:r>
          </w:p>
        </w:tc>
        <w:tc>
          <w:tcPr>
            <w:tcW w:w="458" w:type="pct"/>
            <w:vAlign w:val="center"/>
          </w:tcPr>
          <w:p w14:paraId="0BCC6966">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9.12</w:t>
            </w:r>
          </w:p>
        </w:tc>
        <w:tc>
          <w:tcPr>
            <w:tcW w:w="459" w:type="pct"/>
            <w:vAlign w:val="center"/>
          </w:tcPr>
          <w:p w14:paraId="3BF4304B">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11.5</w:t>
            </w:r>
          </w:p>
        </w:tc>
        <w:tc>
          <w:tcPr>
            <w:tcW w:w="458" w:type="pct"/>
            <w:vAlign w:val="center"/>
          </w:tcPr>
          <w:p w14:paraId="21ED769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10.2</w:t>
            </w:r>
          </w:p>
        </w:tc>
        <w:tc>
          <w:tcPr>
            <w:tcW w:w="458" w:type="pct"/>
            <w:vAlign w:val="center"/>
          </w:tcPr>
          <w:p w14:paraId="2DEBC51E">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9.05</w:t>
            </w:r>
          </w:p>
        </w:tc>
        <w:tc>
          <w:tcPr>
            <w:tcW w:w="534" w:type="pct"/>
            <w:vAlign w:val="center"/>
          </w:tcPr>
          <w:p w14:paraId="48F5DB33">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10.8</w:t>
            </w:r>
          </w:p>
        </w:tc>
        <w:tc>
          <w:tcPr>
            <w:tcW w:w="457" w:type="pct"/>
            <w:vAlign w:val="center"/>
          </w:tcPr>
          <w:p w14:paraId="1AE7226C">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7.47</w:t>
            </w:r>
          </w:p>
        </w:tc>
        <w:tc>
          <w:tcPr>
            <w:tcW w:w="458" w:type="pct"/>
            <w:vAlign w:val="center"/>
          </w:tcPr>
          <w:p w14:paraId="30205C7B">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7.05</w:t>
            </w:r>
          </w:p>
        </w:tc>
        <w:tc>
          <w:tcPr>
            <w:tcW w:w="500" w:type="pct"/>
            <w:vAlign w:val="center"/>
          </w:tcPr>
          <w:p w14:paraId="65B8E185">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6.72</w:t>
            </w:r>
          </w:p>
        </w:tc>
        <w:tc>
          <w:tcPr>
            <w:tcW w:w="396" w:type="pct"/>
            <w:vAlign w:val="center"/>
          </w:tcPr>
          <w:p w14:paraId="6488ACF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r>
      <w:tr w14:paraId="31AE7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22" w:type="pct"/>
            <w:vAlign w:val="center"/>
          </w:tcPr>
          <w:p w14:paraId="7EA3712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HCO</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（mg/L）</w:t>
            </w:r>
          </w:p>
        </w:tc>
        <w:tc>
          <w:tcPr>
            <w:tcW w:w="458" w:type="pct"/>
            <w:vAlign w:val="center"/>
          </w:tcPr>
          <w:p w14:paraId="5F37CDBD">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212</w:t>
            </w:r>
          </w:p>
        </w:tc>
        <w:tc>
          <w:tcPr>
            <w:tcW w:w="459" w:type="pct"/>
            <w:vAlign w:val="center"/>
          </w:tcPr>
          <w:p w14:paraId="7ADCA1E6">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251</w:t>
            </w:r>
          </w:p>
        </w:tc>
        <w:tc>
          <w:tcPr>
            <w:tcW w:w="458" w:type="pct"/>
            <w:vAlign w:val="center"/>
          </w:tcPr>
          <w:p w14:paraId="7D3BF76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221</w:t>
            </w:r>
          </w:p>
        </w:tc>
        <w:tc>
          <w:tcPr>
            <w:tcW w:w="458" w:type="pct"/>
            <w:vAlign w:val="center"/>
          </w:tcPr>
          <w:p w14:paraId="008E23C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201</w:t>
            </w:r>
          </w:p>
        </w:tc>
        <w:tc>
          <w:tcPr>
            <w:tcW w:w="534" w:type="pct"/>
            <w:vAlign w:val="center"/>
          </w:tcPr>
          <w:p w14:paraId="67FF2D2E">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232</w:t>
            </w:r>
          </w:p>
        </w:tc>
        <w:tc>
          <w:tcPr>
            <w:tcW w:w="457" w:type="pct"/>
            <w:vAlign w:val="center"/>
          </w:tcPr>
          <w:p w14:paraId="43753E2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159</w:t>
            </w:r>
          </w:p>
        </w:tc>
        <w:tc>
          <w:tcPr>
            <w:tcW w:w="458" w:type="pct"/>
            <w:vAlign w:val="center"/>
          </w:tcPr>
          <w:p w14:paraId="03DDB6C2">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177</w:t>
            </w:r>
          </w:p>
        </w:tc>
        <w:tc>
          <w:tcPr>
            <w:tcW w:w="500" w:type="pct"/>
            <w:vAlign w:val="center"/>
          </w:tcPr>
          <w:p w14:paraId="10109446">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175</w:t>
            </w:r>
          </w:p>
        </w:tc>
        <w:tc>
          <w:tcPr>
            <w:tcW w:w="396" w:type="pct"/>
            <w:vAlign w:val="center"/>
          </w:tcPr>
          <w:p w14:paraId="6BB8F57C">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5CAF4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22" w:type="pct"/>
            <w:vAlign w:val="center"/>
          </w:tcPr>
          <w:p w14:paraId="0DB375DF">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CO</w:t>
            </w:r>
            <w:r>
              <w:rPr>
                <w:rFonts w:ascii="Times New Roman" w:hAnsi="Times New Roman" w:cs="Times New Roman" w:eastAsiaTheme="minorEastAsia"/>
                <w:color w:val="000000" w:themeColor="text1"/>
                <w:w w:val="99"/>
                <w:kern w:val="2"/>
                <w:sz w:val="21"/>
                <w:szCs w:val="21"/>
                <w:vertAlign w:val="subscript"/>
                <w:lang w:val="en-US" w:bidi="ar-SA"/>
                <w14:textFill>
                  <w14:solidFill>
                    <w14:schemeClr w14:val="tx1"/>
                  </w14:solidFill>
                </w14:textFill>
              </w:rPr>
              <w:t>3</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2-</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（mg/L）</w:t>
            </w:r>
          </w:p>
        </w:tc>
        <w:tc>
          <w:tcPr>
            <w:tcW w:w="458" w:type="pct"/>
            <w:vAlign w:val="center"/>
          </w:tcPr>
          <w:p w14:paraId="38BD9ED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5L</w:t>
            </w:r>
          </w:p>
        </w:tc>
        <w:tc>
          <w:tcPr>
            <w:tcW w:w="459" w:type="pct"/>
            <w:vAlign w:val="center"/>
          </w:tcPr>
          <w:p w14:paraId="5D82713F">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5L</w:t>
            </w:r>
          </w:p>
        </w:tc>
        <w:tc>
          <w:tcPr>
            <w:tcW w:w="458" w:type="pct"/>
            <w:vAlign w:val="center"/>
          </w:tcPr>
          <w:p w14:paraId="703F560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5L</w:t>
            </w:r>
          </w:p>
        </w:tc>
        <w:tc>
          <w:tcPr>
            <w:tcW w:w="458" w:type="pct"/>
            <w:vAlign w:val="center"/>
          </w:tcPr>
          <w:p w14:paraId="48D32F3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5L</w:t>
            </w:r>
          </w:p>
        </w:tc>
        <w:tc>
          <w:tcPr>
            <w:tcW w:w="534" w:type="pct"/>
            <w:vAlign w:val="center"/>
          </w:tcPr>
          <w:p w14:paraId="68C73C8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5L</w:t>
            </w:r>
          </w:p>
        </w:tc>
        <w:tc>
          <w:tcPr>
            <w:tcW w:w="457" w:type="pct"/>
            <w:vAlign w:val="center"/>
          </w:tcPr>
          <w:p w14:paraId="3E68ED71">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5L</w:t>
            </w:r>
          </w:p>
        </w:tc>
        <w:tc>
          <w:tcPr>
            <w:tcW w:w="458" w:type="pct"/>
            <w:vAlign w:val="center"/>
          </w:tcPr>
          <w:p w14:paraId="5A69D3F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5L</w:t>
            </w:r>
          </w:p>
        </w:tc>
        <w:tc>
          <w:tcPr>
            <w:tcW w:w="500" w:type="pct"/>
            <w:vAlign w:val="center"/>
          </w:tcPr>
          <w:p w14:paraId="2B6E752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5L</w:t>
            </w:r>
          </w:p>
        </w:tc>
        <w:tc>
          <w:tcPr>
            <w:tcW w:w="396" w:type="pct"/>
            <w:vAlign w:val="center"/>
          </w:tcPr>
          <w:p w14:paraId="28F5118E">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r>
      <w:tr w14:paraId="507E5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22" w:type="pct"/>
            <w:vAlign w:val="center"/>
          </w:tcPr>
          <w:p w14:paraId="4C327F5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Cl</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（mg/L）</w:t>
            </w:r>
          </w:p>
        </w:tc>
        <w:tc>
          <w:tcPr>
            <w:tcW w:w="458" w:type="pct"/>
            <w:vAlign w:val="center"/>
          </w:tcPr>
          <w:p w14:paraId="484BFB3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43.7</w:t>
            </w:r>
          </w:p>
        </w:tc>
        <w:tc>
          <w:tcPr>
            <w:tcW w:w="459" w:type="pct"/>
            <w:vAlign w:val="center"/>
          </w:tcPr>
          <w:p w14:paraId="25F0E87D">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50.4</w:t>
            </w:r>
          </w:p>
        </w:tc>
        <w:tc>
          <w:tcPr>
            <w:tcW w:w="458" w:type="pct"/>
            <w:vAlign w:val="center"/>
          </w:tcPr>
          <w:p w14:paraId="2613BAC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47.5</w:t>
            </w:r>
          </w:p>
        </w:tc>
        <w:tc>
          <w:tcPr>
            <w:tcW w:w="458" w:type="pct"/>
            <w:vAlign w:val="center"/>
          </w:tcPr>
          <w:p w14:paraId="5DF16D6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41.3</w:t>
            </w:r>
          </w:p>
        </w:tc>
        <w:tc>
          <w:tcPr>
            <w:tcW w:w="534" w:type="pct"/>
            <w:vAlign w:val="center"/>
          </w:tcPr>
          <w:p w14:paraId="11FF3E6C">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48.8</w:t>
            </w:r>
          </w:p>
        </w:tc>
        <w:tc>
          <w:tcPr>
            <w:tcW w:w="457" w:type="pct"/>
            <w:vAlign w:val="center"/>
          </w:tcPr>
          <w:p w14:paraId="080A7095">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36.5</w:t>
            </w:r>
          </w:p>
        </w:tc>
        <w:tc>
          <w:tcPr>
            <w:tcW w:w="458" w:type="pct"/>
            <w:vAlign w:val="center"/>
          </w:tcPr>
          <w:p w14:paraId="138DB236">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34.4</w:t>
            </w:r>
          </w:p>
        </w:tc>
        <w:tc>
          <w:tcPr>
            <w:tcW w:w="500" w:type="pct"/>
            <w:vAlign w:val="center"/>
          </w:tcPr>
          <w:p w14:paraId="32E9CBF6">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33.5</w:t>
            </w:r>
          </w:p>
        </w:tc>
        <w:tc>
          <w:tcPr>
            <w:tcW w:w="396" w:type="pct"/>
            <w:vAlign w:val="center"/>
          </w:tcPr>
          <w:p w14:paraId="3DFA904B">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≤250</w:t>
            </w:r>
          </w:p>
        </w:tc>
      </w:tr>
      <w:tr w14:paraId="0CEA1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22" w:type="pct"/>
            <w:vAlign w:val="center"/>
          </w:tcPr>
          <w:p w14:paraId="1AAD5B08">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SO</w:t>
            </w:r>
            <w:r>
              <w:rPr>
                <w:rFonts w:ascii="Times New Roman" w:hAnsi="Times New Roman" w:cs="Times New Roman" w:eastAsiaTheme="minorEastAsia"/>
                <w:color w:val="000000" w:themeColor="text1"/>
                <w:w w:val="99"/>
                <w:kern w:val="2"/>
                <w:sz w:val="21"/>
                <w:szCs w:val="21"/>
                <w:vertAlign w:val="subscript"/>
                <w:lang w:val="en-US" w:bidi="ar-SA"/>
                <w14:textFill>
                  <w14:solidFill>
                    <w14:schemeClr w14:val="tx1"/>
                  </w14:solidFill>
                </w14:textFill>
              </w:rPr>
              <w:t>4</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2-</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（mg/L）</w:t>
            </w:r>
          </w:p>
        </w:tc>
        <w:tc>
          <w:tcPr>
            <w:tcW w:w="458" w:type="pct"/>
            <w:vAlign w:val="center"/>
          </w:tcPr>
          <w:p w14:paraId="0789FEAD">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36.5</w:t>
            </w:r>
          </w:p>
        </w:tc>
        <w:tc>
          <w:tcPr>
            <w:tcW w:w="459" w:type="pct"/>
            <w:vAlign w:val="center"/>
          </w:tcPr>
          <w:p w14:paraId="53FBF23C">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43.7</w:t>
            </w:r>
          </w:p>
        </w:tc>
        <w:tc>
          <w:tcPr>
            <w:tcW w:w="458" w:type="pct"/>
            <w:vAlign w:val="center"/>
          </w:tcPr>
          <w:p w14:paraId="0388DB4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38.8</w:t>
            </w:r>
          </w:p>
        </w:tc>
        <w:tc>
          <w:tcPr>
            <w:tcW w:w="458" w:type="pct"/>
            <w:vAlign w:val="center"/>
          </w:tcPr>
          <w:p w14:paraId="34506FA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32.5</w:t>
            </w:r>
          </w:p>
        </w:tc>
        <w:tc>
          <w:tcPr>
            <w:tcW w:w="534" w:type="pct"/>
            <w:vAlign w:val="center"/>
          </w:tcPr>
          <w:p w14:paraId="0CD8637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39.5</w:t>
            </w:r>
          </w:p>
        </w:tc>
        <w:tc>
          <w:tcPr>
            <w:tcW w:w="457" w:type="pct"/>
            <w:vAlign w:val="center"/>
          </w:tcPr>
          <w:p w14:paraId="646C8121">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27.4</w:t>
            </w:r>
          </w:p>
        </w:tc>
        <w:tc>
          <w:tcPr>
            <w:tcW w:w="458" w:type="pct"/>
            <w:vAlign w:val="center"/>
          </w:tcPr>
          <w:p w14:paraId="31A2B1F8">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21.7</w:t>
            </w:r>
          </w:p>
        </w:tc>
        <w:tc>
          <w:tcPr>
            <w:tcW w:w="500" w:type="pct"/>
            <w:vAlign w:val="center"/>
          </w:tcPr>
          <w:p w14:paraId="676CF90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24.6</w:t>
            </w:r>
          </w:p>
        </w:tc>
        <w:tc>
          <w:tcPr>
            <w:tcW w:w="396" w:type="pct"/>
            <w:vAlign w:val="center"/>
          </w:tcPr>
          <w:p w14:paraId="49924EE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≤250</w:t>
            </w:r>
          </w:p>
        </w:tc>
      </w:tr>
      <w:tr w14:paraId="1AA4A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22" w:type="pct"/>
            <w:vAlign w:val="center"/>
          </w:tcPr>
          <w:p w14:paraId="0B5A607B">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pH（无量纲）</w:t>
            </w:r>
          </w:p>
        </w:tc>
        <w:tc>
          <w:tcPr>
            <w:tcW w:w="458" w:type="pct"/>
            <w:vAlign w:val="center"/>
          </w:tcPr>
          <w:p w14:paraId="253412CC">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7.8</w:t>
            </w:r>
          </w:p>
        </w:tc>
        <w:tc>
          <w:tcPr>
            <w:tcW w:w="459" w:type="pct"/>
            <w:vAlign w:val="center"/>
          </w:tcPr>
          <w:p w14:paraId="59C1D3DB">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7.7</w:t>
            </w:r>
          </w:p>
        </w:tc>
        <w:tc>
          <w:tcPr>
            <w:tcW w:w="458" w:type="pct"/>
            <w:vAlign w:val="center"/>
          </w:tcPr>
          <w:p w14:paraId="7BE957C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7.7</w:t>
            </w:r>
          </w:p>
        </w:tc>
        <w:tc>
          <w:tcPr>
            <w:tcW w:w="458" w:type="pct"/>
            <w:vAlign w:val="center"/>
          </w:tcPr>
          <w:p w14:paraId="41D9DB6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7.8</w:t>
            </w:r>
          </w:p>
        </w:tc>
        <w:tc>
          <w:tcPr>
            <w:tcW w:w="534" w:type="pct"/>
            <w:vAlign w:val="center"/>
          </w:tcPr>
          <w:p w14:paraId="5DC3553C">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7.8</w:t>
            </w:r>
          </w:p>
        </w:tc>
        <w:tc>
          <w:tcPr>
            <w:tcW w:w="457" w:type="pct"/>
            <w:vAlign w:val="center"/>
          </w:tcPr>
          <w:p w14:paraId="29A9D5EF">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7.5</w:t>
            </w:r>
          </w:p>
        </w:tc>
        <w:tc>
          <w:tcPr>
            <w:tcW w:w="458" w:type="pct"/>
            <w:vAlign w:val="center"/>
          </w:tcPr>
          <w:p w14:paraId="73810451">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7.4</w:t>
            </w:r>
          </w:p>
        </w:tc>
        <w:tc>
          <w:tcPr>
            <w:tcW w:w="500" w:type="pct"/>
            <w:vAlign w:val="bottom"/>
          </w:tcPr>
          <w:p w14:paraId="7CB10F0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7.4</w:t>
            </w:r>
          </w:p>
        </w:tc>
        <w:tc>
          <w:tcPr>
            <w:tcW w:w="396" w:type="pct"/>
            <w:vAlign w:val="center"/>
          </w:tcPr>
          <w:p w14:paraId="378F971B">
            <w:pPr>
              <w:widowControl/>
              <w:autoSpaceDE/>
              <w:autoSpaceDN/>
              <w:jc w:val="center"/>
              <w:textAlignment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6.5～8.5</w:t>
            </w:r>
          </w:p>
        </w:tc>
      </w:tr>
      <w:tr w14:paraId="0EE49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22" w:type="pct"/>
            <w:vAlign w:val="center"/>
          </w:tcPr>
          <w:p w14:paraId="3AB6920D">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总硬度（mg/L）</w:t>
            </w:r>
          </w:p>
        </w:tc>
        <w:tc>
          <w:tcPr>
            <w:tcW w:w="458" w:type="pct"/>
            <w:vAlign w:val="center"/>
          </w:tcPr>
          <w:p w14:paraId="090DC85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154</w:t>
            </w:r>
          </w:p>
        </w:tc>
        <w:tc>
          <w:tcPr>
            <w:tcW w:w="459" w:type="pct"/>
            <w:vAlign w:val="center"/>
          </w:tcPr>
          <w:p w14:paraId="70CAFC8E">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179</w:t>
            </w:r>
          </w:p>
        </w:tc>
        <w:tc>
          <w:tcPr>
            <w:tcW w:w="458" w:type="pct"/>
            <w:vAlign w:val="center"/>
          </w:tcPr>
          <w:p w14:paraId="3647BCB6">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155</w:t>
            </w:r>
          </w:p>
        </w:tc>
        <w:tc>
          <w:tcPr>
            <w:tcW w:w="458" w:type="pct"/>
            <w:vAlign w:val="center"/>
          </w:tcPr>
          <w:p w14:paraId="791F65F5">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138</w:t>
            </w:r>
          </w:p>
        </w:tc>
        <w:tc>
          <w:tcPr>
            <w:tcW w:w="534" w:type="pct"/>
            <w:vAlign w:val="center"/>
          </w:tcPr>
          <w:p w14:paraId="44977206">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168</w:t>
            </w:r>
          </w:p>
        </w:tc>
        <w:tc>
          <w:tcPr>
            <w:tcW w:w="457" w:type="pct"/>
            <w:vAlign w:val="center"/>
          </w:tcPr>
          <w:p w14:paraId="00FE1A23">
            <w:pPr>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113</w:t>
            </w:r>
          </w:p>
        </w:tc>
        <w:tc>
          <w:tcPr>
            <w:tcW w:w="458" w:type="pct"/>
            <w:vAlign w:val="center"/>
          </w:tcPr>
          <w:p w14:paraId="2F3D6EE8">
            <w:pPr>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121</w:t>
            </w:r>
          </w:p>
        </w:tc>
        <w:tc>
          <w:tcPr>
            <w:tcW w:w="500" w:type="pct"/>
            <w:vAlign w:val="center"/>
          </w:tcPr>
          <w:p w14:paraId="2D16415E">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116</w:t>
            </w:r>
          </w:p>
        </w:tc>
        <w:tc>
          <w:tcPr>
            <w:tcW w:w="396" w:type="pct"/>
            <w:vAlign w:val="center"/>
          </w:tcPr>
          <w:p w14:paraId="62D48AFA">
            <w:pPr>
              <w:autoSpaceDE/>
              <w:autoSpaceDN/>
              <w:adjustRightInd w:val="0"/>
              <w:jc w:val="center"/>
              <w:textAlignment w:val="baseline"/>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≤450</w:t>
            </w:r>
          </w:p>
        </w:tc>
      </w:tr>
      <w:tr w14:paraId="5167B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22" w:type="pct"/>
            <w:vAlign w:val="center"/>
          </w:tcPr>
          <w:p w14:paraId="726381A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溶解性总固体（mg/L）</w:t>
            </w:r>
          </w:p>
        </w:tc>
        <w:tc>
          <w:tcPr>
            <w:tcW w:w="458" w:type="pct"/>
            <w:vAlign w:val="center"/>
          </w:tcPr>
          <w:p w14:paraId="6E722DBF">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481</w:t>
            </w:r>
          </w:p>
        </w:tc>
        <w:tc>
          <w:tcPr>
            <w:tcW w:w="459" w:type="pct"/>
            <w:vAlign w:val="center"/>
          </w:tcPr>
          <w:p w14:paraId="2D51F43F">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563</w:t>
            </w:r>
          </w:p>
        </w:tc>
        <w:tc>
          <w:tcPr>
            <w:tcW w:w="458" w:type="pct"/>
            <w:vAlign w:val="center"/>
          </w:tcPr>
          <w:p w14:paraId="3C13D21B">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500</w:t>
            </w:r>
          </w:p>
        </w:tc>
        <w:tc>
          <w:tcPr>
            <w:tcW w:w="458" w:type="pct"/>
            <w:vAlign w:val="center"/>
          </w:tcPr>
          <w:p w14:paraId="5F7018A5">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447</w:t>
            </w:r>
          </w:p>
        </w:tc>
        <w:tc>
          <w:tcPr>
            <w:tcW w:w="534" w:type="pct"/>
            <w:vAlign w:val="center"/>
          </w:tcPr>
          <w:p w14:paraId="6A6E4CAD">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527</w:t>
            </w:r>
          </w:p>
        </w:tc>
        <w:tc>
          <w:tcPr>
            <w:tcW w:w="457" w:type="pct"/>
            <w:vAlign w:val="center"/>
          </w:tcPr>
          <w:p w14:paraId="248087C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364</w:t>
            </w:r>
          </w:p>
        </w:tc>
        <w:tc>
          <w:tcPr>
            <w:tcW w:w="458" w:type="pct"/>
            <w:vAlign w:val="center"/>
          </w:tcPr>
          <w:p w14:paraId="71E5AB9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386</w:t>
            </w:r>
          </w:p>
        </w:tc>
        <w:tc>
          <w:tcPr>
            <w:tcW w:w="500" w:type="pct"/>
            <w:vAlign w:val="bottom"/>
          </w:tcPr>
          <w:p w14:paraId="421A6F1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376</w:t>
            </w:r>
          </w:p>
        </w:tc>
        <w:tc>
          <w:tcPr>
            <w:tcW w:w="396" w:type="pct"/>
            <w:vAlign w:val="center"/>
          </w:tcPr>
          <w:p w14:paraId="12F4B8F1">
            <w:pPr>
              <w:widowControl/>
              <w:autoSpaceDE/>
              <w:autoSpaceDN/>
              <w:jc w:val="center"/>
              <w:textAlignment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≤1000</w:t>
            </w:r>
          </w:p>
        </w:tc>
      </w:tr>
      <w:tr w14:paraId="300E9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22" w:type="pct"/>
            <w:vAlign w:val="center"/>
          </w:tcPr>
          <w:p w14:paraId="13DA200B">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耗氧量（mg/L）</w:t>
            </w:r>
          </w:p>
        </w:tc>
        <w:tc>
          <w:tcPr>
            <w:tcW w:w="458" w:type="pct"/>
            <w:vAlign w:val="center"/>
          </w:tcPr>
          <w:p w14:paraId="320BF0A2">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2.3</w:t>
            </w:r>
          </w:p>
        </w:tc>
        <w:tc>
          <w:tcPr>
            <w:tcW w:w="459" w:type="pct"/>
            <w:vAlign w:val="center"/>
          </w:tcPr>
          <w:p w14:paraId="0F1B37E5">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2.0</w:t>
            </w:r>
          </w:p>
        </w:tc>
        <w:tc>
          <w:tcPr>
            <w:tcW w:w="458" w:type="pct"/>
            <w:vAlign w:val="center"/>
          </w:tcPr>
          <w:p w14:paraId="223BF2C8">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2.2</w:t>
            </w:r>
          </w:p>
        </w:tc>
        <w:tc>
          <w:tcPr>
            <w:tcW w:w="458" w:type="pct"/>
            <w:vAlign w:val="center"/>
          </w:tcPr>
          <w:p w14:paraId="70DDAB0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1.9</w:t>
            </w:r>
          </w:p>
        </w:tc>
        <w:tc>
          <w:tcPr>
            <w:tcW w:w="534" w:type="pct"/>
            <w:vAlign w:val="center"/>
          </w:tcPr>
          <w:p w14:paraId="02F763F2">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2.0</w:t>
            </w:r>
          </w:p>
        </w:tc>
        <w:tc>
          <w:tcPr>
            <w:tcW w:w="457" w:type="pct"/>
            <w:vAlign w:val="center"/>
          </w:tcPr>
          <w:p w14:paraId="67C1EF23">
            <w:pPr>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1.6</w:t>
            </w:r>
          </w:p>
        </w:tc>
        <w:tc>
          <w:tcPr>
            <w:tcW w:w="458" w:type="pct"/>
            <w:vAlign w:val="center"/>
          </w:tcPr>
          <w:p w14:paraId="160002B6">
            <w:pPr>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1.8</w:t>
            </w:r>
          </w:p>
        </w:tc>
        <w:tc>
          <w:tcPr>
            <w:tcW w:w="500" w:type="pct"/>
            <w:vAlign w:val="bottom"/>
          </w:tcPr>
          <w:p w14:paraId="6F283D8D">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1.7</w:t>
            </w:r>
          </w:p>
        </w:tc>
        <w:tc>
          <w:tcPr>
            <w:tcW w:w="396" w:type="pct"/>
            <w:vAlign w:val="center"/>
          </w:tcPr>
          <w:p w14:paraId="1974C74D">
            <w:pPr>
              <w:autoSpaceDE/>
              <w:autoSpaceDN/>
              <w:adjustRightInd w:val="0"/>
              <w:jc w:val="center"/>
              <w:textAlignment w:val="baseline"/>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≤3.0</w:t>
            </w:r>
          </w:p>
        </w:tc>
      </w:tr>
      <w:tr w14:paraId="62C3D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22" w:type="pct"/>
            <w:vAlign w:val="center"/>
          </w:tcPr>
          <w:p w14:paraId="3BCB9076">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挥发性酚类（mg/L）</w:t>
            </w:r>
          </w:p>
        </w:tc>
        <w:tc>
          <w:tcPr>
            <w:tcW w:w="458" w:type="pct"/>
            <w:vAlign w:val="center"/>
          </w:tcPr>
          <w:p w14:paraId="0B71E2E6">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0.0003L</w:t>
            </w:r>
          </w:p>
        </w:tc>
        <w:tc>
          <w:tcPr>
            <w:tcW w:w="459" w:type="pct"/>
            <w:vAlign w:val="center"/>
          </w:tcPr>
          <w:p w14:paraId="2B1A57D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0.0003L</w:t>
            </w:r>
          </w:p>
        </w:tc>
        <w:tc>
          <w:tcPr>
            <w:tcW w:w="458" w:type="pct"/>
            <w:vAlign w:val="center"/>
          </w:tcPr>
          <w:p w14:paraId="2CA8951E">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0.0003L</w:t>
            </w:r>
          </w:p>
        </w:tc>
        <w:tc>
          <w:tcPr>
            <w:tcW w:w="458" w:type="pct"/>
            <w:vAlign w:val="center"/>
          </w:tcPr>
          <w:p w14:paraId="5A6D7AB6">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0.0003L</w:t>
            </w:r>
          </w:p>
        </w:tc>
        <w:tc>
          <w:tcPr>
            <w:tcW w:w="534" w:type="pct"/>
            <w:vAlign w:val="center"/>
          </w:tcPr>
          <w:p w14:paraId="350977A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0.0003L</w:t>
            </w:r>
          </w:p>
        </w:tc>
        <w:tc>
          <w:tcPr>
            <w:tcW w:w="457" w:type="pct"/>
            <w:vAlign w:val="center"/>
          </w:tcPr>
          <w:p w14:paraId="47400BD9">
            <w:pPr>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0.0003L</w:t>
            </w:r>
          </w:p>
        </w:tc>
        <w:tc>
          <w:tcPr>
            <w:tcW w:w="458" w:type="pct"/>
            <w:vAlign w:val="center"/>
          </w:tcPr>
          <w:p w14:paraId="7F1356ED">
            <w:pPr>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0.0003L</w:t>
            </w:r>
          </w:p>
        </w:tc>
        <w:tc>
          <w:tcPr>
            <w:tcW w:w="500" w:type="pct"/>
            <w:vAlign w:val="center"/>
          </w:tcPr>
          <w:p w14:paraId="061E2885">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0.0003L</w:t>
            </w:r>
          </w:p>
        </w:tc>
        <w:tc>
          <w:tcPr>
            <w:tcW w:w="396" w:type="pct"/>
            <w:vAlign w:val="center"/>
          </w:tcPr>
          <w:p w14:paraId="23FAACCC">
            <w:pPr>
              <w:autoSpaceDE/>
              <w:autoSpaceDN/>
              <w:adjustRightInd w:val="0"/>
              <w:jc w:val="center"/>
              <w:textAlignment w:val="baseline"/>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≤0.002</w:t>
            </w:r>
          </w:p>
        </w:tc>
      </w:tr>
      <w:tr w14:paraId="342497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22" w:type="pct"/>
            <w:vAlign w:val="center"/>
          </w:tcPr>
          <w:p w14:paraId="0EAC3DB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氰化物（mg/L）</w:t>
            </w:r>
          </w:p>
        </w:tc>
        <w:tc>
          <w:tcPr>
            <w:tcW w:w="458" w:type="pct"/>
            <w:vAlign w:val="center"/>
          </w:tcPr>
          <w:p w14:paraId="00C844E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0.004L</w:t>
            </w:r>
          </w:p>
        </w:tc>
        <w:tc>
          <w:tcPr>
            <w:tcW w:w="459" w:type="pct"/>
            <w:vAlign w:val="center"/>
          </w:tcPr>
          <w:p w14:paraId="1E0877A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0.004L</w:t>
            </w:r>
          </w:p>
        </w:tc>
        <w:tc>
          <w:tcPr>
            <w:tcW w:w="458" w:type="pct"/>
            <w:vAlign w:val="center"/>
          </w:tcPr>
          <w:p w14:paraId="45E3602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0.004L</w:t>
            </w:r>
          </w:p>
        </w:tc>
        <w:tc>
          <w:tcPr>
            <w:tcW w:w="458" w:type="pct"/>
            <w:vAlign w:val="center"/>
          </w:tcPr>
          <w:p w14:paraId="3EEC30F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0.004L</w:t>
            </w:r>
          </w:p>
        </w:tc>
        <w:tc>
          <w:tcPr>
            <w:tcW w:w="534" w:type="pct"/>
            <w:vAlign w:val="center"/>
          </w:tcPr>
          <w:p w14:paraId="061E3FE8">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0.004L</w:t>
            </w:r>
          </w:p>
        </w:tc>
        <w:tc>
          <w:tcPr>
            <w:tcW w:w="457" w:type="pct"/>
            <w:vAlign w:val="center"/>
          </w:tcPr>
          <w:p w14:paraId="51865D27">
            <w:pPr>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0.004L</w:t>
            </w:r>
          </w:p>
        </w:tc>
        <w:tc>
          <w:tcPr>
            <w:tcW w:w="458" w:type="pct"/>
            <w:vAlign w:val="center"/>
          </w:tcPr>
          <w:p w14:paraId="2AB09203">
            <w:pPr>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0.004L</w:t>
            </w:r>
          </w:p>
        </w:tc>
        <w:tc>
          <w:tcPr>
            <w:tcW w:w="500" w:type="pct"/>
            <w:vAlign w:val="center"/>
          </w:tcPr>
          <w:p w14:paraId="34D6BCCD">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0.004L</w:t>
            </w:r>
          </w:p>
        </w:tc>
        <w:tc>
          <w:tcPr>
            <w:tcW w:w="396" w:type="pct"/>
            <w:vAlign w:val="center"/>
          </w:tcPr>
          <w:p w14:paraId="52DE45B2">
            <w:pPr>
              <w:autoSpaceDE/>
              <w:autoSpaceDN/>
              <w:adjustRightInd w:val="0"/>
              <w:jc w:val="center"/>
              <w:textAlignment w:val="baseline"/>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≤0.05</w:t>
            </w:r>
          </w:p>
        </w:tc>
      </w:tr>
      <w:tr w14:paraId="78F37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22" w:type="pct"/>
            <w:vAlign w:val="center"/>
          </w:tcPr>
          <w:p w14:paraId="7AE360E3">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氟化物（mg/L）</w:t>
            </w:r>
          </w:p>
        </w:tc>
        <w:tc>
          <w:tcPr>
            <w:tcW w:w="458" w:type="pct"/>
            <w:vAlign w:val="center"/>
          </w:tcPr>
          <w:p w14:paraId="0008CF9E">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0.521</w:t>
            </w:r>
          </w:p>
        </w:tc>
        <w:tc>
          <w:tcPr>
            <w:tcW w:w="459" w:type="pct"/>
            <w:vAlign w:val="center"/>
          </w:tcPr>
          <w:p w14:paraId="6D118A48">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0.584</w:t>
            </w:r>
          </w:p>
        </w:tc>
        <w:tc>
          <w:tcPr>
            <w:tcW w:w="458" w:type="pct"/>
            <w:vAlign w:val="center"/>
          </w:tcPr>
          <w:p w14:paraId="54F2DA9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0.489</w:t>
            </w:r>
          </w:p>
        </w:tc>
        <w:tc>
          <w:tcPr>
            <w:tcW w:w="458" w:type="pct"/>
            <w:vAlign w:val="center"/>
          </w:tcPr>
          <w:p w14:paraId="03B9238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0.523</w:t>
            </w:r>
          </w:p>
        </w:tc>
        <w:tc>
          <w:tcPr>
            <w:tcW w:w="534" w:type="pct"/>
            <w:vAlign w:val="center"/>
          </w:tcPr>
          <w:p w14:paraId="7094ED3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0.547</w:t>
            </w:r>
          </w:p>
        </w:tc>
        <w:tc>
          <w:tcPr>
            <w:tcW w:w="457" w:type="pct"/>
            <w:vAlign w:val="center"/>
          </w:tcPr>
          <w:p w14:paraId="1C5D953A">
            <w:pPr>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0.464</w:t>
            </w:r>
          </w:p>
        </w:tc>
        <w:tc>
          <w:tcPr>
            <w:tcW w:w="458" w:type="pct"/>
            <w:vAlign w:val="center"/>
          </w:tcPr>
          <w:p w14:paraId="4D328CBD">
            <w:pPr>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0.488</w:t>
            </w:r>
          </w:p>
        </w:tc>
        <w:tc>
          <w:tcPr>
            <w:tcW w:w="500" w:type="pct"/>
            <w:vAlign w:val="center"/>
          </w:tcPr>
          <w:p w14:paraId="3A6EBB3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0.478</w:t>
            </w:r>
          </w:p>
        </w:tc>
        <w:tc>
          <w:tcPr>
            <w:tcW w:w="396" w:type="pct"/>
            <w:vAlign w:val="center"/>
          </w:tcPr>
          <w:p w14:paraId="274E111E">
            <w:pPr>
              <w:autoSpaceDE/>
              <w:autoSpaceDN/>
              <w:adjustRightInd w:val="0"/>
              <w:jc w:val="center"/>
              <w:textAlignment w:val="baseline"/>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≤1.0</w:t>
            </w:r>
          </w:p>
        </w:tc>
      </w:tr>
      <w:tr w14:paraId="3863D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22" w:type="pct"/>
            <w:vAlign w:val="center"/>
          </w:tcPr>
          <w:p w14:paraId="2F814ACD">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硝酸盐（mg/L）</w:t>
            </w:r>
          </w:p>
        </w:tc>
        <w:tc>
          <w:tcPr>
            <w:tcW w:w="458" w:type="pct"/>
            <w:vAlign w:val="center"/>
          </w:tcPr>
          <w:p w14:paraId="0E1F6D6C">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2.45</w:t>
            </w:r>
          </w:p>
        </w:tc>
        <w:tc>
          <w:tcPr>
            <w:tcW w:w="459" w:type="pct"/>
            <w:vAlign w:val="center"/>
          </w:tcPr>
          <w:p w14:paraId="66B57EA1">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1.99</w:t>
            </w:r>
          </w:p>
        </w:tc>
        <w:tc>
          <w:tcPr>
            <w:tcW w:w="458" w:type="pct"/>
            <w:vAlign w:val="center"/>
          </w:tcPr>
          <w:p w14:paraId="5BC7E1BE">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2.75</w:t>
            </w:r>
          </w:p>
        </w:tc>
        <w:tc>
          <w:tcPr>
            <w:tcW w:w="458" w:type="pct"/>
            <w:vAlign w:val="center"/>
          </w:tcPr>
          <w:p w14:paraId="1E2C2E83">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2.31</w:t>
            </w:r>
          </w:p>
        </w:tc>
        <w:tc>
          <w:tcPr>
            <w:tcW w:w="534" w:type="pct"/>
            <w:vAlign w:val="center"/>
          </w:tcPr>
          <w:p w14:paraId="20010E11">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2.28</w:t>
            </w:r>
          </w:p>
        </w:tc>
        <w:tc>
          <w:tcPr>
            <w:tcW w:w="457" w:type="pct"/>
            <w:vAlign w:val="center"/>
          </w:tcPr>
          <w:p w14:paraId="638557AC">
            <w:pPr>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1.75</w:t>
            </w:r>
          </w:p>
        </w:tc>
        <w:tc>
          <w:tcPr>
            <w:tcW w:w="458" w:type="pct"/>
            <w:vAlign w:val="center"/>
          </w:tcPr>
          <w:p w14:paraId="0D8155DA">
            <w:pPr>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1.73</w:t>
            </w:r>
          </w:p>
        </w:tc>
        <w:tc>
          <w:tcPr>
            <w:tcW w:w="500" w:type="pct"/>
            <w:vAlign w:val="center"/>
          </w:tcPr>
          <w:p w14:paraId="2451690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1.73</w:t>
            </w:r>
          </w:p>
        </w:tc>
        <w:tc>
          <w:tcPr>
            <w:tcW w:w="396" w:type="pct"/>
            <w:vAlign w:val="center"/>
          </w:tcPr>
          <w:p w14:paraId="35C7430B">
            <w:pPr>
              <w:autoSpaceDE/>
              <w:autoSpaceDN/>
              <w:adjustRightInd w:val="0"/>
              <w:jc w:val="center"/>
              <w:textAlignment w:val="baseline"/>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≤20</w:t>
            </w:r>
          </w:p>
        </w:tc>
      </w:tr>
      <w:tr w14:paraId="3B909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22" w:type="pct"/>
            <w:vAlign w:val="center"/>
          </w:tcPr>
          <w:p w14:paraId="68FC240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亚硝酸盐（mg/L）</w:t>
            </w:r>
          </w:p>
        </w:tc>
        <w:tc>
          <w:tcPr>
            <w:tcW w:w="458" w:type="pct"/>
            <w:vAlign w:val="center"/>
          </w:tcPr>
          <w:p w14:paraId="2BFDF316">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0.003L</w:t>
            </w:r>
          </w:p>
        </w:tc>
        <w:tc>
          <w:tcPr>
            <w:tcW w:w="459" w:type="pct"/>
            <w:vAlign w:val="center"/>
          </w:tcPr>
          <w:p w14:paraId="486359B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0.003L</w:t>
            </w:r>
          </w:p>
        </w:tc>
        <w:tc>
          <w:tcPr>
            <w:tcW w:w="458" w:type="pct"/>
            <w:vAlign w:val="center"/>
          </w:tcPr>
          <w:p w14:paraId="2675FA08">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0.003L</w:t>
            </w:r>
          </w:p>
        </w:tc>
        <w:tc>
          <w:tcPr>
            <w:tcW w:w="458" w:type="pct"/>
            <w:vAlign w:val="center"/>
          </w:tcPr>
          <w:p w14:paraId="1705C6FF">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0.003L</w:t>
            </w:r>
          </w:p>
        </w:tc>
        <w:tc>
          <w:tcPr>
            <w:tcW w:w="534" w:type="pct"/>
            <w:vAlign w:val="center"/>
          </w:tcPr>
          <w:p w14:paraId="53AFE00E">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0.003L</w:t>
            </w:r>
          </w:p>
        </w:tc>
        <w:tc>
          <w:tcPr>
            <w:tcW w:w="457" w:type="pct"/>
            <w:vAlign w:val="center"/>
          </w:tcPr>
          <w:p w14:paraId="1D33548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0.003L</w:t>
            </w:r>
          </w:p>
        </w:tc>
        <w:tc>
          <w:tcPr>
            <w:tcW w:w="458" w:type="pct"/>
            <w:vAlign w:val="center"/>
          </w:tcPr>
          <w:p w14:paraId="553D7D0D">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0.003L</w:t>
            </w:r>
          </w:p>
        </w:tc>
        <w:tc>
          <w:tcPr>
            <w:tcW w:w="500" w:type="pct"/>
            <w:vAlign w:val="center"/>
          </w:tcPr>
          <w:p w14:paraId="704473BE">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0.003L</w:t>
            </w:r>
          </w:p>
        </w:tc>
        <w:tc>
          <w:tcPr>
            <w:tcW w:w="396" w:type="pct"/>
            <w:vAlign w:val="center"/>
          </w:tcPr>
          <w:p w14:paraId="32F351A9">
            <w:pPr>
              <w:widowControl/>
              <w:autoSpaceDE/>
              <w:autoSpaceDN/>
              <w:jc w:val="center"/>
              <w:textAlignment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≤1.0</w:t>
            </w:r>
          </w:p>
        </w:tc>
      </w:tr>
      <w:tr w14:paraId="5CF4F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22" w:type="pct"/>
            <w:vAlign w:val="center"/>
          </w:tcPr>
          <w:p w14:paraId="34EA07F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氨氮（mg/L）</w:t>
            </w:r>
          </w:p>
        </w:tc>
        <w:tc>
          <w:tcPr>
            <w:tcW w:w="458" w:type="pct"/>
            <w:vAlign w:val="center"/>
          </w:tcPr>
          <w:p w14:paraId="113F437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0.231</w:t>
            </w:r>
          </w:p>
        </w:tc>
        <w:tc>
          <w:tcPr>
            <w:tcW w:w="459" w:type="pct"/>
            <w:vAlign w:val="center"/>
          </w:tcPr>
          <w:p w14:paraId="430B74A2">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0.196</w:t>
            </w:r>
          </w:p>
        </w:tc>
        <w:tc>
          <w:tcPr>
            <w:tcW w:w="458" w:type="pct"/>
            <w:vAlign w:val="center"/>
          </w:tcPr>
          <w:p w14:paraId="29864D3C">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0.277</w:t>
            </w:r>
          </w:p>
        </w:tc>
        <w:tc>
          <w:tcPr>
            <w:tcW w:w="458" w:type="pct"/>
            <w:vAlign w:val="center"/>
          </w:tcPr>
          <w:p w14:paraId="204DBD3B">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0.241</w:t>
            </w:r>
          </w:p>
        </w:tc>
        <w:tc>
          <w:tcPr>
            <w:tcW w:w="534" w:type="pct"/>
            <w:vAlign w:val="center"/>
          </w:tcPr>
          <w:p w14:paraId="61615061">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0.226</w:t>
            </w:r>
          </w:p>
        </w:tc>
        <w:tc>
          <w:tcPr>
            <w:tcW w:w="457" w:type="pct"/>
            <w:vAlign w:val="center"/>
          </w:tcPr>
          <w:p w14:paraId="6D55922C">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0.163</w:t>
            </w:r>
          </w:p>
        </w:tc>
        <w:tc>
          <w:tcPr>
            <w:tcW w:w="458" w:type="pct"/>
            <w:vAlign w:val="center"/>
          </w:tcPr>
          <w:p w14:paraId="06D58245">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0.181</w:t>
            </w:r>
          </w:p>
        </w:tc>
        <w:tc>
          <w:tcPr>
            <w:tcW w:w="500" w:type="pct"/>
            <w:vAlign w:val="center"/>
          </w:tcPr>
          <w:p w14:paraId="1B4653E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0.169</w:t>
            </w:r>
          </w:p>
        </w:tc>
        <w:tc>
          <w:tcPr>
            <w:tcW w:w="396" w:type="pct"/>
            <w:vAlign w:val="center"/>
          </w:tcPr>
          <w:p w14:paraId="47F35447">
            <w:pPr>
              <w:widowControl/>
              <w:autoSpaceDE/>
              <w:autoSpaceDN/>
              <w:jc w:val="center"/>
              <w:textAlignment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≤0.5</w:t>
            </w:r>
          </w:p>
        </w:tc>
      </w:tr>
      <w:tr w14:paraId="7EF1B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22" w:type="pct"/>
            <w:vAlign w:val="center"/>
          </w:tcPr>
          <w:p w14:paraId="3DE7DA0D">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六价铬（mg/L）</w:t>
            </w:r>
          </w:p>
        </w:tc>
        <w:tc>
          <w:tcPr>
            <w:tcW w:w="458" w:type="pct"/>
            <w:vAlign w:val="center"/>
          </w:tcPr>
          <w:p w14:paraId="02A4F4E6">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0.004L</w:t>
            </w:r>
          </w:p>
        </w:tc>
        <w:tc>
          <w:tcPr>
            <w:tcW w:w="459" w:type="pct"/>
            <w:vAlign w:val="center"/>
          </w:tcPr>
          <w:p w14:paraId="0D53DCAC">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0.004L</w:t>
            </w:r>
          </w:p>
        </w:tc>
        <w:tc>
          <w:tcPr>
            <w:tcW w:w="458" w:type="pct"/>
            <w:vAlign w:val="center"/>
          </w:tcPr>
          <w:p w14:paraId="6545600B">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0.004L</w:t>
            </w:r>
          </w:p>
        </w:tc>
        <w:tc>
          <w:tcPr>
            <w:tcW w:w="458" w:type="pct"/>
            <w:vAlign w:val="center"/>
          </w:tcPr>
          <w:p w14:paraId="3182614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0.004L</w:t>
            </w:r>
          </w:p>
        </w:tc>
        <w:tc>
          <w:tcPr>
            <w:tcW w:w="534" w:type="pct"/>
            <w:vAlign w:val="center"/>
          </w:tcPr>
          <w:p w14:paraId="71D9A7F1">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0.004L</w:t>
            </w:r>
          </w:p>
        </w:tc>
        <w:tc>
          <w:tcPr>
            <w:tcW w:w="457" w:type="pct"/>
            <w:vAlign w:val="center"/>
          </w:tcPr>
          <w:p w14:paraId="460CC4A2">
            <w:pPr>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0.004L</w:t>
            </w:r>
          </w:p>
        </w:tc>
        <w:tc>
          <w:tcPr>
            <w:tcW w:w="458" w:type="pct"/>
            <w:vAlign w:val="center"/>
          </w:tcPr>
          <w:p w14:paraId="72E04CE5">
            <w:pPr>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0.004L</w:t>
            </w:r>
          </w:p>
        </w:tc>
        <w:tc>
          <w:tcPr>
            <w:tcW w:w="500" w:type="pct"/>
            <w:vAlign w:val="center"/>
          </w:tcPr>
          <w:p w14:paraId="3493DBDC">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0.004L</w:t>
            </w:r>
          </w:p>
        </w:tc>
        <w:tc>
          <w:tcPr>
            <w:tcW w:w="396" w:type="pct"/>
            <w:vAlign w:val="center"/>
          </w:tcPr>
          <w:p w14:paraId="21F2E96D">
            <w:pPr>
              <w:autoSpaceDE/>
              <w:autoSpaceDN/>
              <w:adjustRightInd w:val="0"/>
              <w:jc w:val="center"/>
              <w:textAlignment w:val="baseline"/>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≤0.05</w:t>
            </w:r>
          </w:p>
        </w:tc>
      </w:tr>
      <w:tr w14:paraId="30678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22" w:type="pct"/>
            <w:vAlign w:val="center"/>
          </w:tcPr>
          <w:p w14:paraId="19A155B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砷（mg/L）</w:t>
            </w:r>
          </w:p>
        </w:tc>
        <w:tc>
          <w:tcPr>
            <w:tcW w:w="458" w:type="pct"/>
            <w:vAlign w:val="center"/>
          </w:tcPr>
          <w:p w14:paraId="5D61FFC2">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0.0003L</w:t>
            </w:r>
          </w:p>
        </w:tc>
        <w:tc>
          <w:tcPr>
            <w:tcW w:w="459" w:type="pct"/>
            <w:vAlign w:val="center"/>
          </w:tcPr>
          <w:p w14:paraId="139D8ABF">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0.0003L</w:t>
            </w:r>
          </w:p>
        </w:tc>
        <w:tc>
          <w:tcPr>
            <w:tcW w:w="458" w:type="pct"/>
            <w:vAlign w:val="center"/>
          </w:tcPr>
          <w:p w14:paraId="1DE08FFD">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0.0003L</w:t>
            </w:r>
          </w:p>
        </w:tc>
        <w:tc>
          <w:tcPr>
            <w:tcW w:w="458" w:type="pct"/>
            <w:vAlign w:val="center"/>
          </w:tcPr>
          <w:p w14:paraId="4B00A52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0.0003L</w:t>
            </w:r>
          </w:p>
        </w:tc>
        <w:tc>
          <w:tcPr>
            <w:tcW w:w="534" w:type="pct"/>
            <w:vAlign w:val="center"/>
          </w:tcPr>
          <w:p w14:paraId="72CC33D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0.0003L</w:t>
            </w:r>
          </w:p>
        </w:tc>
        <w:tc>
          <w:tcPr>
            <w:tcW w:w="457" w:type="pct"/>
            <w:vAlign w:val="center"/>
          </w:tcPr>
          <w:p w14:paraId="1EEC9552">
            <w:pPr>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0.0003L</w:t>
            </w:r>
          </w:p>
        </w:tc>
        <w:tc>
          <w:tcPr>
            <w:tcW w:w="458" w:type="pct"/>
            <w:vAlign w:val="center"/>
          </w:tcPr>
          <w:p w14:paraId="75292DD9">
            <w:pPr>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0.0003L</w:t>
            </w:r>
          </w:p>
        </w:tc>
        <w:tc>
          <w:tcPr>
            <w:tcW w:w="500" w:type="pct"/>
            <w:vAlign w:val="center"/>
          </w:tcPr>
          <w:p w14:paraId="1C3C3A4B">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0.0003L</w:t>
            </w:r>
          </w:p>
        </w:tc>
        <w:tc>
          <w:tcPr>
            <w:tcW w:w="396" w:type="pct"/>
            <w:vAlign w:val="center"/>
          </w:tcPr>
          <w:p w14:paraId="47D0CD7A">
            <w:pPr>
              <w:autoSpaceDE/>
              <w:autoSpaceDN/>
              <w:adjustRightInd w:val="0"/>
              <w:jc w:val="center"/>
              <w:textAlignment w:val="baseline"/>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≤0.01</w:t>
            </w:r>
          </w:p>
        </w:tc>
      </w:tr>
      <w:tr w14:paraId="7BE8F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22" w:type="pct"/>
            <w:vAlign w:val="center"/>
          </w:tcPr>
          <w:p w14:paraId="0FB2DCD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铅（mg/L）</w:t>
            </w:r>
          </w:p>
        </w:tc>
        <w:tc>
          <w:tcPr>
            <w:tcW w:w="458" w:type="pct"/>
            <w:vAlign w:val="center"/>
          </w:tcPr>
          <w:p w14:paraId="5BCF30BF">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0.001L</w:t>
            </w:r>
          </w:p>
        </w:tc>
        <w:tc>
          <w:tcPr>
            <w:tcW w:w="459" w:type="pct"/>
            <w:vAlign w:val="center"/>
          </w:tcPr>
          <w:p w14:paraId="368DE6E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0.001L</w:t>
            </w:r>
          </w:p>
        </w:tc>
        <w:tc>
          <w:tcPr>
            <w:tcW w:w="458" w:type="pct"/>
            <w:vAlign w:val="center"/>
          </w:tcPr>
          <w:p w14:paraId="7CE00BBF">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0.001L</w:t>
            </w:r>
          </w:p>
        </w:tc>
        <w:tc>
          <w:tcPr>
            <w:tcW w:w="458" w:type="pct"/>
            <w:vAlign w:val="center"/>
          </w:tcPr>
          <w:p w14:paraId="3A2FAACE">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0.001L</w:t>
            </w:r>
          </w:p>
        </w:tc>
        <w:tc>
          <w:tcPr>
            <w:tcW w:w="534" w:type="pct"/>
            <w:vAlign w:val="center"/>
          </w:tcPr>
          <w:p w14:paraId="51B8639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0.001L</w:t>
            </w:r>
          </w:p>
        </w:tc>
        <w:tc>
          <w:tcPr>
            <w:tcW w:w="457" w:type="pct"/>
            <w:vAlign w:val="center"/>
          </w:tcPr>
          <w:p w14:paraId="29D1B85B">
            <w:pPr>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0.001L</w:t>
            </w:r>
          </w:p>
        </w:tc>
        <w:tc>
          <w:tcPr>
            <w:tcW w:w="458" w:type="pct"/>
            <w:vAlign w:val="center"/>
          </w:tcPr>
          <w:p w14:paraId="6D9A3161">
            <w:pPr>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0.001L</w:t>
            </w:r>
          </w:p>
        </w:tc>
        <w:tc>
          <w:tcPr>
            <w:tcW w:w="500" w:type="pct"/>
            <w:vAlign w:val="center"/>
          </w:tcPr>
          <w:p w14:paraId="69203EAB">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0.001L</w:t>
            </w:r>
          </w:p>
        </w:tc>
        <w:tc>
          <w:tcPr>
            <w:tcW w:w="396" w:type="pct"/>
            <w:vAlign w:val="center"/>
          </w:tcPr>
          <w:p w14:paraId="4F654A87">
            <w:pPr>
              <w:autoSpaceDE/>
              <w:autoSpaceDN/>
              <w:adjustRightInd w:val="0"/>
              <w:jc w:val="center"/>
              <w:textAlignment w:val="baseline"/>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≤0.01</w:t>
            </w:r>
          </w:p>
        </w:tc>
      </w:tr>
      <w:tr w14:paraId="4CD22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22" w:type="pct"/>
            <w:vAlign w:val="center"/>
          </w:tcPr>
          <w:p w14:paraId="32CA13FB">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铁（mg/L）</w:t>
            </w:r>
          </w:p>
        </w:tc>
        <w:tc>
          <w:tcPr>
            <w:tcW w:w="458" w:type="pct"/>
            <w:vAlign w:val="center"/>
          </w:tcPr>
          <w:p w14:paraId="0D6D63B8">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0.28</w:t>
            </w:r>
          </w:p>
        </w:tc>
        <w:tc>
          <w:tcPr>
            <w:tcW w:w="459" w:type="pct"/>
            <w:vAlign w:val="center"/>
          </w:tcPr>
          <w:p w14:paraId="38975406">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0.26</w:t>
            </w:r>
          </w:p>
        </w:tc>
        <w:tc>
          <w:tcPr>
            <w:tcW w:w="458" w:type="pct"/>
            <w:vAlign w:val="center"/>
          </w:tcPr>
          <w:p w14:paraId="207F3D4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0.26</w:t>
            </w:r>
          </w:p>
        </w:tc>
        <w:tc>
          <w:tcPr>
            <w:tcW w:w="458" w:type="pct"/>
            <w:vAlign w:val="center"/>
          </w:tcPr>
          <w:p w14:paraId="4C5E9121">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0.27</w:t>
            </w:r>
          </w:p>
        </w:tc>
        <w:tc>
          <w:tcPr>
            <w:tcW w:w="534" w:type="pct"/>
            <w:vAlign w:val="center"/>
          </w:tcPr>
          <w:p w14:paraId="62F26BA3">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0.28</w:t>
            </w:r>
          </w:p>
        </w:tc>
        <w:tc>
          <w:tcPr>
            <w:tcW w:w="457" w:type="pct"/>
            <w:vAlign w:val="center"/>
          </w:tcPr>
          <w:p w14:paraId="09184574">
            <w:pPr>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0.22</w:t>
            </w:r>
          </w:p>
        </w:tc>
        <w:tc>
          <w:tcPr>
            <w:tcW w:w="458" w:type="pct"/>
            <w:vAlign w:val="center"/>
          </w:tcPr>
          <w:p w14:paraId="032D2293">
            <w:pPr>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0.24</w:t>
            </w:r>
          </w:p>
        </w:tc>
        <w:tc>
          <w:tcPr>
            <w:tcW w:w="500" w:type="pct"/>
            <w:vAlign w:val="center"/>
          </w:tcPr>
          <w:p w14:paraId="4D00DAF2">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0.21</w:t>
            </w:r>
          </w:p>
        </w:tc>
        <w:tc>
          <w:tcPr>
            <w:tcW w:w="396" w:type="pct"/>
            <w:vAlign w:val="center"/>
          </w:tcPr>
          <w:p w14:paraId="7594140D">
            <w:pPr>
              <w:autoSpaceDE/>
              <w:autoSpaceDN/>
              <w:adjustRightInd w:val="0"/>
              <w:jc w:val="center"/>
              <w:textAlignment w:val="baseline"/>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≤0.3</w:t>
            </w:r>
          </w:p>
        </w:tc>
      </w:tr>
      <w:tr w14:paraId="62B83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22" w:type="pct"/>
            <w:vAlign w:val="center"/>
          </w:tcPr>
          <w:p w14:paraId="365B98BE">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汞（mg/L）</w:t>
            </w:r>
          </w:p>
        </w:tc>
        <w:tc>
          <w:tcPr>
            <w:tcW w:w="458" w:type="pct"/>
            <w:vAlign w:val="center"/>
          </w:tcPr>
          <w:p w14:paraId="72FF720F">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0.00004L</w:t>
            </w:r>
          </w:p>
        </w:tc>
        <w:tc>
          <w:tcPr>
            <w:tcW w:w="459" w:type="pct"/>
            <w:vAlign w:val="center"/>
          </w:tcPr>
          <w:p w14:paraId="4CC79CC3">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0.00004L</w:t>
            </w:r>
          </w:p>
        </w:tc>
        <w:tc>
          <w:tcPr>
            <w:tcW w:w="458" w:type="pct"/>
            <w:vAlign w:val="center"/>
          </w:tcPr>
          <w:p w14:paraId="20D5D3A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0.00004L</w:t>
            </w:r>
          </w:p>
        </w:tc>
        <w:tc>
          <w:tcPr>
            <w:tcW w:w="458" w:type="pct"/>
            <w:vAlign w:val="center"/>
          </w:tcPr>
          <w:p w14:paraId="4625C6AC">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0.00004L</w:t>
            </w:r>
          </w:p>
        </w:tc>
        <w:tc>
          <w:tcPr>
            <w:tcW w:w="534" w:type="pct"/>
            <w:vAlign w:val="center"/>
          </w:tcPr>
          <w:p w14:paraId="32438AE1">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0.00004L</w:t>
            </w:r>
          </w:p>
        </w:tc>
        <w:tc>
          <w:tcPr>
            <w:tcW w:w="457" w:type="pct"/>
            <w:vAlign w:val="center"/>
          </w:tcPr>
          <w:p w14:paraId="64339DC5">
            <w:pPr>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0.00004L</w:t>
            </w:r>
          </w:p>
        </w:tc>
        <w:tc>
          <w:tcPr>
            <w:tcW w:w="458" w:type="pct"/>
            <w:vAlign w:val="center"/>
          </w:tcPr>
          <w:p w14:paraId="2B388C13">
            <w:pPr>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0.00004L</w:t>
            </w:r>
          </w:p>
        </w:tc>
        <w:tc>
          <w:tcPr>
            <w:tcW w:w="500" w:type="pct"/>
            <w:vAlign w:val="center"/>
          </w:tcPr>
          <w:p w14:paraId="0439E1C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0.00004L</w:t>
            </w:r>
          </w:p>
        </w:tc>
        <w:tc>
          <w:tcPr>
            <w:tcW w:w="396" w:type="pct"/>
            <w:vAlign w:val="center"/>
          </w:tcPr>
          <w:p w14:paraId="336271E5">
            <w:pPr>
              <w:autoSpaceDE/>
              <w:autoSpaceDN/>
              <w:adjustRightInd w:val="0"/>
              <w:jc w:val="center"/>
              <w:textAlignment w:val="baseline"/>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≤0.001</w:t>
            </w:r>
          </w:p>
        </w:tc>
      </w:tr>
      <w:tr w14:paraId="55768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22" w:type="pct"/>
            <w:vAlign w:val="center"/>
          </w:tcPr>
          <w:p w14:paraId="4F75A626">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锰（mg/L）</w:t>
            </w:r>
          </w:p>
        </w:tc>
        <w:tc>
          <w:tcPr>
            <w:tcW w:w="458" w:type="pct"/>
            <w:vAlign w:val="center"/>
          </w:tcPr>
          <w:p w14:paraId="6F73D73E">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0.12</w:t>
            </w:r>
          </w:p>
        </w:tc>
        <w:tc>
          <w:tcPr>
            <w:tcW w:w="459" w:type="pct"/>
            <w:vAlign w:val="center"/>
          </w:tcPr>
          <w:p w14:paraId="4A1564C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0.08</w:t>
            </w:r>
          </w:p>
        </w:tc>
        <w:tc>
          <w:tcPr>
            <w:tcW w:w="458" w:type="pct"/>
            <w:vAlign w:val="center"/>
          </w:tcPr>
          <w:p w14:paraId="31C70413">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0.13</w:t>
            </w:r>
          </w:p>
        </w:tc>
        <w:tc>
          <w:tcPr>
            <w:tcW w:w="458" w:type="pct"/>
            <w:vAlign w:val="center"/>
          </w:tcPr>
          <w:p w14:paraId="3AF41D1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0.12</w:t>
            </w:r>
          </w:p>
        </w:tc>
        <w:tc>
          <w:tcPr>
            <w:tcW w:w="534" w:type="pct"/>
            <w:vAlign w:val="center"/>
          </w:tcPr>
          <w:p w14:paraId="420C4961">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0.09</w:t>
            </w:r>
          </w:p>
        </w:tc>
        <w:tc>
          <w:tcPr>
            <w:tcW w:w="457" w:type="pct"/>
            <w:vAlign w:val="center"/>
          </w:tcPr>
          <w:p w14:paraId="6C67E228">
            <w:pPr>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0.03</w:t>
            </w:r>
          </w:p>
        </w:tc>
        <w:tc>
          <w:tcPr>
            <w:tcW w:w="458" w:type="pct"/>
            <w:vAlign w:val="center"/>
          </w:tcPr>
          <w:p w14:paraId="685C0327">
            <w:pPr>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0.04</w:t>
            </w:r>
          </w:p>
        </w:tc>
        <w:tc>
          <w:tcPr>
            <w:tcW w:w="500" w:type="pct"/>
            <w:vAlign w:val="center"/>
          </w:tcPr>
          <w:p w14:paraId="4370E9E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0.05</w:t>
            </w:r>
          </w:p>
        </w:tc>
        <w:tc>
          <w:tcPr>
            <w:tcW w:w="396" w:type="pct"/>
            <w:vAlign w:val="center"/>
          </w:tcPr>
          <w:p w14:paraId="2CF1DB4A">
            <w:pPr>
              <w:autoSpaceDE/>
              <w:autoSpaceDN/>
              <w:adjustRightInd w:val="0"/>
              <w:jc w:val="center"/>
              <w:textAlignment w:val="baseline"/>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≤0.1</w:t>
            </w:r>
          </w:p>
        </w:tc>
      </w:tr>
      <w:tr w14:paraId="665A6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22" w:type="pct"/>
            <w:vAlign w:val="center"/>
          </w:tcPr>
          <w:p w14:paraId="3EACC6C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镉（mg/L）</w:t>
            </w:r>
          </w:p>
        </w:tc>
        <w:tc>
          <w:tcPr>
            <w:tcW w:w="458" w:type="pct"/>
            <w:vAlign w:val="center"/>
          </w:tcPr>
          <w:p w14:paraId="05522A1E">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0.0001L</w:t>
            </w:r>
          </w:p>
        </w:tc>
        <w:tc>
          <w:tcPr>
            <w:tcW w:w="459" w:type="pct"/>
            <w:vAlign w:val="center"/>
          </w:tcPr>
          <w:p w14:paraId="3C267D5E">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0.0001L</w:t>
            </w:r>
          </w:p>
        </w:tc>
        <w:tc>
          <w:tcPr>
            <w:tcW w:w="458" w:type="pct"/>
            <w:vAlign w:val="center"/>
          </w:tcPr>
          <w:p w14:paraId="2BA44908">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0.0001L</w:t>
            </w:r>
          </w:p>
        </w:tc>
        <w:tc>
          <w:tcPr>
            <w:tcW w:w="458" w:type="pct"/>
            <w:vAlign w:val="center"/>
          </w:tcPr>
          <w:p w14:paraId="58926F21">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0.0001L</w:t>
            </w:r>
          </w:p>
        </w:tc>
        <w:tc>
          <w:tcPr>
            <w:tcW w:w="534" w:type="pct"/>
            <w:vAlign w:val="center"/>
          </w:tcPr>
          <w:p w14:paraId="04BE19D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0.0001L</w:t>
            </w:r>
          </w:p>
        </w:tc>
        <w:tc>
          <w:tcPr>
            <w:tcW w:w="457" w:type="pct"/>
            <w:vAlign w:val="center"/>
          </w:tcPr>
          <w:p w14:paraId="0BF0E55B">
            <w:pPr>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0.0001L</w:t>
            </w:r>
          </w:p>
        </w:tc>
        <w:tc>
          <w:tcPr>
            <w:tcW w:w="458" w:type="pct"/>
            <w:vAlign w:val="center"/>
          </w:tcPr>
          <w:p w14:paraId="339B8EA7">
            <w:pPr>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0.0001L</w:t>
            </w:r>
          </w:p>
        </w:tc>
        <w:tc>
          <w:tcPr>
            <w:tcW w:w="500" w:type="pct"/>
            <w:vAlign w:val="center"/>
          </w:tcPr>
          <w:p w14:paraId="1C67D7D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0.0001L</w:t>
            </w:r>
          </w:p>
        </w:tc>
        <w:tc>
          <w:tcPr>
            <w:tcW w:w="396" w:type="pct"/>
            <w:vAlign w:val="center"/>
          </w:tcPr>
          <w:p w14:paraId="71BC7827">
            <w:pPr>
              <w:autoSpaceDE/>
              <w:autoSpaceDN/>
              <w:adjustRightInd w:val="0"/>
              <w:jc w:val="center"/>
              <w:textAlignment w:val="baseline"/>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≤0.005</w:t>
            </w:r>
          </w:p>
        </w:tc>
      </w:tr>
      <w:tr w14:paraId="528A0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22" w:type="pct"/>
            <w:vAlign w:val="center"/>
          </w:tcPr>
          <w:p w14:paraId="3556AC8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石油类（mg/L）</w:t>
            </w:r>
          </w:p>
        </w:tc>
        <w:tc>
          <w:tcPr>
            <w:tcW w:w="458" w:type="pct"/>
            <w:vAlign w:val="center"/>
          </w:tcPr>
          <w:p w14:paraId="5926009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0.01L</w:t>
            </w:r>
          </w:p>
        </w:tc>
        <w:tc>
          <w:tcPr>
            <w:tcW w:w="459" w:type="pct"/>
            <w:vAlign w:val="center"/>
          </w:tcPr>
          <w:p w14:paraId="21F1DEF3">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0.01L</w:t>
            </w:r>
          </w:p>
        </w:tc>
        <w:tc>
          <w:tcPr>
            <w:tcW w:w="458" w:type="pct"/>
            <w:vAlign w:val="center"/>
          </w:tcPr>
          <w:p w14:paraId="5702E34C">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0.01L</w:t>
            </w:r>
          </w:p>
        </w:tc>
        <w:tc>
          <w:tcPr>
            <w:tcW w:w="458" w:type="pct"/>
            <w:vAlign w:val="center"/>
          </w:tcPr>
          <w:p w14:paraId="24D6BE5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0.01L</w:t>
            </w:r>
          </w:p>
        </w:tc>
        <w:tc>
          <w:tcPr>
            <w:tcW w:w="534" w:type="pct"/>
            <w:vAlign w:val="center"/>
          </w:tcPr>
          <w:p w14:paraId="5D50E06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0.01L</w:t>
            </w:r>
          </w:p>
        </w:tc>
        <w:tc>
          <w:tcPr>
            <w:tcW w:w="457" w:type="pct"/>
            <w:vAlign w:val="center"/>
          </w:tcPr>
          <w:p w14:paraId="02BCBBBD">
            <w:pPr>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0.01L</w:t>
            </w:r>
          </w:p>
        </w:tc>
        <w:tc>
          <w:tcPr>
            <w:tcW w:w="458" w:type="pct"/>
            <w:vAlign w:val="center"/>
          </w:tcPr>
          <w:p w14:paraId="1D7AF49D">
            <w:pPr>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0.01L</w:t>
            </w:r>
          </w:p>
        </w:tc>
        <w:tc>
          <w:tcPr>
            <w:tcW w:w="500" w:type="pct"/>
            <w:vAlign w:val="center"/>
          </w:tcPr>
          <w:p w14:paraId="7939A251">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0.01L</w:t>
            </w:r>
          </w:p>
        </w:tc>
        <w:tc>
          <w:tcPr>
            <w:tcW w:w="396" w:type="pct"/>
            <w:vAlign w:val="center"/>
          </w:tcPr>
          <w:p w14:paraId="1106F24C">
            <w:pPr>
              <w:autoSpaceDE/>
              <w:autoSpaceDN/>
              <w:adjustRightInd w:val="0"/>
              <w:jc w:val="center"/>
              <w:textAlignment w:val="baseline"/>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≤0.05</w:t>
            </w:r>
          </w:p>
        </w:tc>
      </w:tr>
      <w:tr w14:paraId="02A26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22" w:type="pct"/>
            <w:vAlign w:val="center"/>
          </w:tcPr>
          <w:p w14:paraId="154CA42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总大肠菌群（MPN/100mL）</w:t>
            </w:r>
          </w:p>
        </w:tc>
        <w:tc>
          <w:tcPr>
            <w:tcW w:w="458" w:type="pct"/>
            <w:vAlign w:val="center"/>
          </w:tcPr>
          <w:p w14:paraId="38429E2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2L</w:t>
            </w:r>
          </w:p>
        </w:tc>
        <w:tc>
          <w:tcPr>
            <w:tcW w:w="459" w:type="pct"/>
            <w:vAlign w:val="center"/>
          </w:tcPr>
          <w:p w14:paraId="6EB8F44F">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2L</w:t>
            </w:r>
          </w:p>
        </w:tc>
        <w:tc>
          <w:tcPr>
            <w:tcW w:w="458" w:type="pct"/>
            <w:vAlign w:val="center"/>
          </w:tcPr>
          <w:p w14:paraId="48816DDD">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2L</w:t>
            </w:r>
          </w:p>
        </w:tc>
        <w:tc>
          <w:tcPr>
            <w:tcW w:w="458" w:type="pct"/>
            <w:vAlign w:val="center"/>
          </w:tcPr>
          <w:p w14:paraId="2860982B">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2L</w:t>
            </w:r>
          </w:p>
        </w:tc>
        <w:tc>
          <w:tcPr>
            <w:tcW w:w="534" w:type="pct"/>
            <w:vAlign w:val="center"/>
          </w:tcPr>
          <w:p w14:paraId="1CBA7E25">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2L</w:t>
            </w:r>
          </w:p>
        </w:tc>
        <w:tc>
          <w:tcPr>
            <w:tcW w:w="457" w:type="pct"/>
            <w:vAlign w:val="center"/>
          </w:tcPr>
          <w:p w14:paraId="398600B9">
            <w:pPr>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2L</w:t>
            </w:r>
          </w:p>
        </w:tc>
        <w:tc>
          <w:tcPr>
            <w:tcW w:w="458" w:type="pct"/>
            <w:vAlign w:val="center"/>
          </w:tcPr>
          <w:p w14:paraId="64D68449">
            <w:pPr>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2L</w:t>
            </w:r>
          </w:p>
        </w:tc>
        <w:tc>
          <w:tcPr>
            <w:tcW w:w="500" w:type="pct"/>
            <w:vAlign w:val="center"/>
          </w:tcPr>
          <w:p w14:paraId="43AF8523">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2L</w:t>
            </w:r>
          </w:p>
        </w:tc>
        <w:tc>
          <w:tcPr>
            <w:tcW w:w="396" w:type="pct"/>
            <w:vAlign w:val="center"/>
          </w:tcPr>
          <w:p w14:paraId="149DBE83">
            <w:pPr>
              <w:autoSpaceDE/>
              <w:autoSpaceDN/>
              <w:adjustRightInd w:val="0"/>
              <w:jc w:val="center"/>
              <w:textAlignment w:val="baseline"/>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≤3.0</w:t>
            </w:r>
          </w:p>
        </w:tc>
      </w:tr>
      <w:tr w14:paraId="1504C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22" w:type="pct"/>
            <w:vAlign w:val="center"/>
          </w:tcPr>
          <w:p w14:paraId="2A69C2E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菌落总数（CFU/mL）</w:t>
            </w:r>
          </w:p>
        </w:tc>
        <w:tc>
          <w:tcPr>
            <w:tcW w:w="458" w:type="pct"/>
            <w:vAlign w:val="center"/>
          </w:tcPr>
          <w:p w14:paraId="366673CE">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10</w:t>
            </w:r>
          </w:p>
        </w:tc>
        <w:tc>
          <w:tcPr>
            <w:tcW w:w="459" w:type="pct"/>
            <w:vAlign w:val="center"/>
          </w:tcPr>
          <w:p w14:paraId="1375818D">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12</w:t>
            </w:r>
          </w:p>
        </w:tc>
        <w:tc>
          <w:tcPr>
            <w:tcW w:w="458" w:type="pct"/>
            <w:vAlign w:val="center"/>
          </w:tcPr>
          <w:p w14:paraId="1DF7BE4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11</w:t>
            </w:r>
          </w:p>
        </w:tc>
        <w:tc>
          <w:tcPr>
            <w:tcW w:w="458" w:type="pct"/>
            <w:vAlign w:val="center"/>
          </w:tcPr>
          <w:p w14:paraId="444BDBF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13</w:t>
            </w:r>
          </w:p>
        </w:tc>
        <w:tc>
          <w:tcPr>
            <w:tcW w:w="534" w:type="pct"/>
            <w:vAlign w:val="center"/>
          </w:tcPr>
          <w:p w14:paraId="2D42B70D">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10</w:t>
            </w:r>
          </w:p>
        </w:tc>
        <w:tc>
          <w:tcPr>
            <w:tcW w:w="457" w:type="pct"/>
            <w:vAlign w:val="center"/>
          </w:tcPr>
          <w:p w14:paraId="73752E28">
            <w:pPr>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8</w:t>
            </w:r>
          </w:p>
        </w:tc>
        <w:tc>
          <w:tcPr>
            <w:tcW w:w="458" w:type="pct"/>
            <w:vAlign w:val="center"/>
          </w:tcPr>
          <w:p w14:paraId="7178BCD3">
            <w:pPr>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9</w:t>
            </w:r>
          </w:p>
        </w:tc>
        <w:tc>
          <w:tcPr>
            <w:tcW w:w="500" w:type="pct"/>
            <w:vAlign w:val="center"/>
          </w:tcPr>
          <w:p w14:paraId="151FDFF1">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7</w:t>
            </w:r>
          </w:p>
        </w:tc>
        <w:tc>
          <w:tcPr>
            <w:tcW w:w="396" w:type="pct"/>
            <w:vAlign w:val="center"/>
          </w:tcPr>
          <w:p w14:paraId="3FF0D414">
            <w:pPr>
              <w:autoSpaceDE/>
              <w:autoSpaceDN/>
              <w:adjustRightInd w:val="0"/>
              <w:jc w:val="center"/>
              <w:textAlignment w:val="baseline"/>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≤100</w:t>
            </w:r>
          </w:p>
        </w:tc>
      </w:tr>
    </w:tbl>
    <w:p w14:paraId="742AC2EE">
      <w:pPr>
        <w:autoSpaceDE/>
        <w:autoSpaceDN/>
        <w:spacing w:line="440" w:lineRule="exact"/>
        <w:outlineLvl w:val="3"/>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t>4.3.2.3地下水水质现状评价</w:t>
      </w:r>
    </w:p>
    <w:p w14:paraId="27851621">
      <w:pPr>
        <w:autoSpaceDE/>
        <w:autoSpaceDN/>
        <w:spacing w:line="440" w:lineRule="exact"/>
        <w:ind w:firstLine="474" w:firstLineChars="200"/>
        <w:rPr>
          <w:rFonts w:ascii="Times New Roman" w:hAnsi="Times New Roman" w:cs="Times New Roman" w:eastAsiaTheme="minorEastAsia"/>
          <w:color w:val="000000" w:themeColor="text1"/>
          <w:w w:val="99"/>
          <w:kern w:val="2"/>
          <w:sz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lang w:val="en-US" w:bidi="ar-SA"/>
          <w14:textFill>
            <w14:solidFill>
              <w14:schemeClr w14:val="tx1"/>
            </w14:solidFill>
          </w14:textFill>
        </w:rPr>
        <w:t>（1）评价标准</w:t>
      </w:r>
    </w:p>
    <w:p w14:paraId="37AEB898">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采用《地下水质量标准》（GB/T14848-2017）中</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fldChar w:fldCharType="begin"/>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instrText xml:space="preserve"> = 3 \* ROMAN \* MERGEFORMAT </w:instrTex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fldChar w:fldCharType="separate"/>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III</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fldChar w:fldCharType="end"/>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类标准，石油类参照《地表水环境质量标准》（GB3838-2002）中的III类标准执行≤0.05mg/L。</w:t>
      </w:r>
    </w:p>
    <w:p w14:paraId="44EC796F">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（2）评价方法</w:t>
      </w:r>
    </w:p>
    <w:p w14:paraId="3EFB657A">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采用单因子标准指数法对地下水水质现状监测结果进行评价，评价模式如下：</w:t>
      </w:r>
    </w:p>
    <w:p w14:paraId="4D70BE1B">
      <w:pPr>
        <w:widowControl/>
        <w:autoSpaceDE/>
        <w:autoSpaceDN/>
        <w:ind w:firstLine="3318" w:firstLineChars="14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drawing>
          <wp:inline distT="0" distB="0" distL="0" distR="0">
            <wp:extent cx="762000" cy="333375"/>
            <wp:effectExtent l="0" t="0" r="0"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762000" cy="333375"/>
                    </a:xfrm>
                    <a:prstGeom prst="rect">
                      <a:avLst/>
                    </a:prstGeom>
                    <a:noFill/>
                    <a:ln>
                      <a:noFill/>
                    </a:ln>
                  </pic:spPr>
                </pic:pic>
              </a:graphicData>
            </a:graphic>
          </wp:inline>
        </w:drawing>
      </w:r>
    </w:p>
    <w:p w14:paraId="7939E1E7">
      <w:pPr>
        <w:autoSpaceDE/>
        <w:autoSpaceDN/>
        <w:spacing w:line="440" w:lineRule="exact"/>
        <w:ind w:firstLine="473"/>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式中：S</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i,j</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——水质单因子i在第j点的标准指数；</w:t>
      </w:r>
    </w:p>
    <w:p w14:paraId="3C9C61CA">
      <w:pPr>
        <w:autoSpaceDE/>
        <w:autoSpaceDN/>
        <w:spacing w:line="440" w:lineRule="exact"/>
        <w:ind w:firstLine="1185" w:firstLineChars="5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C</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ij</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——水质评价因子i在第j点的监测值，mg/L；</w:t>
      </w:r>
    </w:p>
    <w:p w14:paraId="56605A6C">
      <w:pPr>
        <w:autoSpaceDE/>
        <w:autoSpaceDN/>
        <w:spacing w:line="440" w:lineRule="exact"/>
        <w:ind w:firstLine="1185" w:firstLineChars="5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C</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si</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——i因子的评价标准，mg/L。</w:t>
      </w:r>
    </w:p>
    <w:p w14:paraId="4979CB7C">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pH的标准指数公式：</w:t>
      </w:r>
    </w:p>
    <w:p w14:paraId="60801D40">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p>
    <w:p w14:paraId="2DEF0BD9">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pH</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j</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≤7.0时</w:t>
      </w:r>
    </w:p>
    <w:p w14:paraId="46A65761">
      <w:pPr>
        <w:widowControl/>
        <w:autoSpaceDE/>
        <w:autoSpaceDN/>
        <w:spacing w:line="360" w:lineRule="auto"/>
        <w:ind w:firstLine="2488" w:firstLineChars="105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drawing>
          <wp:inline distT="0" distB="0" distL="0" distR="0">
            <wp:extent cx="1238250" cy="447675"/>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38250" cy="447675"/>
                    </a:xfrm>
                    <a:prstGeom prst="rect">
                      <a:avLst/>
                    </a:prstGeom>
                    <a:noFill/>
                    <a:ln>
                      <a:noFill/>
                    </a:ln>
                  </pic:spPr>
                </pic:pic>
              </a:graphicData>
            </a:graphic>
          </wp:inline>
        </w:drawing>
      </w:r>
    </w:p>
    <w:p w14:paraId="7672EC04">
      <w:pPr>
        <w:autoSpaceDE/>
        <w:autoSpaceDN/>
        <w:spacing w:line="440" w:lineRule="exact"/>
        <w:ind w:firstLine="471"/>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pH</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j</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＞7.0时</w:t>
      </w:r>
    </w:p>
    <w:p w14:paraId="31D5561B">
      <w:pPr>
        <w:widowControl/>
        <w:autoSpaceDE/>
        <w:autoSpaceDN/>
        <w:spacing w:line="360" w:lineRule="auto"/>
        <w:ind w:firstLine="2488" w:firstLineChars="105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drawing>
          <wp:inline distT="0" distB="0" distL="0" distR="0">
            <wp:extent cx="1266825" cy="457200"/>
            <wp:effectExtent l="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266825" cy="457200"/>
                    </a:xfrm>
                    <a:prstGeom prst="rect">
                      <a:avLst/>
                    </a:prstGeom>
                    <a:noFill/>
                    <a:ln>
                      <a:noFill/>
                    </a:ln>
                  </pic:spPr>
                </pic:pic>
              </a:graphicData>
            </a:graphic>
          </wp:inline>
        </w:drawing>
      </w:r>
    </w:p>
    <w:p w14:paraId="60551F00">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式中：S</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pH.j</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——pH值的单项指数；</w:t>
      </w:r>
    </w:p>
    <w:p w14:paraId="3C9330FF">
      <w:pPr>
        <w:autoSpaceDE/>
        <w:autoSpaceDN/>
        <w:spacing w:line="440" w:lineRule="exact"/>
        <w:ind w:firstLine="1185" w:firstLineChars="5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pH</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j</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——j点pH值监测值；</w:t>
      </w:r>
    </w:p>
    <w:p w14:paraId="75CB72FC">
      <w:pPr>
        <w:autoSpaceDE/>
        <w:autoSpaceDN/>
        <w:spacing w:line="440" w:lineRule="exact"/>
        <w:ind w:firstLine="1185" w:firstLineChars="5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pH</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su</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——水质标准中pH值上限；</w:t>
      </w:r>
    </w:p>
    <w:p w14:paraId="19073146">
      <w:pPr>
        <w:autoSpaceDE/>
        <w:autoSpaceDN/>
        <w:spacing w:line="440" w:lineRule="exact"/>
        <w:ind w:firstLine="1185" w:firstLineChars="5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pH</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sd</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——水质标准中pH值下限。</w:t>
      </w:r>
    </w:p>
    <w:p w14:paraId="43FA0A7E">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当单因子标准指数＞1时，表示该水质参数所表征的污染物已满足不了标准要求，水体已受到污染；反之，则满足标准要求。</w:t>
      </w:r>
    </w:p>
    <w:p w14:paraId="6A716939">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（3）单因子标准指数</w:t>
      </w:r>
    </w:p>
    <w:p w14:paraId="1BDEADAA">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地下水单因子标准指数计算结果见表4.3-8。</w:t>
      </w:r>
    </w:p>
    <w:p w14:paraId="48B91332">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表4.3-8    地下水单因子标准指数计算结果</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88"/>
        <w:gridCol w:w="1087"/>
        <w:gridCol w:w="1085"/>
        <w:gridCol w:w="986"/>
        <w:gridCol w:w="986"/>
        <w:gridCol w:w="988"/>
        <w:gridCol w:w="988"/>
        <w:gridCol w:w="983"/>
        <w:gridCol w:w="996"/>
      </w:tblGrid>
      <w:tr w14:paraId="1BFEA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0" w:type="pct"/>
            <w:vAlign w:val="center"/>
          </w:tcPr>
          <w:p w14:paraId="7F224718">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监测项目</w:t>
            </w:r>
          </w:p>
        </w:tc>
        <w:tc>
          <w:tcPr>
            <w:tcW w:w="585" w:type="pct"/>
            <w:vAlign w:val="center"/>
          </w:tcPr>
          <w:p w14:paraId="610E4D11">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好尔陶牧场潜水井(苏家)</w:t>
            </w:r>
          </w:p>
        </w:tc>
        <w:tc>
          <w:tcPr>
            <w:tcW w:w="584" w:type="pct"/>
            <w:vAlign w:val="center"/>
          </w:tcPr>
          <w:p w14:paraId="7CAF6DFF">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龙虎岗村潜水井(韩家)</w:t>
            </w:r>
          </w:p>
        </w:tc>
        <w:tc>
          <w:tcPr>
            <w:tcW w:w="531" w:type="pct"/>
            <w:vAlign w:val="center"/>
          </w:tcPr>
          <w:p w14:paraId="711BD442">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双榆树潜水井(陈家)</w:t>
            </w:r>
          </w:p>
        </w:tc>
        <w:tc>
          <w:tcPr>
            <w:tcW w:w="531" w:type="pct"/>
            <w:vAlign w:val="center"/>
          </w:tcPr>
          <w:p w14:paraId="53AAD54C">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杏树岗村潜水井(张家)</w:t>
            </w:r>
          </w:p>
        </w:tc>
        <w:tc>
          <w:tcPr>
            <w:tcW w:w="532" w:type="pct"/>
            <w:vAlign w:val="center"/>
          </w:tcPr>
          <w:p w14:paraId="5BC59F0C">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东好利保村潜水井(索家)</w:t>
            </w:r>
          </w:p>
        </w:tc>
        <w:tc>
          <w:tcPr>
            <w:tcW w:w="532" w:type="pct"/>
            <w:vAlign w:val="center"/>
          </w:tcPr>
          <w:p w14:paraId="4773726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杏树岗村承压水井(汪家)</w:t>
            </w:r>
          </w:p>
        </w:tc>
        <w:tc>
          <w:tcPr>
            <w:tcW w:w="529" w:type="pct"/>
            <w:vAlign w:val="center"/>
          </w:tcPr>
          <w:p w14:paraId="32F92B4B">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东好利保村承压水井(张家)</w:t>
            </w:r>
          </w:p>
        </w:tc>
        <w:tc>
          <w:tcPr>
            <w:tcW w:w="536" w:type="pct"/>
            <w:vAlign w:val="center"/>
          </w:tcPr>
          <w:p w14:paraId="2309005B">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杏树岗村集中供水饮用水井</w:t>
            </w:r>
          </w:p>
        </w:tc>
      </w:tr>
      <w:tr w14:paraId="3BEB6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0" w:type="pct"/>
            <w:vAlign w:val="center"/>
          </w:tcPr>
          <w:p w14:paraId="1451AA8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Na</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w:t>
            </w:r>
          </w:p>
        </w:tc>
        <w:tc>
          <w:tcPr>
            <w:tcW w:w="585" w:type="pct"/>
            <w:vAlign w:val="center"/>
          </w:tcPr>
          <w:p w14:paraId="1C0830B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0.27 </w:t>
            </w:r>
          </w:p>
        </w:tc>
        <w:tc>
          <w:tcPr>
            <w:tcW w:w="584" w:type="pct"/>
            <w:vAlign w:val="center"/>
          </w:tcPr>
          <w:p w14:paraId="0141F2B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0.31 </w:t>
            </w:r>
          </w:p>
        </w:tc>
        <w:tc>
          <w:tcPr>
            <w:tcW w:w="531" w:type="pct"/>
            <w:vAlign w:val="center"/>
          </w:tcPr>
          <w:p w14:paraId="5A09113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0.29 </w:t>
            </w:r>
          </w:p>
        </w:tc>
        <w:tc>
          <w:tcPr>
            <w:tcW w:w="531" w:type="pct"/>
            <w:vAlign w:val="center"/>
          </w:tcPr>
          <w:p w14:paraId="28E6A122">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0.26 </w:t>
            </w:r>
          </w:p>
        </w:tc>
        <w:tc>
          <w:tcPr>
            <w:tcW w:w="532" w:type="pct"/>
            <w:vAlign w:val="center"/>
          </w:tcPr>
          <w:p w14:paraId="32C06A1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0.30 </w:t>
            </w:r>
          </w:p>
        </w:tc>
        <w:tc>
          <w:tcPr>
            <w:tcW w:w="532" w:type="pct"/>
            <w:vAlign w:val="center"/>
          </w:tcPr>
          <w:p w14:paraId="1AB30545">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0.22 </w:t>
            </w:r>
          </w:p>
        </w:tc>
        <w:tc>
          <w:tcPr>
            <w:tcW w:w="529" w:type="pct"/>
            <w:vAlign w:val="center"/>
          </w:tcPr>
          <w:p w14:paraId="60DDE6C8">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0.24 </w:t>
            </w:r>
          </w:p>
        </w:tc>
        <w:tc>
          <w:tcPr>
            <w:tcW w:w="536" w:type="pct"/>
            <w:vAlign w:val="center"/>
          </w:tcPr>
          <w:p w14:paraId="07AC47B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0.21 </w:t>
            </w:r>
          </w:p>
        </w:tc>
      </w:tr>
      <w:tr w14:paraId="270BB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0" w:type="pct"/>
            <w:vAlign w:val="center"/>
          </w:tcPr>
          <w:p w14:paraId="5012979C">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Cl</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w:t>
            </w:r>
          </w:p>
        </w:tc>
        <w:tc>
          <w:tcPr>
            <w:tcW w:w="585" w:type="pct"/>
            <w:vAlign w:val="center"/>
          </w:tcPr>
          <w:p w14:paraId="744F1BB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0.17 </w:t>
            </w:r>
          </w:p>
        </w:tc>
        <w:tc>
          <w:tcPr>
            <w:tcW w:w="584" w:type="pct"/>
            <w:vAlign w:val="center"/>
          </w:tcPr>
          <w:p w14:paraId="19E7A988">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0.20 </w:t>
            </w:r>
          </w:p>
        </w:tc>
        <w:tc>
          <w:tcPr>
            <w:tcW w:w="531" w:type="pct"/>
            <w:vAlign w:val="center"/>
          </w:tcPr>
          <w:p w14:paraId="675F7CB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0.19 </w:t>
            </w:r>
          </w:p>
        </w:tc>
        <w:tc>
          <w:tcPr>
            <w:tcW w:w="531" w:type="pct"/>
            <w:vAlign w:val="center"/>
          </w:tcPr>
          <w:p w14:paraId="5540DFDC">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0.17 </w:t>
            </w:r>
          </w:p>
        </w:tc>
        <w:tc>
          <w:tcPr>
            <w:tcW w:w="532" w:type="pct"/>
            <w:vAlign w:val="center"/>
          </w:tcPr>
          <w:p w14:paraId="34D8D12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0.20 </w:t>
            </w:r>
          </w:p>
        </w:tc>
        <w:tc>
          <w:tcPr>
            <w:tcW w:w="532" w:type="pct"/>
            <w:vAlign w:val="center"/>
          </w:tcPr>
          <w:p w14:paraId="7CDD14B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0.15 </w:t>
            </w:r>
          </w:p>
        </w:tc>
        <w:tc>
          <w:tcPr>
            <w:tcW w:w="529" w:type="pct"/>
            <w:vAlign w:val="center"/>
          </w:tcPr>
          <w:p w14:paraId="4870B63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0.14 </w:t>
            </w:r>
          </w:p>
        </w:tc>
        <w:tc>
          <w:tcPr>
            <w:tcW w:w="536" w:type="pct"/>
            <w:vAlign w:val="center"/>
          </w:tcPr>
          <w:p w14:paraId="2A8F8F1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0.13 </w:t>
            </w:r>
          </w:p>
        </w:tc>
      </w:tr>
      <w:tr w14:paraId="7A4E1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0" w:type="pct"/>
            <w:vAlign w:val="center"/>
          </w:tcPr>
          <w:p w14:paraId="06AEF50F">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SO</w:t>
            </w:r>
            <w:r>
              <w:rPr>
                <w:rFonts w:ascii="Times New Roman" w:hAnsi="Times New Roman" w:cs="Times New Roman" w:eastAsiaTheme="minorEastAsia"/>
                <w:color w:val="000000" w:themeColor="text1"/>
                <w:w w:val="99"/>
                <w:kern w:val="2"/>
                <w:sz w:val="21"/>
                <w:szCs w:val="21"/>
                <w:vertAlign w:val="subscript"/>
                <w:lang w:val="en-US" w:bidi="ar-SA"/>
                <w14:textFill>
                  <w14:solidFill>
                    <w14:schemeClr w14:val="tx1"/>
                  </w14:solidFill>
                </w14:textFill>
              </w:rPr>
              <w:t>4</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2-</w:t>
            </w:r>
          </w:p>
        </w:tc>
        <w:tc>
          <w:tcPr>
            <w:tcW w:w="585" w:type="pct"/>
            <w:vAlign w:val="center"/>
          </w:tcPr>
          <w:p w14:paraId="00FBFFEB">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0.15 </w:t>
            </w:r>
          </w:p>
        </w:tc>
        <w:tc>
          <w:tcPr>
            <w:tcW w:w="584" w:type="pct"/>
            <w:vAlign w:val="center"/>
          </w:tcPr>
          <w:p w14:paraId="5E958813">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0.17 </w:t>
            </w:r>
          </w:p>
        </w:tc>
        <w:tc>
          <w:tcPr>
            <w:tcW w:w="531" w:type="pct"/>
            <w:vAlign w:val="center"/>
          </w:tcPr>
          <w:p w14:paraId="2992397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0.16 </w:t>
            </w:r>
          </w:p>
        </w:tc>
        <w:tc>
          <w:tcPr>
            <w:tcW w:w="531" w:type="pct"/>
            <w:vAlign w:val="center"/>
          </w:tcPr>
          <w:p w14:paraId="69B35322">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0.13 </w:t>
            </w:r>
          </w:p>
        </w:tc>
        <w:tc>
          <w:tcPr>
            <w:tcW w:w="532" w:type="pct"/>
            <w:vAlign w:val="center"/>
          </w:tcPr>
          <w:p w14:paraId="1F893571">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0.16 </w:t>
            </w:r>
          </w:p>
        </w:tc>
        <w:tc>
          <w:tcPr>
            <w:tcW w:w="532" w:type="pct"/>
            <w:vAlign w:val="center"/>
          </w:tcPr>
          <w:p w14:paraId="6DD3EDB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0.11 </w:t>
            </w:r>
          </w:p>
        </w:tc>
        <w:tc>
          <w:tcPr>
            <w:tcW w:w="529" w:type="pct"/>
            <w:vAlign w:val="center"/>
          </w:tcPr>
          <w:p w14:paraId="7653722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0.09 </w:t>
            </w:r>
          </w:p>
        </w:tc>
        <w:tc>
          <w:tcPr>
            <w:tcW w:w="536" w:type="pct"/>
            <w:vAlign w:val="center"/>
          </w:tcPr>
          <w:p w14:paraId="7DB2FE2E">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0.10 </w:t>
            </w:r>
          </w:p>
        </w:tc>
      </w:tr>
      <w:tr w14:paraId="60206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0" w:type="pct"/>
            <w:vAlign w:val="center"/>
          </w:tcPr>
          <w:p w14:paraId="21E780A2">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pH</w:t>
            </w:r>
          </w:p>
        </w:tc>
        <w:tc>
          <w:tcPr>
            <w:tcW w:w="585" w:type="pct"/>
            <w:vAlign w:val="center"/>
          </w:tcPr>
          <w:p w14:paraId="493E7ED3">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0.53 </w:t>
            </w:r>
          </w:p>
        </w:tc>
        <w:tc>
          <w:tcPr>
            <w:tcW w:w="584" w:type="pct"/>
            <w:vAlign w:val="center"/>
          </w:tcPr>
          <w:p w14:paraId="7D94326D">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0.47 </w:t>
            </w:r>
          </w:p>
        </w:tc>
        <w:tc>
          <w:tcPr>
            <w:tcW w:w="531" w:type="pct"/>
            <w:vAlign w:val="center"/>
          </w:tcPr>
          <w:p w14:paraId="395F6E4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0.47 </w:t>
            </w:r>
          </w:p>
        </w:tc>
        <w:tc>
          <w:tcPr>
            <w:tcW w:w="531" w:type="pct"/>
            <w:vAlign w:val="center"/>
          </w:tcPr>
          <w:p w14:paraId="1D160B7C">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0.53 </w:t>
            </w:r>
          </w:p>
        </w:tc>
        <w:tc>
          <w:tcPr>
            <w:tcW w:w="532" w:type="pct"/>
            <w:vAlign w:val="center"/>
          </w:tcPr>
          <w:p w14:paraId="71C3534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0.53 </w:t>
            </w:r>
          </w:p>
        </w:tc>
        <w:tc>
          <w:tcPr>
            <w:tcW w:w="532" w:type="pct"/>
            <w:vAlign w:val="center"/>
          </w:tcPr>
          <w:p w14:paraId="6D5EFD0C">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0.33 </w:t>
            </w:r>
          </w:p>
        </w:tc>
        <w:tc>
          <w:tcPr>
            <w:tcW w:w="529" w:type="pct"/>
            <w:vAlign w:val="center"/>
          </w:tcPr>
          <w:p w14:paraId="701E93FE">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0.27 </w:t>
            </w:r>
          </w:p>
        </w:tc>
        <w:tc>
          <w:tcPr>
            <w:tcW w:w="536" w:type="pct"/>
            <w:vAlign w:val="center"/>
          </w:tcPr>
          <w:p w14:paraId="3EDB1E8C">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r>
      <w:tr w14:paraId="5F706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0" w:type="pct"/>
            <w:vAlign w:val="center"/>
          </w:tcPr>
          <w:p w14:paraId="5535FBDD">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总硬度</w:t>
            </w:r>
          </w:p>
        </w:tc>
        <w:tc>
          <w:tcPr>
            <w:tcW w:w="585" w:type="pct"/>
            <w:vAlign w:val="center"/>
          </w:tcPr>
          <w:p w14:paraId="130C3656">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0.34 </w:t>
            </w:r>
          </w:p>
        </w:tc>
        <w:tc>
          <w:tcPr>
            <w:tcW w:w="584" w:type="pct"/>
            <w:vAlign w:val="center"/>
          </w:tcPr>
          <w:p w14:paraId="568D4E0B">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0.40 </w:t>
            </w:r>
          </w:p>
        </w:tc>
        <w:tc>
          <w:tcPr>
            <w:tcW w:w="531" w:type="pct"/>
            <w:vAlign w:val="center"/>
          </w:tcPr>
          <w:p w14:paraId="05F7DCCF">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0.34 </w:t>
            </w:r>
          </w:p>
        </w:tc>
        <w:tc>
          <w:tcPr>
            <w:tcW w:w="531" w:type="pct"/>
            <w:vAlign w:val="center"/>
          </w:tcPr>
          <w:p w14:paraId="10DE986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0.31 </w:t>
            </w:r>
          </w:p>
        </w:tc>
        <w:tc>
          <w:tcPr>
            <w:tcW w:w="532" w:type="pct"/>
            <w:vAlign w:val="center"/>
          </w:tcPr>
          <w:p w14:paraId="4688E7BB">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0.37 </w:t>
            </w:r>
          </w:p>
        </w:tc>
        <w:tc>
          <w:tcPr>
            <w:tcW w:w="532" w:type="pct"/>
            <w:vAlign w:val="center"/>
          </w:tcPr>
          <w:p w14:paraId="0D2EBBA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0.25 </w:t>
            </w:r>
          </w:p>
        </w:tc>
        <w:tc>
          <w:tcPr>
            <w:tcW w:w="529" w:type="pct"/>
            <w:vAlign w:val="center"/>
          </w:tcPr>
          <w:p w14:paraId="54E139B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0.27 </w:t>
            </w:r>
          </w:p>
        </w:tc>
        <w:tc>
          <w:tcPr>
            <w:tcW w:w="536" w:type="pct"/>
            <w:vAlign w:val="center"/>
          </w:tcPr>
          <w:p w14:paraId="7D2E55C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0.26 </w:t>
            </w:r>
          </w:p>
        </w:tc>
      </w:tr>
      <w:tr w14:paraId="0CDC9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0" w:type="pct"/>
            <w:vAlign w:val="center"/>
          </w:tcPr>
          <w:p w14:paraId="757C9881">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溶解性总固体</w:t>
            </w:r>
          </w:p>
        </w:tc>
        <w:tc>
          <w:tcPr>
            <w:tcW w:w="585" w:type="pct"/>
            <w:vAlign w:val="center"/>
          </w:tcPr>
          <w:p w14:paraId="47F393CF">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0.48 </w:t>
            </w:r>
          </w:p>
        </w:tc>
        <w:tc>
          <w:tcPr>
            <w:tcW w:w="584" w:type="pct"/>
            <w:vAlign w:val="center"/>
          </w:tcPr>
          <w:p w14:paraId="667A4B48">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0.56 </w:t>
            </w:r>
          </w:p>
        </w:tc>
        <w:tc>
          <w:tcPr>
            <w:tcW w:w="531" w:type="pct"/>
            <w:vAlign w:val="center"/>
          </w:tcPr>
          <w:p w14:paraId="7CA6F64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0.50 </w:t>
            </w:r>
          </w:p>
        </w:tc>
        <w:tc>
          <w:tcPr>
            <w:tcW w:w="531" w:type="pct"/>
            <w:vAlign w:val="center"/>
          </w:tcPr>
          <w:p w14:paraId="2C41E113">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0.45 </w:t>
            </w:r>
          </w:p>
        </w:tc>
        <w:tc>
          <w:tcPr>
            <w:tcW w:w="532" w:type="pct"/>
            <w:vAlign w:val="center"/>
          </w:tcPr>
          <w:p w14:paraId="7664581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0.53 </w:t>
            </w:r>
          </w:p>
        </w:tc>
        <w:tc>
          <w:tcPr>
            <w:tcW w:w="532" w:type="pct"/>
            <w:vAlign w:val="center"/>
          </w:tcPr>
          <w:p w14:paraId="02934691">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0.36 </w:t>
            </w:r>
          </w:p>
        </w:tc>
        <w:tc>
          <w:tcPr>
            <w:tcW w:w="529" w:type="pct"/>
            <w:vAlign w:val="center"/>
          </w:tcPr>
          <w:p w14:paraId="6706D9C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0.39 </w:t>
            </w:r>
          </w:p>
        </w:tc>
        <w:tc>
          <w:tcPr>
            <w:tcW w:w="536" w:type="pct"/>
            <w:vAlign w:val="center"/>
          </w:tcPr>
          <w:p w14:paraId="5099CA76">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0.38 </w:t>
            </w:r>
          </w:p>
        </w:tc>
      </w:tr>
      <w:tr w14:paraId="0A910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0" w:type="pct"/>
            <w:vAlign w:val="center"/>
          </w:tcPr>
          <w:p w14:paraId="060C0D0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耗氧量</w:t>
            </w:r>
          </w:p>
        </w:tc>
        <w:tc>
          <w:tcPr>
            <w:tcW w:w="585" w:type="pct"/>
            <w:vAlign w:val="center"/>
          </w:tcPr>
          <w:p w14:paraId="175B722C">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0.77 </w:t>
            </w:r>
          </w:p>
        </w:tc>
        <w:tc>
          <w:tcPr>
            <w:tcW w:w="584" w:type="pct"/>
            <w:vAlign w:val="center"/>
          </w:tcPr>
          <w:p w14:paraId="2A37CC2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0.67 </w:t>
            </w:r>
          </w:p>
        </w:tc>
        <w:tc>
          <w:tcPr>
            <w:tcW w:w="531" w:type="pct"/>
            <w:vAlign w:val="center"/>
          </w:tcPr>
          <w:p w14:paraId="39A03A5B">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0.73 </w:t>
            </w:r>
          </w:p>
        </w:tc>
        <w:tc>
          <w:tcPr>
            <w:tcW w:w="531" w:type="pct"/>
            <w:vAlign w:val="center"/>
          </w:tcPr>
          <w:p w14:paraId="52EB796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0.63 </w:t>
            </w:r>
          </w:p>
        </w:tc>
        <w:tc>
          <w:tcPr>
            <w:tcW w:w="532" w:type="pct"/>
            <w:vAlign w:val="center"/>
          </w:tcPr>
          <w:p w14:paraId="2E9CE458">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0.67 </w:t>
            </w:r>
          </w:p>
        </w:tc>
        <w:tc>
          <w:tcPr>
            <w:tcW w:w="532" w:type="pct"/>
            <w:vAlign w:val="center"/>
          </w:tcPr>
          <w:p w14:paraId="53F0D6D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0.53 </w:t>
            </w:r>
          </w:p>
        </w:tc>
        <w:tc>
          <w:tcPr>
            <w:tcW w:w="529" w:type="pct"/>
            <w:vAlign w:val="center"/>
          </w:tcPr>
          <w:p w14:paraId="596ECBE6">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0.60 </w:t>
            </w:r>
          </w:p>
        </w:tc>
        <w:tc>
          <w:tcPr>
            <w:tcW w:w="536" w:type="pct"/>
            <w:vAlign w:val="center"/>
          </w:tcPr>
          <w:p w14:paraId="06B2AF08">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0.57 </w:t>
            </w:r>
          </w:p>
        </w:tc>
      </w:tr>
      <w:tr w14:paraId="6EBFB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0" w:type="pct"/>
            <w:vAlign w:val="center"/>
          </w:tcPr>
          <w:p w14:paraId="7A0F25C8">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挥发性酚类</w:t>
            </w:r>
          </w:p>
        </w:tc>
        <w:tc>
          <w:tcPr>
            <w:tcW w:w="585" w:type="pct"/>
            <w:vAlign w:val="center"/>
          </w:tcPr>
          <w:p w14:paraId="32297061">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84" w:type="pct"/>
            <w:vAlign w:val="center"/>
          </w:tcPr>
          <w:p w14:paraId="7AC9037D">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1" w:type="pct"/>
            <w:vAlign w:val="center"/>
          </w:tcPr>
          <w:p w14:paraId="0C97D2D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1" w:type="pct"/>
            <w:vAlign w:val="center"/>
          </w:tcPr>
          <w:p w14:paraId="37804278">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2" w:type="pct"/>
            <w:vAlign w:val="center"/>
          </w:tcPr>
          <w:p w14:paraId="4E82D08E">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2" w:type="pct"/>
            <w:vAlign w:val="center"/>
          </w:tcPr>
          <w:p w14:paraId="0B87C50F">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29" w:type="pct"/>
            <w:vAlign w:val="center"/>
          </w:tcPr>
          <w:p w14:paraId="729F9262">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6" w:type="pct"/>
            <w:vAlign w:val="center"/>
          </w:tcPr>
          <w:p w14:paraId="3FB8E008">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r>
      <w:tr w14:paraId="05123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0" w:type="pct"/>
            <w:vAlign w:val="center"/>
          </w:tcPr>
          <w:p w14:paraId="4B61EFEE">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氰化物</w:t>
            </w:r>
          </w:p>
        </w:tc>
        <w:tc>
          <w:tcPr>
            <w:tcW w:w="585" w:type="pct"/>
            <w:vAlign w:val="center"/>
          </w:tcPr>
          <w:p w14:paraId="073E4E5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84" w:type="pct"/>
            <w:vAlign w:val="center"/>
          </w:tcPr>
          <w:p w14:paraId="7C4F062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1" w:type="pct"/>
            <w:vAlign w:val="center"/>
          </w:tcPr>
          <w:p w14:paraId="7EAC4E73">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1" w:type="pct"/>
            <w:vAlign w:val="center"/>
          </w:tcPr>
          <w:p w14:paraId="334A7FD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2" w:type="pct"/>
            <w:vAlign w:val="center"/>
          </w:tcPr>
          <w:p w14:paraId="4C177B3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2" w:type="pct"/>
            <w:vAlign w:val="center"/>
          </w:tcPr>
          <w:p w14:paraId="3BDF404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29" w:type="pct"/>
            <w:vAlign w:val="center"/>
          </w:tcPr>
          <w:p w14:paraId="7EB1C652">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6" w:type="pct"/>
            <w:vAlign w:val="center"/>
          </w:tcPr>
          <w:p w14:paraId="27C50D6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r>
      <w:tr w14:paraId="64BBD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0" w:type="pct"/>
            <w:vAlign w:val="center"/>
          </w:tcPr>
          <w:p w14:paraId="2629068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氟化物</w:t>
            </w:r>
          </w:p>
        </w:tc>
        <w:tc>
          <w:tcPr>
            <w:tcW w:w="585" w:type="pct"/>
            <w:vAlign w:val="center"/>
          </w:tcPr>
          <w:p w14:paraId="0EEC9708">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0.52 </w:t>
            </w:r>
          </w:p>
        </w:tc>
        <w:tc>
          <w:tcPr>
            <w:tcW w:w="584" w:type="pct"/>
            <w:vAlign w:val="center"/>
          </w:tcPr>
          <w:p w14:paraId="256AB88B">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0.58 </w:t>
            </w:r>
          </w:p>
        </w:tc>
        <w:tc>
          <w:tcPr>
            <w:tcW w:w="531" w:type="pct"/>
            <w:vAlign w:val="center"/>
          </w:tcPr>
          <w:p w14:paraId="0A366D8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0.49 </w:t>
            </w:r>
          </w:p>
        </w:tc>
        <w:tc>
          <w:tcPr>
            <w:tcW w:w="531" w:type="pct"/>
            <w:vAlign w:val="center"/>
          </w:tcPr>
          <w:p w14:paraId="6514EDB8">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0.52 </w:t>
            </w:r>
          </w:p>
        </w:tc>
        <w:tc>
          <w:tcPr>
            <w:tcW w:w="532" w:type="pct"/>
            <w:vAlign w:val="center"/>
          </w:tcPr>
          <w:p w14:paraId="6EF09A96">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0.55 </w:t>
            </w:r>
          </w:p>
        </w:tc>
        <w:tc>
          <w:tcPr>
            <w:tcW w:w="532" w:type="pct"/>
            <w:vAlign w:val="center"/>
          </w:tcPr>
          <w:p w14:paraId="1F67582B">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0.46 </w:t>
            </w:r>
          </w:p>
        </w:tc>
        <w:tc>
          <w:tcPr>
            <w:tcW w:w="529" w:type="pct"/>
            <w:vAlign w:val="center"/>
          </w:tcPr>
          <w:p w14:paraId="5AAE1DD8">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0.49 </w:t>
            </w:r>
          </w:p>
        </w:tc>
        <w:tc>
          <w:tcPr>
            <w:tcW w:w="536" w:type="pct"/>
            <w:vAlign w:val="center"/>
          </w:tcPr>
          <w:p w14:paraId="7C5E40A3">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0.48 </w:t>
            </w:r>
          </w:p>
        </w:tc>
      </w:tr>
      <w:tr w14:paraId="222CB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0" w:type="pct"/>
            <w:vAlign w:val="center"/>
          </w:tcPr>
          <w:p w14:paraId="156BFD6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硝酸盐</w:t>
            </w:r>
          </w:p>
        </w:tc>
        <w:tc>
          <w:tcPr>
            <w:tcW w:w="585" w:type="pct"/>
            <w:vAlign w:val="center"/>
          </w:tcPr>
          <w:p w14:paraId="6AE5771D">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0.12 </w:t>
            </w:r>
          </w:p>
        </w:tc>
        <w:tc>
          <w:tcPr>
            <w:tcW w:w="584" w:type="pct"/>
            <w:vAlign w:val="center"/>
          </w:tcPr>
          <w:p w14:paraId="001788CD">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0.10 </w:t>
            </w:r>
          </w:p>
        </w:tc>
        <w:tc>
          <w:tcPr>
            <w:tcW w:w="531" w:type="pct"/>
            <w:vAlign w:val="center"/>
          </w:tcPr>
          <w:p w14:paraId="21E7DE4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0.14 </w:t>
            </w:r>
          </w:p>
        </w:tc>
        <w:tc>
          <w:tcPr>
            <w:tcW w:w="531" w:type="pct"/>
            <w:vAlign w:val="center"/>
          </w:tcPr>
          <w:p w14:paraId="5747911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0.12 </w:t>
            </w:r>
          </w:p>
        </w:tc>
        <w:tc>
          <w:tcPr>
            <w:tcW w:w="532" w:type="pct"/>
            <w:vAlign w:val="center"/>
          </w:tcPr>
          <w:p w14:paraId="6F968036">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0.11 </w:t>
            </w:r>
          </w:p>
        </w:tc>
        <w:tc>
          <w:tcPr>
            <w:tcW w:w="532" w:type="pct"/>
            <w:vAlign w:val="center"/>
          </w:tcPr>
          <w:p w14:paraId="7BC19BC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0.09 </w:t>
            </w:r>
          </w:p>
        </w:tc>
        <w:tc>
          <w:tcPr>
            <w:tcW w:w="529" w:type="pct"/>
            <w:vAlign w:val="center"/>
          </w:tcPr>
          <w:p w14:paraId="4D827E1B">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0.09 </w:t>
            </w:r>
          </w:p>
        </w:tc>
        <w:tc>
          <w:tcPr>
            <w:tcW w:w="536" w:type="pct"/>
            <w:vAlign w:val="center"/>
          </w:tcPr>
          <w:p w14:paraId="7EBC8F4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0.09 </w:t>
            </w:r>
          </w:p>
        </w:tc>
      </w:tr>
      <w:tr w14:paraId="40FC1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0" w:type="pct"/>
            <w:vAlign w:val="center"/>
          </w:tcPr>
          <w:p w14:paraId="2876BD52">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亚硝酸盐</w:t>
            </w:r>
          </w:p>
        </w:tc>
        <w:tc>
          <w:tcPr>
            <w:tcW w:w="585" w:type="pct"/>
            <w:vAlign w:val="center"/>
          </w:tcPr>
          <w:p w14:paraId="6E49BF9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84" w:type="pct"/>
            <w:vAlign w:val="center"/>
          </w:tcPr>
          <w:p w14:paraId="1E47E4A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1" w:type="pct"/>
            <w:vAlign w:val="center"/>
          </w:tcPr>
          <w:p w14:paraId="471C1B4F">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1" w:type="pct"/>
            <w:vAlign w:val="center"/>
          </w:tcPr>
          <w:p w14:paraId="1C507F7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2" w:type="pct"/>
            <w:vAlign w:val="center"/>
          </w:tcPr>
          <w:p w14:paraId="5736C2EF">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2" w:type="pct"/>
            <w:vAlign w:val="center"/>
          </w:tcPr>
          <w:p w14:paraId="6AE12855">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29" w:type="pct"/>
            <w:vAlign w:val="center"/>
          </w:tcPr>
          <w:p w14:paraId="5AD5391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6" w:type="pct"/>
            <w:vAlign w:val="center"/>
          </w:tcPr>
          <w:p w14:paraId="6FC2953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r>
      <w:tr w14:paraId="39EBB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0" w:type="pct"/>
            <w:vAlign w:val="center"/>
          </w:tcPr>
          <w:p w14:paraId="22F3FCBB">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氨氮</w:t>
            </w:r>
          </w:p>
        </w:tc>
        <w:tc>
          <w:tcPr>
            <w:tcW w:w="585" w:type="pct"/>
            <w:vAlign w:val="center"/>
          </w:tcPr>
          <w:p w14:paraId="05334676">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0.46 </w:t>
            </w:r>
          </w:p>
        </w:tc>
        <w:tc>
          <w:tcPr>
            <w:tcW w:w="584" w:type="pct"/>
            <w:vAlign w:val="center"/>
          </w:tcPr>
          <w:p w14:paraId="1B22DD02">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0.39 </w:t>
            </w:r>
          </w:p>
        </w:tc>
        <w:tc>
          <w:tcPr>
            <w:tcW w:w="531" w:type="pct"/>
            <w:vAlign w:val="center"/>
          </w:tcPr>
          <w:p w14:paraId="23855BC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0.55 </w:t>
            </w:r>
          </w:p>
        </w:tc>
        <w:tc>
          <w:tcPr>
            <w:tcW w:w="531" w:type="pct"/>
            <w:vAlign w:val="center"/>
          </w:tcPr>
          <w:p w14:paraId="4E1F017D">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0.48 </w:t>
            </w:r>
          </w:p>
        </w:tc>
        <w:tc>
          <w:tcPr>
            <w:tcW w:w="532" w:type="pct"/>
            <w:vAlign w:val="center"/>
          </w:tcPr>
          <w:p w14:paraId="1688FF9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0.45 </w:t>
            </w:r>
          </w:p>
        </w:tc>
        <w:tc>
          <w:tcPr>
            <w:tcW w:w="532" w:type="pct"/>
            <w:vAlign w:val="center"/>
          </w:tcPr>
          <w:p w14:paraId="20C1FBE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0.33 </w:t>
            </w:r>
          </w:p>
        </w:tc>
        <w:tc>
          <w:tcPr>
            <w:tcW w:w="529" w:type="pct"/>
            <w:vAlign w:val="center"/>
          </w:tcPr>
          <w:p w14:paraId="4CE9A1A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0.36 </w:t>
            </w:r>
          </w:p>
        </w:tc>
        <w:tc>
          <w:tcPr>
            <w:tcW w:w="536" w:type="pct"/>
            <w:vAlign w:val="center"/>
          </w:tcPr>
          <w:p w14:paraId="7F6FFE9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0.34 </w:t>
            </w:r>
          </w:p>
        </w:tc>
      </w:tr>
      <w:tr w14:paraId="794F3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0" w:type="pct"/>
            <w:vAlign w:val="center"/>
          </w:tcPr>
          <w:p w14:paraId="236F94A2">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六价铬</w:t>
            </w:r>
          </w:p>
        </w:tc>
        <w:tc>
          <w:tcPr>
            <w:tcW w:w="585" w:type="pct"/>
            <w:vAlign w:val="center"/>
          </w:tcPr>
          <w:p w14:paraId="0AA5BF9B">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84" w:type="pct"/>
            <w:vAlign w:val="center"/>
          </w:tcPr>
          <w:p w14:paraId="13B44BFE">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1" w:type="pct"/>
            <w:vAlign w:val="center"/>
          </w:tcPr>
          <w:p w14:paraId="06D408F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1" w:type="pct"/>
            <w:vAlign w:val="center"/>
          </w:tcPr>
          <w:p w14:paraId="0F68E6B1">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2" w:type="pct"/>
            <w:vAlign w:val="center"/>
          </w:tcPr>
          <w:p w14:paraId="4666CA8C">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2" w:type="pct"/>
            <w:vAlign w:val="center"/>
          </w:tcPr>
          <w:p w14:paraId="70754A2D">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29" w:type="pct"/>
            <w:vAlign w:val="center"/>
          </w:tcPr>
          <w:p w14:paraId="5EABA113">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6" w:type="pct"/>
            <w:vAlign w:val="center"/>
          </w:tcPr>
          <w:p w14:paraId="0F1372B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r>
      <w:tr w14:paraId="24791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0" w:type="pct"/>
            <w:vAlign w:val="center"/>
          </w:tcPr>
          <w:p w14:paraId="6E43598E">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砷</w:t>
            </w:r>
          </w:p>
        </w:tc>
        <w:tc>
          <w:tcPr>
            <w:tcW w:w="585" w:type="pct"/>
            <w:vAlign w:val="center"/>
          </w:tcPr>
          <w:p w14:paraId="28CF8BB5">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84" w:type="pct"/>
            <w:vAlign w:val="center"/>
          </w:tcPr>
          <w:p w14:paraId="3D2F609E">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1" w:type="pct"/>
            <w:vAlign w:val="center"/>
          </w:tcPr>
          <w:p w14:paraId="5D9A5A46">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1" w:type="pct"/>
            <w:vAlign w:val="center"/>
          </w:tcPr>
          <w:p w14:paraId="05861736">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2" w:type="pct"/>
            <w:vAlign w:val="center"/>
          </w:tcPr>
          <w:p w14:paraId="043515B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2" w:type="pct"/>
            <w:vAlign w:val="center"/>
          </w:tcPr>
          <w:p w14:paraId="038DB4B8">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29" w:type="pct"/>
            <w:vAlign w:val="center"/>
          </w:tcPr>
          <w:p w14:paraId="6E5A97A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6" w:type="pct"/>
            <w:vAlign w:val="center"/>
          </w:tcPr>
          <w:p w14:paraId="410C048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r>
      <w:tr w14:paraId="659D2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0" w:type="pct"/>
            <w:vAlign w:val="center"/>
          </w:tcPr>
          <w:p w14:paraId="5573D28E">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铅</w:t>
            </w:r>
          </w:p>
        </w:tc>
        <w:tc>
          <w:tcPr>
            <w:tcW w:w="585" w:type="pct"/>
            <w:vAlign w:val="center"/>
          </w:tcPr>
          <w:p w14:paraId="57617C95">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84" w:type="pct"/>
            <w:vAlign w:val="center"/>
          </w:tcPr>
          <w:p w14:paraId="51F548A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1" w:type="pct"/>
            <w:vAlign w:val="center"/>
          </w:tcPr>
          <w:p w14:paraId="49F1176B">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1" w:type="pct"/>
            <w:vAlign w:val="center"/>
          </w:tcPr>
          <w:p w14:paraId="411C3B2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2" w:type="pct"/>
            <w:vAlign w:val="center"/>
          </w:tcPr>
          <w:p w14:paraId="7316852F">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2" w:type="pct"/>
            <w:vAlign w:val="center"/>
          </w:tcPr>
          <w:p w14:paraId="42004E7D">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29" w:type="pct"/>
            <w:vAlign w:val="center"/>
          </w:tcPr>
          <w:p w14:paraId="20CFF95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6" w:type="pct"/>
            <w:vAlign w:val="center"/>
          </w:tcPr>
          <w:p w14:paraId="261612D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r>
      <w:tr w14:paraId="732F9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0" w:type="pct"/>
            <w:vAlign w:val="center"/>
          </w:tcPr>
          <w:p w14:paraId="5A384591">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铁</w:t>
            </w:r>
          </w:p>
        </w:tc>
        <w:tc>
          <w:tcPr>
            <w:tcW w:w="585" w:type="pct"/>
            <w:vAlign w:val="center"/>
          </w:tcPr>
          <w:p w14:paraId="3BD1B9F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0.93 </w:t>
            </w:r>
          </w:p>
        </w:tc>
        <w:tc>
          <w:tcPr>
            <w:tcW w:w="584" w:type="pct"/>
            <w:vAlign w:val="center"/>
          </w:tcPr>
          <w:p w14:paraId="77D84751">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0.87 </w:t>
            </w:r>
          </w:p>
        </w:tc>
        <w:tc>
          <w:tcPr>
            <w:tcW w:w="531" w:type="pct"/>
            <w:vAlign w:val="center"/>
          </w:tcPr>
          <w:p w14:paraId="3F34E1A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0.87 </w:t>
            </w:r>
          </w:p>
        </w:tc>
        <w:tc>
          <w:tcPr>
            <w:tcW w:w="531" w:type="pct"/>
            <w:vAlign w:val="center"/>
          </w:tcPr>
          <w:p w14:paraId="6AC21EAE">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0.90 </w:t>
            </w:r>
          </w:p>
        </w:tc>
        <w:tc>
          <w:tcPr>
            <w:tcW w:w="532" w:type="pct"/>
            <w:vAlign w:val="center"/>
          </w:tcPr>
          <w:p w14:paraId="341FF6F1">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0.93 </w:t>
            </w:r>
          </w:p>
        </w:tc>
        <w:tc>
          <w:tcPr>
            <w:tcW w:w="532" w:type="pct"/>
            <w:vAlign w:val="center"/>
          </w:tcPr>
          <w:p w14:paraId="49514D72">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0.73 </w:t>
            </w:r>
          </w:p>
        </w:tc>
        <w:tc>
          <w:tcPr>
            <w:tcW w:w="529" w:type="pct"/>
            <w:vAlign w:val="center"/>
          </w:tcPr>
          <w:p w14:paraId="4F14FCB5">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0.80 </w:t>
            </w:r>
          </w:p>
        </w:tc>
        <w:tc>
          <w:tcPr>
            <w:tcW w:w="536" w:type="pct"/>
            <w:vAlign w:val="center"/>
          </w:tcPr>
          <w:p w14:paraId="518B2156">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0.70 </w:t>
            </w:r>
          </w:p>
        </w:tc>
      </w:tr>
      <w:tr w14:paraId="38C7C1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0" w:type="pct"/>
            <w:vAlign w:val="center"/>
          </w:tcPr>
          <w:p w14:paraId="034CD11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汞</w:t>
            </w:r>
          </w:p>
        </w:tc>
        <w:tc>
          <w:tcPr>
            <w:tcW w:w="585" w:type="pct"/>
            <w:vAlign w:val="center"/>
          </w:tcPr>
          <w:p w14:paraId="34FD146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84" w:type="pct"/>
            <w:vAlign w:val="center"/>
          </w:tcPr>
          <w:p w14:paraId="6C037E3E">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1" w:type="pct"/>
            <w:vAlign w:val="center"/>
          </w:tcPr>
          <w:p w14:paraId="5D0EF96C">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1" w:type="pct"/>
            <w:vAlign w:val="center"/>
          </w:tcPr>
          <w:p w14:paraId="2283897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2" w:type="pct"/>
            <w:vAlign w:val="center"/>
          </w:tcPr>
          <w:p w14:paraId="2B3D5CEB">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2" w:type="pct"/>
            <w:vAlign w:val="center"/>
          </w:tcPr>
          <w:p w14:paraId="6C22702C">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29" w:type="pct"/>
            <w:vAlign w:val="center"/>
          </w:tcPr>
          <w:p w14:paraId="003628CC">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6" w:type="pct"/>
            <w:vAlign w:val="center"/>
          </w:tcPr>
          <w:p w14:paraId="22CF40C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r>
      <w:tr w14:paraId="48A37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0" w:type="pct"/>
            <w:vAlign w:val="center"/>
          </w:tcPr>
          <w:p w14:paraId="624F5A6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锰</w:t>
            </w:r>
          </w:p>
        </w:tc>
        <w:tc>
          <w:tcPr>
            <w:tcW w:w="585" w:type="pct"/>
            <w:vAlign w:val="center"/>
          </w:tcPr>
          <w:p w14:paraId="194AEDF8">
            <w:pPr>
              <w:widowControl/>
              <w:autoSpaceDE/>
              <w:autoSpaceDN/>
              <w:adjustRightInd w:val="0"/>
              <w:snapToGrid w:val="0"/>
              <w:jc w:val="center"/>
              <w:rPr>
                <w:rFonts w:ascii="Times New Roman" w:hAnsi="Times New Roman" w:cs="Times New Roman" w:eastAsiaTheme="minorEastAsia"/>
                <w:b/>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1"/>
                <w:szCs w:val="21"/>
                <w:lang w:val="en-US" w:bidi="ar-SA"/>
                <w14:textFill>
                  <w14:solidFill>
                    <w14:schemeClr w14:val="tx1"/>
                  </w14:solidFill>
                </w14:textFill>
              </w:rPr>
              <w:t xml:space="preserve">1.20 </w:t>
            </w:r>
          </w:p>
        </w:tc>
        <w:tc>
          <w:tcPr>
            <w:tcW w:w="584" w:type="pct"/>
            <w:vAlign w:val="center"/>
          </w:tcPr>
          <w:p w14:paraId="6A97F571">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0.80 </w:t>
            </w:r>
          </w:p>
        </w:tc>
        <w:tc>
          <w:tcPr>
            <w:tcW w:w="531" w:type="pct"/>
            <w:vAlign w:val="center"/>
          </w:tcPr>
          <w:p w14:paraId="62AFF2A6">
            <w:pPr>
              <w:widowControl/>
              <w:autoSpaceDE/>
              <w:autoSpaceDN/>
              <w:adjustRightInd w:val="0"/>
              <w:snapToGrid w:val="0"/>
              <w:jc w:val="center"/>
              <w:rPr>
                <w:rFonts w:ascii="Times New Roman" w:hAnsi="Times New Roman" w:cs="Times New Roman" w:eastAsiaTheme="minorEastAsia"/>
                <w:b/>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1"/>
                <w:szCs w:val="21"/>
                <w:lang w:val="en-US" w:bidi="ar-SA"/>
                <w14:textFill>
                  <w14:solidFill>
                    <w14:schemeClr w14:val="tx1"/>
                  </w14:solidFill>
                </w14:textFill>
              </w:rPr>
              <w:t xml:space="preserve">1.30 </w:t>
            </w:r>
          </w:p>
        </w:tc>
        <w:tc>
          <w:tcPr>
            <w:tcW w:w="531" w:type="pct"/>
            <w:vAlign w:val="center"/>
          </w:tcPr>
          <w:p w14:paraId="12FCBB26">
            <w:pPr>
              <w:widowControl/>
              <w:autoSpaceDE/>
              <w:autoSpaceDN/>
              <w:adjustRightInd w:val="0"/>
              <w:snapToGrid w:val="0"/>
              <w:jc w:val="center"/>
              <w:rPr>
                <w:rFonts w:ascii="Times New Roman" w:hAnsi="Times New Roman" w:cs="Times New Roman" w:eastAsiaTheme="minorEastAsia"/>
                <w:b/>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1"/>
                <w:szCs w:val="21"/>
                <w:lang w:val="en-US" w:bidi="ar-SA"/>
                <w14:textFill>
                  <w14:solidFill>
                    <w14:schemeClr w14:val="tx1"/>
                  </w14:solidFill>
                </w14:textFill>
              </w:rPr>
              <w:t xml:space="preserve">1.20 </w:t>
            </w:r>
          </w:p>
        </w:tc>
        <w:tc>
          <w:tcPr>
            <w:tcW w:w="532" w:type="pct"/>
            <w:vAlign w:val="center"/>
          </w:tcPr>
          <w:p w14:paraId="04A4696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0.90 </w:t>
            </w:r>
          </w:p>
        </w:tc>
        <w:tc>
          <w:tcPr>
            <w:tcW w:w="532" w:type="pct"/>
            <w:vAlign w:val="center"/>
          </w:tcPr>
          <w:p w14:paraId="326CBB5C">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0.30 </w:t>
            </w:r>
          </w:p>
        </w:tc>
        <w:tc>
          <w:tcPr>
            <w:tcW w:w="529" w:type="pct"/>
            <w:vAlign w:val="center"/>
          </w:tcPr>
          <w:p w14:paraId="105C8693">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0.40 </w:t>
            </w:r>
          </w:p>
        </w:tc>
        <w:tc>
          <w:tcPr>
            <w:tcW w:w="536" w:type="pct"/>
            <w:vAlign w:val="center"/>
          </w:tcPr>
          <w:p w14:paraId="543EF36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0.50 </w:t>
            </w:r>
          </w:p>
        </w:tc>
      </w:tr>
      <w:tr w14:paraId="4AEEA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0" w:type="pct"/>
            <w:vAlign w:val="center"/>
          </w:tcPr>
          <w:p w14:paraId="4293538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镉</w:t>
            </w:r>
          </w:p>
        </w:tc>
        <w:tc>
          <w:tcPr>
            <w:tcW w:w="585" w:type="pct"/>
            <w:vAlign w:val="center"/>
          </w:tcPr>
          <w:p w14:paraId="28F88F4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84" w:type="pct"/>
            <w:vAlign w:val="center"/>
          </w:tcPr>
          <w:p w14:paraId="629D6ED5">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1" w:type="pct"/>
            <w:vAlign w:val="center"/>
          </w:tcPr>
          <w:p w14:paraId="4CB1CBA0">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1" w:type="pct"/>
            <w:vAlign w:val="center"/>
          </w:tcPr>
          <w:p w14:paraId="5BDDA8B1">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2" w:type="pct"/>
            <w:vAlign w:val="center"/>
          </w:tcPr>
          <w:p w14:paraId="619D79E5">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2" w:type="pct"/>
            <w:vAlign w:val="center"/>
          </w:tcPr>
          <w:p w14:paraId="715A401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29" w:type="pct"/>
            <w:vAlign w:val="center"/>
          </w:tcPr>
          <w:p w14:paraId="2E59ED3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6" w:type="pct"/>
            <w:vAlign w:val="center"/>
          </w:tcPr>
          <w:p w14:paraId="0514E646">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r>
      <w:tr w14:paraId="6F981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0" w:type="pct"/>
            <w:vAlign w:val="center"/>
          </w:tcPr>
          <w:p w14:paraId="4029F248">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石油类</w:t>
            </w:r>
          </w:p>
        </w:tc>
        <w:tc>
          <w:tcPr>
            <w:tcW w:w="585" w:type="pct"/>
            <w:vAlign w:val="center"/>
          </w:tcPr>
          <w:p w14:paraId="244092F1">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84" w:type="pct"/>
            <w:vAlign w:val="center"/>
          </w:tcPr>
          <w:p w14:paraId="5C51F8C6">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1" w:type="pct"/>
            <w:vAlign w:val="center"/>
          </w:tcPr>
          <w:p w14:paraId="4FC199DF">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1" w:type="pct"/>
            <w:vAlign w:val="center"/>
          </w:tcPr>
          <w:p w14:paraId="5138E6F6">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2" w:type="pct"/>
            <w:vAlign w:val="center"/>
          </w:tcPr>
          <w:p w14:paraId="0F015B3D">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2" w:type="pct"/>
            <w:vAlign w:val="center"/>
          </w:tcPr>
          <w:p w14:paraId="4215EDE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29" w:type="pct"/>
            <w:vAlign w:val="center"/>
          </w:tcPr>
          <w:p w14:paraId="5E54A05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6" w:type="pct"/>
            <w:vAlign w:val="center"/>
          </w:tcPr>
          <w:p w14:paraId="6B48810D">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r>
      <w:tr w14:paraId="18B2C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0" w:type="pct"/>
            <w:vAlign w:val="center"/>
          </w:tcPr>
          <w:p w14:paraId="390D787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总大肠菌群</w:t>
            </w:r>
          </w:p>
        </w:tc>
        <w:tc>
          <w:tcPr>
            <w:tcW w:w="585" w:type="pct"/>
            <w:vAlign w:val="center"/>
          </w:tcPr>
          <w:p w14:paraId="54D2C9A3">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84" w:type="pct"/>
            <w:vAlign w:val="center"/>
          </w:tcPr>
          <w:p w14:paraId="358E67B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1" w:type="pct"/>
            <w:vAlign w:val="center"/>
          </w:tcPr>
          <w:p w14:paraId="332D370A">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1" w:type="pct"/>
            <w:vAlign w:val="center"/>
          </w:tcPr>
          <w:p w14:paraId="68A53B85">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2" w:type="pct"/>
            <w:vAlign w:val="center"/>
          </w:tcPr>
          <w:p w14:paraId="25E942B2">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2" w:type="pct"/>
            <w:vAlign w:val="center"/>
          </w:tcPr>
          <w:p w14:paraId="00B0774B">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29" w:type="pct"/>
            <w:vAlign w:val="center"/>
          </w:tcPr>
          <w:p w14:paraId="0CDD1672">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536" w:type="pct"/>
            <w:vAlign w:val="center"/>
          </w:tcPr>
          <w:p w14:paraId="27A96062">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r>
      <w:tr w14:paraId="54094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0" w:type="pct"/>
            <w:vAlign w:val="center"/>
          </w:tcPr>
          <w:p w14:paraId="1EAD08AF">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菌落总数</w:t>
            </w:r>
          </w:p>
        </w:tc>
        <w:tc>
          <w:tcPr>
            <w:tcW w:w="585" w:type="pct"/>
            <w:vAlign w:val="center"/>
          </w:tcPr>
          <w:p w14:paraId="6F32E0C6">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0.10 </w:t>
            </w:r>
          </w:p>
        </w:tc>
        <w:tc>
          <w:tcPr>
            <w:tcW w:w="584" w:type="pct"/>
            <w:vAlign w:val="center"/>
          </w:tcPr>
          <w:p w14:paraId="0DE60129">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0.12 </w:t>
            </w:r>
          </w:p>
        </w:tc>
        <w:tc>
          <w:tcPr>
            <w:tcW w:w="531" w:type="pct"/>
            <w:vAlign w:val="center"/>
          </w:tcPr>
          <w:p w14:paraId="4BC72915">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0.11 </w:t>
            </w:r>
          </w:p>
        </w:tc>
        <w:tc>
          <w:tcPr>
            <w:tcW w:w="531" w:type="pct"/>
            <w:vAlign w:val="center"/>
          </w:tcPr>
          <w:p w14:paraId="327FE465">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0.13 </w:t>
            </w:r>
          </w:p>
        </w:tc>
        <w:tc>
          <w:tcPr>
            <w:tcW w:w="532" w:type="pct"/>
            <w:vAlign w:val="center"/>
          </w:tcPr>
          <w:p w14:paraId="6F69C16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0.10 </w:t>
            </w:r>
          </w:p>
        </w:tc>
        <w:tc>
          <w:tcPr>
            <w:tcW w:w="532" w:type="pct"/>
            <w:vAlign w:val="center"/>
          </w:tcPr>
          <w:p w14:paraId="472D1D34">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0.08 </w:t>
            </w:r>
          </w:p>
        </w:tc>
        <w:tc>
          <w:tcPr>
            <w:tcW w:w="529" w:type="pct"/>
            <w:vAlign w:val="center"/>
          </w:tcPr>
          <w:p w14:paraId="28C621BE">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0.09 </w:t>
            </w:r>
          </w:p>
        </w:tc>
        <w:tc>
          <w:tcPr>
            <w:tcW w:w="536" w:type="pct"/>
            <w:vAlign w:val="center"/>
          </w:tcPr>
          <w:p w14:paraId="58B5D837">
            <w:pPr>
              <w:widowControl/>
              <w:autoSpaceDE/>
              <w:autoSpaceDN/>
              <w:adjustRightInd w:val="0"/>
              <w:snapToGrid w:val="0"/>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0.07 </w:t>
            </w:r>
          </w:p>
        </w:tc>
      </w:tr>
    </w:tbl>
    <w:p w14:paraId="02B45532">
      <w:pPr>
        <w:autoSpaceDE/>
        <w:autoSpaceDN/>
        <w:spacing w:line="440" w:lineRule="exact"/>
        <w:ind w:firstLine="474" w:firstLineChars="200"/>
        <w:jc w:val="both"/>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由以上地下水单因子标准指数分析可知，评价区域地下水水质除锰外均满足《地下水质量标准》（GB/T148488-2017）中的Ⅲ类标准要求，石油类满足《地表水环境质量标准》（GB3838-2002）Ⅲ类标准。其中锰因子水质监测浓度占标率偏高，主要是由于评价区域地层中富含锰矿物，还原条件下转化的Mn</w:t>
      </w:r>
      <w:r>
        <w:rPr>
          <w:rFonts w:ascii="Times New Roman" w:hAnsi="Times New Roman" w:cs="Times New Roman" w:eastAsiaTheme="minorEastAsia"/>
          <w:color w:val="000000" w:themeColor="text1"/>
          <w:w w:val="99"/>
          <w:kern w:val="21"/>
          <w:sz w:val="24"/>
          <w:szCs w:val="24"/>
          <w:vertAlign w:val="superscript"/>
          <w:lang w:val="en-US" w:bidi="ar-SA"/>
          <w14:textFill>
            <w14:solidFill>
              <w14:schemeClr w14:val="tx1"/>
            </w14:solidFill>
          </w14:textFill>
        </w:rPr>
        <w:t>2+</w:t>
      </w: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在CO</w:t>
      </w:r>
      <w:r>
        <w:rPr>
          <w:rFonts w:ascii="Times New Roman" w:hAnsi="Times New Roman" w:cs="Times New Roman" w:eastAsiaTheme="minorEastAsia"/>
          <w:color w:val="000000" w:themeColor="text1"/>
          <w:w w:val="99"/>
          <w:kern w:val="21"/>
          <w:sz w:val="24"/>
          <w:szCs w:val="24"/>
          <w:vertAlign w:val="subscript"/>
          <w:lang w:val="en-US" w:bidi="ar-SA"/>
          <w14:textFill>
            <w14:solidFill>
              <w14:schemeClr w14:val="tx1"/>
            </w14:solidFill>
          </w14:textFill>
        </w:rPr>
        <w:t>2</w:t>
      </w: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作用下溶入地下水中，形成锰浓度偏高的水文地质化学环境。</w:t>
      </w:r>
    </w:p>
    <w:p w14:paraId="5B3517CF">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（4）区域地下承压水化学类型分析</w:t>
      </w:r>
    </w:p>
    <w:p w14:paraId="1EDF4655">
      <w:pPr>
        <w:autoSpaceDE/>
        <w:autoSpaceDN/>
        <w:spacing w:line="440" w:lineRule="exact"/>
        <w:ind w:firstLine="474" w:firstLineChars="200"/>
        <w:rPr>
          <w:rFonts w:ascii="Times New Roman" w:hAnsi="Times New Roman" w:cs="Times New Roman" w:eastAsiaTheme="minorEastAsia"/>
          <w:color w:val="000000" w:themeColor="text1"/>
          <w:w w:val="99"/>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0"/>
          <w:lang w:val="en-US" w:bidi="ar-SA"/>
          <w14:textFill>
            <w14:solidFill>
              <w14:schemeClr w14:val="tx1"/>
            </w14:solidFill>
          </w14:textFill>
        </w:rPr>
        <w:t>根据舒卡列夫分类法，按地下水中Ca</w:t>
      </w:r>
      <w:r>
        <w:rPr>
          <w:rFonts w:ascii="Times New Roman" w:hAnsi="Times New Roman" w:cs="Times New Roman" w:eastAsiaTheme="minorEastAsia"/>
          <w:color w:val="000000" w:themeColor="text1"/>
          <w:w w:val="99"/>
          <w:sz w:val="24"/>
          <w:szCs w:val="20"/>
          <w:vertAlign w:val="superscript"/>
          <w:lang w:val="en-US" w:bidi="ar-SA"/>
          <w14:textFill>
            <w14:solidFill>
              <w14:schemeClr w14:val="tx1"/>
            </w14:solidFill>
          </w14:textFill>
        </w:rPr>
        <w:t>2+</w:t>
      </w:r>
      <w:r>
        <w:rPr>
          <w:rFonts w:ascii="Times New Roman" w:hAnsi="Times New Roman" w:cs="Times New Roman" w:eastAsiaTheme="minorEastAsia"/>
          <w:color w:val="000000" w:themeColor="text1"/>
          <w:w w:val="99"/>
          <w:sz w:val="24"/>
          <w:szCs w:val="20"/>
          <w:lang w:val="en-US" w:bidi="ar-SA"/>
          <w14:textFill>
            <w14:solidFill>
              <w14:schemeClr w14:val="tx1"/>
            </w14:solidFill>
          </w14:textFill>
        </w:rPr>
        <w:t>、Mg</w:t>
      </w:r>
      <w:r>
        <w:rPr>
          <w:rFonts w:ascii="Times New Roman" w:hAnsi="Times New Roman" w:cs="Times New Roman" w:eastAsiaTheme="minorEastAsia"/>
          <w:color w:val="000000" w:themeColor="text1"/>
          <w:w w:val="99"/>
          <w:sz w:val="24"/>
          <w:szCs w:val="20"/>
          <w:vertAlign w:val="superscript"/>
          <w:lang w:val="en-US" w:bidi="ar-SA"/>
          <w14:textFill>
            <w14:solidFill>
              <w14:schemeClr w14:val="tx1"/>
            </w14:solidFill>
          </w14:textFill>
        </w:rPr>
        <w:t>2+</w:t>
      </w:r>
      <w:r>
        <w:rPr>
          <w:rFonts w:ascii="Times New Roman" w:hAnsi="Times New Roman" w:cs="Times New Roman" w:eastAsiaTheme="minorEastAsia"/>
          <w:color w:val="000000" w:themeColor="text1"/>
          <w:w w:val="99"/>
          <w:sz w:val="24"/>
          <w:szCs w:val="20"/>
          <w:lang w:val="en-US" w:bidi="ar-SA"/>
          <w14:textFill>
            <w14:solidFill>
              <w14:schemeClr w14:val="tx1"/>
            </w14:solidFill>
          </w14:textFill>
        </w:rPr>
        <w:t>、Na</w:t>
      </w:r>
      <w:r>
        <w:rPr>
          <w:rFonts w:ascii="Times New Roman" w:hAnsi="Times New Roman" w:cs="Times New Roman" w:eastAsiaTheme="minorEastAsia"/>
          <w:color w:val="000000" w:themeColor="text1"/>
          <w:w w:val="99"/>
          <w:sz w:val="24"/>
          <w:szCs w:val="20"/>
          <w:vertAlign w:val="superscript"/>
          <w:lang w:val="en-US" w:bidi="ar-SA"/>
          <w14:textFill>
            <w14:solidFill>
              <w14:schemeClr w14:val="tx1"/>
            </w14:solidFill>
          </w14:textFill>
        </w:rPr>
        <w:t>+</w:t>
      </w:r>
      <w:r>
        <w:rPr>
          <w:rFonts w:ascii="Times New Roman" w:hAnsi="Times New Roman" w:cs="Times New Roman" w:eastAsiaTheme="minorEastAsia"/>
          <w:color w:val="000000" w:themeColor="text1"/>
          <w:w w:val="99"/>
          <w:sz w:val="24"/>
          <w:szCs w:val="20"/>
          <w:lang w:val="en-US" w:bidi="ar-SA"/>
          <w14:textFill>
            <w14:solidFill>
              <w14:schemeClr w14:val="tx1"/>
            </w14:solidFill>
          </w14:textFill>
        </w:rPr>
        <w:t>、K</w:t>
      </w:r>
      <w:r>
        <w:rPr>
          <w:rFonts w:ascii="Times New Roman" w:hAnsi="Times New Roman" w:cs="Times New Roman" w:eastAsiaTheme="minorEastAsia"/>
          <w:color w:val="000000" w:themeColor="text1"/>
          <w:w w:val="99"/>
          <w:sz w:val="24"/>
          <w:szCs w:val="20"/>
          <w:vertAlign w:val="superscript"/>
          <w:lang w:val="en-US" w:bidi="ar-SA"/>
          <w14:textFill>
            <w14:solidFill>
              <w14:schemeClr w14:val="tx1"/>
            </w14:solidFill>
          </w14:textFill>
        </w:rPr>
        <w:t>+</w:t>
      </w:r>
      <w:r>
        <w:rPr>
          <w:rFonts w:ascii="Times New Roman" w:hAnsi="Times New Roman" w:cs="Times New Roman" w:eastAsiaTheme="minorEastAsia"/>
          <w:color w:val="000000" w:themeColor="text1"/>
          <w:w w:val="99"/>
          <w:sz w:val="24"/>
          <w:szCs w:val="20"/>
          <w:lang w:val="en-US" w:bidi="ar-SA"/>
          <w14:textFill>
            <w14:solidFill>
              <w14:schemeClr w14:val="tx1"/>
            </w14:solidFill>
          </w14:textFill>
        </w:rPr>
        <w:t>、Cl</w:t>
      </w:r>
      <w:r>
        <w:rPr>
          <w:rFonts w:ascii="Times New Roman" w:hAnsi="Times New Roman" w:cs="Times New Roman" w:eastAsiaTheme="minorEastAsia"/>
          <w:color w:val="000000" w:themeColor="text1"/>
          <w:w w:val="99"/>
          <w:sz w:val="24"/>
          <w:szCs w:val="20"/>
          <w:vertAlign w:val="superscript"/>
          <w:lang w:val="en-US" w:bidi="ar-SA"/>
          <w14:textFill>
            <w14:solidFill>
              <w14:schemeClr w14:val="tx1"/>
            </w14:solidFill>
          </w14:textFill>
        </w:rPr>
        <w:t>-</w:t>
      </w:r>
      <w:r>
        <w:rPr>
          <w:rFonts w:ascii="Times New Roman" w:hAnsi="Times New Roman" w:cs="Times New Roman" w:eastAsiaTheme="minorEastAsia"/>
          <w:color w:val="000000" w:themeColor="text1"/>
          <w:w w:val="99"/>
          <w:sz w:val="24"/>
          <w:szCs w:val="20"/>
          <w:lang w:val="en-US" w:bidi="ar-SA"/>
          <w14:textFill>
            <w14:solidFill>
              <w14:schemeClr w14:val="tx1"/>
            </w14:solidFill>
          </w14:textFill>
        </w:rPr>
        <w:t>、SO</w:t>
      </w:r>
      <w:r>
        <w:rPr>
          <w:rFonts w:ascii="Times New Roman" w:hAnsi="Times New Roman" w:cs="Times New Roman" w:eastAsiaTheme="minorEastAsia"/>
          <w:color w:val="000000" w:themeColor="text1"/>
          <w:w w:val="99"/>
          <w:sz w:val="24"/>
          <w:szCs w:val="20"/>
          <w:vertAlign w:val="subscript"/>
          <w:lang w:val="en-US" w:bidi="ar-SA"/>
          <w14:textFill>
            <w14:solidFill>
              <w14:schemeClr w14:val="tx1"/>
            </w14:solidFill>
          </w14:textFill>
        </w:rPr>
        <w:t>4</w:t>
      </w:r>
      <w:r>
        <w:rPr>
          <w:rFonts w:ascii="Times New Roman" w:hAnsi="Times New Roman" w:cs="Times New Roman" w:eastAsiaTheme="minorEastAsia"/>
          <w:color w:val="000000" w:themeColor="text1"/>
          <w:w w:val="99"/>
          <w:sz w:val="24"/>
          <w:szCs w:val="20"/>
          <w:vertAlign w:val="superscript"/>
          <w:lang w:val="en-US" w:bidi="ar-SA"/>
          <w14:textFill>
            <w14:solidFill>
              <w14:schemeClr w14:val="tx1"/>
            </w14:solidFill>
          </w14:textFill>
        </w:rPr>
        <w:t>2-</w:t>
      </w:r>
      <w:r>
        <w:rPr>
          <w:rFonts w:ascii="Times New Roman" w:hAnsi="Times New Roman" w:cs="Times New Roman" w:eastAsiaTheme="minorEastAsia"/>
          <w:color w:val="000000" w:themeColor="text1"/>
          <w:w w:val="99"/>
          <w:sz w:val="24"/>
          <w:szCs w:val="20"/>
          <w:lang w:val="en-US" w:bidi="ar-SA"/>
          <w14:textFill>
            <w14:solidFill>
              <w14:schemeClr w14:val="tx1"/>
            </w14:solidFill>
          </w14:textFill>
        </w:rPr>
        <w:t>、HCO</w:t>
      </w:r>
      <w:r>
        <w:rPr>
          <w:rFonts w:ascii="Times New Roman" w:hAnsi="Times New Roman" w:cs="Times New Roman" w:eastAsiaTheme="minorEastAsia"/>
          <w:color w:val="000000" w:themeColor="text1"/>
          <w:w w:val="99"/>
          <w:sz w:val="24"/>
          <w:szCs w:val="20"/>
          <w:vertAlign w:val="subscript"/>
          <w:lang w:val="en-US" w:bidi="ar-SA"/>
          <w14:textFill>
            <w14:solidFill>
              <w14:schemeClr w14:val="tx1"/>
            </w14:solidFill>
          </w14:textFill>
        </w:rPr>
        <w:t>3</w:t>
      </w:r>
      <w:r>
        <w:rPr>
          <w:rFonts w:ascii="Times New Roman" w:hAnsi="Times New Roman" w:cs="Times New Roman" w:eastAsiaTheme="minorEastAsia"/>
          <w:color w:val="000000" w:themeColor="text1"/>
          <w:w w:val="99"/>
          <w:sz w:val="24"/>
          <w:szCs w:val="20"/>
          <w:vertAlign w:val="superscript"/>
          <w:lang w:val="en-US" w:bidi="ar-SA"/>
          <w14:textFill>
            <w14:solidFill>
              <w14:schemeClr w14:val="tx1"/>
            </w14:solidFill>
          </w14:textFill>
        </w:rPr>
        <w:t>-</w:t>
      </w:r>
      <w:r>
        <w:rPr>
          <w:rFonts w:ascii="Times New Roman" w:hAnsi="Times New Roman" w:cs="Times New Roman" w:eastAsiaTheme="minorEastAsia"/>
          <w:color w:val="000000" w:themeColor="text1"/>
          <w:w w:val="99"/>
          <w:sz w:val="24"/>
          <w:szCs w:val="20"/>
          <w:lang w:val="en-US" w:bidi="ar-SA"/>
          <w14:textFill>
            <w14:solidFill>
              <w14:schemeClr w14:val="tx1"/>
            </w14:solidFill>
          </w14:textFill>
        </w:rPr>
        <w:t>含量，将Meq（毫克当量）百分数大于25%的阴、阳离子进行组合，每种类型以阿拉伯数字为代号，共49类。舒卡列夫分类表见</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表4.3-</w:t>
      </w:r>
      <w:r>
        <w:rPr>
          <w:rFonts w:ascii="Times New Roman" w:hAnsi="Times New Roman" w:cs="Times New Roman" w:eastAsiaTheme="minorEastAsia"/>
          <w:color w:val="000000" w:themeColor="text1"/>
          <w:w w:val="99"/>
          <w:sz w:val="24"/>
          <w:szCs w:val="20"/>
          <w:lang w:val="en-US" w:bidi="ar-SA"/>
          <w14:textFill>
            <w14:solidFill>
              <w14:schemeClr w14:val="tx1"/>
            </w14:solidFill>
          </w14:textFill>
        </w:rPr>
        <w:t>9。</w:t>
      </w:r>
    </w:p>
    <w:p w14:paraId="7699E518">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表4.3-9    舒卡列夫分类表</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29"/>
        <w:gridCol w:w="765"/>
        <w:gridCol w:w="1204"/>
        <w:gridCol w:w="1607"/>
        <w:gridCol w:w="1062"/>
        <w:gridCol w:w="812"/>
        <w:gridCol w:w="886"/>
        <w:gridCol w:w="622"/>
      </w:tblGrid>
      <w:tr w14:paraId="348157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1254" w:type="pct"/>
            <w:vAlign w:val="center"/>
          </w:tcPr>
          <w:p w14:paraId="08F6CF1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含量＞25%Meq的离子</w:t>
            </w:r>
          </w:p>
        </w:tc>
        <w:tc>
          <w:tcPr>
            <w:tcW w:w="412" w:type="pct"/>
            <w:vAlign w:val="center"/>
          </w:tcPr>
          <w:p w14:paraId="7F738B7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HCO</w:t>
            </w:r>
            <w:r>
              <w:rPr>
                <w:rFonts w:ascii="Times New Roman" w:hAnsi="Times New Roman" w:cs="Times New Roman" w:eastAsiaTheme="minorEastAsia"/>
                <w:color w:val="000000" w:themeColor="text1"/>
                <w:w w:val="99"/>
                <w:sz w:val="21"/>
                <w:szCs w:val="21"/>
                <w:vertAlign w:val="subscript"/>
                <w:lang w:val="en-US" w:bidi="ar-SA"/>
                <w14:textFill>
                  <w14:solidFill>
                    <w14:schemeClr w14:val="tx1"/>
                  </w14:solidFill>
                </w14:textFill>
              </w:rPr>
              <w:t>3</w:t>
            </w:r>
          </w:p>
        </w:tc>
        <w:tc>
          <w:tcPr>
            <w:tcW w:w="648" w:type="pct"/>
            <w:vAlign w:val="center"/>
          </w:tcPr>
          <w:p w14:paraId="0EBADDA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HCO</w:t>
            </w:r>
            <w:r>
              <w:rPr>
                <w:rFonts w:ascii="Times New Roman" w:hAnsi="Times New Roman" w:cs="Times New Roman" w:eastAsiaTheme="minorEastAsia"/>
                <w:color w:val="000000" w:themeColor="text1"/>
                <w:w w:val="99"/>
                <w:sz w:val="21"/>
                <w:szCs w:val="21"/>
                <w:vertAlign w:val="subscript"/>
                <w:lang w:val="en-US" w:bidi="ar-SA"/>
                <w14:textFill>
                  <w14:solidFill>
                    <w14:schemeClr w14:val="tx1"/>
                  </w14:solidFill>
                </w14:textFill>
              </w:rPr>
              <w:t>3</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+SO</w:t>
            </w:r>
            <w:r>
              <w:rPr>
                <w:rFonts w:ascii="Times New Roman" w:hAnsi="Times New Roman" w:cs="Times New Roman" w:eastAsiaTheme="minorEastAsia"/>
                <w:color w:val="000000" w:themeColor="text1"/>
                <w:w w:val="99"/>
                <w:sz w:val="21"/>
                <w:szCs w:val="21"/>
                <w:vertAlign w:val="subscript"/>
                <w:lang w:val="en-US" w:bidi="ar-SA"/>
                <w14:textFill>
                  <w14:solidFill>
                    <w14:schemeClr w14:val="tx1"/>
                  </w14:solidFill>
                </w14:textFill>
              </w:rPr>
              <w:t>4</w:t>
            </w:r>
          </w:p>
        </w:tc>
        <w:tc>
          <w:tcPr>
            <w:tcW w:w="865" w:type="pct"/>
            <w:vAlign w:val="center"/>
          </w:tcPr>
          <w:p w14:paraId="31D52B5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HCO</w:t>
            </w:r>
            <w:r>
              <w:rPr>
                <w:rFonts w:ascii="Times New Roman" w:hAnsi="Times New Roman" w:cs="Times New Roman" w:eastAsiaTheme="minorEastAsia"/>
                <w:color w:val="000000" w:themeColor="text1"/>
                <w:w w:val="99"/>
                <w:sz w:val="21"/>
                <w:szCs w:val="21"/>
                <w:vertAlign w:val="subscript"/>
                <w:lang w:val="en-US" w:bidi="ar-SA"/>
                <w14:textFill>
                  <w14:solidFill>
                    <w14:schemeClr w14:val="tx1"/>
                  </w14:solidFill>
                </w14:textFill>
              </w:rPr>
              <w:t>3</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+SO</w:t>
            </w:r>
            <w:r>
              <w:rPr>
                <w:rFonts w:ascii="Times New Roman" w:hAnsi="Times New Roman" w:cs="Times New Roman" w:eastAsiaTheme="minorEastAsia"/>
                <w:color w:val="000000" w:themeColor="text1"/>
                <w:w w:val="99"/>
                <w:sz w:val="21"/>
                <w:szCs w:val="21"/>
                <w:vertAlign w:val="subscript"/>
                <w:lang w:val="en-US" w:bidi="ar-SA"/>
                <w14:textFill>
                  <w14:solidFill>
                    <w14:schemeClr w14:val="tx1"/>
                  </w14:solidFill>
                </w14:textFill>
              </w:rPr>
              <w:t>4</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+Cl</w:t>
            </w:r>
          </w:p>
        </w:tc>
        <w:tc>
          <w:tcPr>
            <w:tcW w:w="572" w:type="pct"/>
            <w:vAlign w:val="center"/>
          </w:tcPr>
          <w:p w14:paraId="59ECE89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HCO</w:t>
            </w:r>
            <w:r>
              <w:rPr>
                <w:rFonts w:ascii="Times New Roman" w:hAnsi="Times New Roman" w:cs="Times New Roman" w:eastAsiaTheme="minorEastAsia"/>
                <w:color w:val="000000" w:themeColor="text1"/>
                <w:w w:val="99"/>
                <w:sz w:val="21"/>
                <w:szCs w:val="21"/>
                <w:vertAlign w:val="subscript"/>
                <w:lang w:val="en-US" w:bidi="ar-SA"/>
                <w14:textFill>
                  <w14:solidFill>
                    <w14:schemeClr w14:val="tx1"/>
                  </w14:solidFill>
                </w14:textFill>
              </w:rPr>
              <w:t>3</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+Cl</w:t>
            </w:r>
          </w:p>
        </w:tc>
        <w:tc>
          <w:tcPr>
            <w:tcW w:w="437" w:type="pct"/>
            <w:vAlign w:val="center"/>
          </w:tcPr>
          <w:p w14:paraId="70A310D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SO</w:t>
            </w:r>
            <w:r>
              <w:rPr>
                <w:rFonts w:ascii="Times New Roman" w:hAnsi="Times New Roman" w:cs="Times New Roman" w:eastAsiaTheme="minorEastAsia"/>
                <w:color w:val="000000" w:themeColor="text1"/>
                <w:w w:val="99"/>
                <w:sz w:val="21"/>
                <w:szCs w:val="21"/>
                <w:vertAlign w:val="subscript"/>
                <w:lang w:val="en-US" w:bidi="ar-SA"/>
                <w14:textFill>
                  <w14:solidFill>
                    <w14:schemeClr w14:val="tx1"/>
                  </w14:solidFill>
                </w14:textFill>
              </w:rPr>
              <w:t>4</w:t>
            </w:r>
          </w:p>
        </w:tc>
        <w:tc>
          <w:tcPr>
            <w:tcW w:w="477" w:type="pct"/>
            <w:vAlign w:val="center"/>
          </w:tcPr>
          <w:p w14:paraId="3AC8EB5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SO</w:t>
            </w:r>
            <w:r>
              <w:rPr>
                <w:rFonts w:ascii="Times New Roman" w:hAnsi="Times New Roman" w:cs="Times New Roman" w:eastAsiaTheme="minorEastAsia"/>
                <w:color w:val="000000" w:themeColor="text1"/>
                <w:w w:val="99"/>
                <w:sz w:val="21"/>
                <w:szCs w:val="21"/>
                <w:vertAlign w:val="subscript"/>
                <w:lang w:val="en-US" w:bidi="ar-SA"/>
                <w14:textFill>
                  <w14:solidFill>
                    <w14:schemeClr w14:val="tx1"/>
                  </w14:solidFill>
                </w14:textFill>
              </w:rPr>
              <w:t>4</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+Cl</w:t>
            </w:r>
          </w:p>
        </w:tc>
        <w:tc>
          <w:tcPr>
            <w:tcW w:w="335" w:type="pct"/>
            <w:vAlign w:val="center"/>
          </w:tcPr>
          <w:p w14:paraId="48F9DC3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Cl</w:t>
            </w:r>
          </w:p>
        </w:tc>
      </w:tr>
      <w:tr w14:paraId="0E3732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54" w:type="pct"/>
            <w:vAlign w:val="center"/>
          </w:tcPr>
          <w:p w14:paraId="610EAA0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Ca</w:t>
            </w:r>
          </w:p>
        </w:tc>
        <w:tc>
          <w:tcPr>
            <w:tcW w:w="412" w:type="pct"/>
            <w:vAlign w:val="center"/>
          </w:tcPr>
          <w:p w14:paraId="0A9D77E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w:t>
            </w:r>
          </w:p>
        </w:tc>
        <w:tc>
          <w:tcPr>
            <w:tcW w:w="648" w:type="pct"/>
            <w:vAlign w:val="center"/>
          </w:tcPr>
          <w:p w14:paraId="560DBCF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w:t>
            </w:r>
          </w:p>
        </w:tc>
        <w:tc>
          <w:tcPr>
            <w:tcW w:w="865" w:type="pct"/>
            <w:vAlign w:val="center"/>
          </w:tcPr>
          <w:p w14:paraId="68167C8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15</w:t>
            </w:r>
          </w:p>
        </w:tc>
        <w:tc>
          <w:tcPr>
            <w:tcW w:w="572" w:type="pct"/>
            <w:vAlign w:val="center"/>
          </w:tcPr>
          <w:p w14:paraId="41B5625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22</w:t>
            </w:r>
          </w:p>
        </w:tc>
        <w:tc>
          <w:tcPr>
            <w:tcW w:w="437" w:type="pct"/>
            <w:vAlign w:val="center"/>
          </w:tcPr>
          <w:p w14:paraId="6689E4F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29</w:t>
            </w:r>
          </w:p>
        </w:tc>
        <w:tc>
          <w:tcPr>
            <w:tcW w:w="477" w:type="pct"/>
            <w:vAlign w:val="center"/>
          </w:tcPr>
          <w:p w14:paraId="5321B74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36</w:t>
            </w:r>
          </w:p>
        </w:tc>
        <w:tc>
          <w:tcPr>
            <w:tcW w:w="335" w:type="pct"/>
            <w:vAlign w:val="center"/>
          </w:tcPr>
          <w:p w14:paraId="4F8075E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43</w:t>
            </w:r>
          </w:p>
        </w:tc>
      </w:tr>
      <w:tr w14:paraId="18CE1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54" w:type="pct"/>
            <w:vAlign w:val="center"/>
          </w:tcPr>
          <w:p w14:paraId="768D92D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Ca+Mg</w:t>
            </w:r>
          </w:p>
        </w:tc>
        <w:tc>
          <w:tcPr>
            <w:tcW w:w="412" w:type="pct"/>
            <w:vAlign w:val="center"/>
          </w:tcPr>
          <w:p w14:paraId="3047F4F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w:t>
            </w:r>
          </w:p>
        </w:tc>
        <w:tc>
          <w:tcPr>
            <w:tcW w:w="648" w:type="pct"/>
            <w:vAlign w:val="center"/>
          </w:tcPr>
          <w:p w14:paraId="538C6E2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9</w:t>
            </w:r>
          </w:p>
        </w:tc>
        <w:tc>
          <w:tcPr>
            <w:tcW w:w="865" w:type="pct"/>
            <w:vAlign w:val="center"/>
          </w:tcPr>
          <w:p w14:paraId="4D69EB1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16</w:t>
            </w:r>
          </w:p>
        </w:tc>
        <w:tc>
          <w:tcPr>
            <w:tcW w:w="572" w:type="pct"/>
            <w:vAlign w:val="center"/>
          </w:tcPr>
          <w:p w14:paraId="736D8C6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23</w:t>
            </w:r>
          </w:p>
        </w:tc>
        <w:tc>
          <w:tcPr>
            <w:tcW w:w="437" w:type="pct"/>
            <w:vAlign w:val="center"/>
          </w:tcPr>
          <w:p w14:paraId="4CB12A1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30</w:t>
            </w:r>
          </w:p>
        </w:tc>
        <w:tc>
          <w:tcPr>
            <w:tcW w:w="477" w:type="pct"/>
            <w:vAlign w:val="center"/>
          </w:tcPr>
          <w:p w14:paraId="43A8447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37</w:t>
            </w:r>
          </w:p>
        </w:tc>
        <w:tc>
          <w:tcPr>
            <w:tcW w:w="335" w:type="pct"/>
            <w:vAlign w:val="center"/>
          </w:tcPr>
          <w:p w14:paraId="2957651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44</w:t>
            </w:r>
          </w:p>
        </w:tc>
      </w:tr>
      <w:tr w14:paraId="1958A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54" w:type="pct"/>
            <w:vAlign w:val="center"/>
          </w:tcPr>
          <w:p w14:paraId="3570CB0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Mg</w:t>
            </w:r>
          </w:p>
        </w:tc>
        <w:tc>
          <w:tcPr>
            <w:tcW w:w="412" w:type="pct"/>
            <w:vAlign w:val="center"/>
          </w:tcPr>
          <w:p w14:paraId="432AB06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w:t>
            </w:r>
          </w:p>
        </w:tc>
        <w:tc>
          <w:tcPr>
            <w:tcW w:w="648" w:type="pct"/>
            <w:vAlign w:val="center"/>
          </w:tcPr>
          <w:p w14:paraId="57BF255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10</w:t>
            </w:r>
          </w:p>
        </w:tc>
        <w:tc>
          <w:tcPr>
            <w:tcW w:w="865" w:type="pct"/>
            <w:vAlign w:val="center"/>
          </w:tcPr>
          <w:p w14:paraId="5B08F32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572" w:type="pct"/>
            <w:vAlign w:val="center"/>
          </w:tcPr>
          <w:p w14:paraId="0164992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24</w:t>
            </w:r>
          </w:p>
        </w:tc>
        <w:tc>
          <w:tcPr>
            <w:tcW w:w="437" w:type="pct"/>
            <w:vAlign w:val="center"/>
          </w:tcPr>
          <w:p w14:paraId="0B5518C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31</w:t>
            </w:r>
          </w:p>
        </w:tc>
        <w:tc>
          <w:tcPr>
            <w:tcW w:w="477" w:type="pct"/>
            <w:vAlign w:val="center"/>
          </w:tcPr>
          <w:p w14:paraId="5AA57F4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38</w:t>
            </w:r>
          </w:p>
        </w:tc>
        <w:tc>
          <w:tcPr>
            <w:tcW w:w="335" w:type="pct"/>
            <w:vAlign w:val="center"/>
          </w:tcPr>
          <w:p w14:paraId="1A1100C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45</w:t>
            </w:r>
          </w:p>
        </w:tc>
      </w:tr>
      <w:tr w14:paraId="56271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54" w:type="pct"/>
            <w:vAlign w:val="center"/>
          </w:tcPr>
          <w:p w14:paraId="78619CA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Na+Ca</w:t>
            </w:r>
          </w:p>
        </w:tc>
        <w:tc>
          <w:tcPr>
            <w:tcW w:w="412" w:type="pct"/>
            <w:vAlign w:val="center"/>
          </w:tcPr>
          <w:p w14:paraId="53C43FF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w:t>
            </w:r>
          </w:p>
        </w:tc>
        <w:tc>
          <w:tcPr>
            <w:tcW w:w="648" w:type="pct"/>
            <w:vAlign w:val="center"/>
          </w:tcPr>
          <w:p w14:paraId="2AD6935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w:t>
            </w:r>
          </w:p>
        </w:tc>
        <w:tc>
          <w:tcPr>
            <w:tcW w:w="865" w:type="pct"/>
            <w:vAlign w:val="center"/>
          </w:tcPr>
          <w:p w14:paraId="04DE40D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18</w:t>
            </w:r>
          </w:p>
        </w:tc>
        <w:tc>
          <w:tcPr>
            <w:tcW w:w="572" w:type="pct"/>
            <w:vAlign w:val="center"/>
          </w:tcPr>
          <w:p w14:paraId="5D69B38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25</w:t>
            </w:r>
          </w:p>
        </w:tc>
        <w:tc>
          <w:tcPr>
            <w:tcW w:w="437" w:type="pct"/>
            <w:vAlign w:val="center"/>
          </w:tcPr>
          <w:p w14:paraId="3B19D3F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32</w:t>
            </w:r>
          </w:p>
        </w:tc>
        <w:tc>
          <w:tcPr>
            <w:tcW w:w="477" w:type="pct"/>
            <w:vAlign w:val="center"/>
          </w:tcPr>
          <w:p w14:paraId="68E6210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39</w:t>
            </w:r>
          </w:p>
        </w:tc>
        <w:tc>
          <w:tcPr>
            <w:tcW w:w="335" w:type="pct"/>
            <w:vAlign w:val="center"/>
          </w:tcPr>
          <w:p w14:paraId="5F8D98A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46</w:t>
            </w:r>
          </w:p>
        </w:tc>
      </w:tr>
      <w:tr w14:paraId="21E1F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54" w:type="pct"/>
            <w:vAlign w:val="center"/>
          </w:tcPr>
          <w:p w14:paraId="34FF09D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Na+Ca+Mg</w:t>
            </w:r>
          </w:p>
        </w:tc>
        <w:tc>
          <w:tcPr>
            <w:tcW w:w="412" w:type="pct"/>
            <w:vAlign w:val="center"/>
          </w:tcPr>
          <w:p w14:paraId="3728E25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w:t>
            </w:r>
          </w:p>
        </w:tc>
        <w:tc>
          <w:tcPr>
            <w:tcW w:w="648" w:type="pct"/>
            <w:vAlign w:val="center"/>
          </w:tcPr>
          <w:p w14:paraId="36809CD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w:t>
            </w:r>
          </w:p>
        </w:tc>
        <w:tc>
          <w:tcPr>
            <w:tcW w:w="865" w:type="pct"/>
            <w:vAlign w:val="center"/>
          </w:tcPr>
          <w:p w14:paraId="7F0CDD0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19</w:t>
            </w:r>
          </w:p>
        </w:tc>
        <w:tc>
          <w:tcPr>
            <w:tcW w:w="572" w:type="pct"/>
            <w:vAlign w:val="center"/>
          </w:tcPr>
          <w:p w14:paraId="2B8782D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26</w:t>
            </w:r>
          </w:p>
        </w:tc>
        <w:tc>
          <w:tcPr>
            <w:tcW w:w="437" w:type="pct"/>
            <w:vAlign w:val="center"/>
          </w:tcPr>
          <w:p w14:paraId="08B29E1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33</w:t>
            </w:r>
          </w:p>
        </w:tc>
        <w:tc>
          <w:tcPr>
            <w:tcW w:w="477" w:type="pct"/>
            <w:vAlign w:val="center"/>
          </w:tcPr>
          <w:p w14:paraId="4768809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40</w:t>
            </w:r>
          </w:p>
        </w:tc>
        <w:tc>
          <w:tcPr>
            <w:tcW w:w="335" w:type="pct"/>
            <w:vAlign w:val="center"/>
          </w:tcPr>
          <w:p w14:paraId="0F1B358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47</w:t>
            </w:r>
          </w:p>
        </w:tc>
      </w:tr>
      <w:tr w14:paraId="35EE8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54" w:type="pct"/>
            <w:vAlign w:val="center"/>
          </w:tcPr>
          <w:p w14:paraId="73E3E53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Na+Mg</w:t>
            </w:r>
          </w:p>
        </w:tc>
        <w:tc>
          <w:tcPr>
            <w:tcW w:w="412" w:type="pct"/>
            <w:vAlign w:val="center"/>
          </w:tcPr>
          <w:p w14:paraId="08DCA51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6</w:t>
            </w:r>
          </w:p>
        </w:tc>
        <w:tc>
          <w:tcPr>
            <w:tcW w:w="648" w:type="pct"/>
            <w:vAlign w:val="center"/>
          </w:tcPr>
          <w:p w14:paraId="13B6ACB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13</w:t>
            </w:r>
          </w:p>
        </w:tc>
        <w:tc>
          <w:tcPr>
            <w:tcW w:w="865" w:type="pct"/>
            <w:vAlign w:val="center"/>
          </w:tcPr>
          <w:p w14:paraId="620BB86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20</w:t>
            </w:r>
          </w:p>
        </w:tc>
        <w:tc>
          <w:tcPr>
            <w:tcW w:w="572" w:type="pct"/>
            <w:vAlign w:val="center"/>
          </w:tcPr>
          <w:p w14:paraId="76AE006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27</w:t>
            </w:r>
          </w:p>
        </w:tc>
        <w:tc>
          <w:tcPr>
            <w:tcW w:w="437" w:type="pct"/>
            <w:vAlign w:val="center"/>
          </w:tcPr>
          <w:p w14:paraId="0C53AB4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34</w:t>
            </w:r>
          </w:p>
        </w:tc>
        <w:tc>
          <w:tcPr>
            <w:tcW w:w="477" w:type="pct"/>
            <w:vAlign w:val="center"/>
          </w:tcPr>
          <w:p w14:paraId="00DF379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41</w:t>
            </w:r>
          </w:p>
        </w:tc>
        <w:tc>
          <w:tcPr>
            <w:tcW w:w="335" w:type="pct"/>
            <w:vAlign w:val="center"/>
          </w:tcPr>
          <w:p w14:paraId="0E64391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48</w:t>
            </w:r>
          </w:p>
        </w:tc>
      </w:tr>
      <w:tr w14:paraId="70B40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54" w:type="pct"/>
            <w:vAlign w:val="center"/>
          </w:tcPr>
          <w:p w14:paraId="1AE2C99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Na</w:t>
            </w:r>
          </w:p>
        </w:tc>
        <w:tc>
          <w:tcPr>
            <w:tcW w:w="412" w:type="pct"/>
            <w:vAlign w:val="center"/>
          </w:tcPr>
          <w:p w14:paraId="095C602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7</w:t>
            </w:r>
          </w:p>
        </w:tc>
        <w:tc>
          <w:tcPr>
            <w:tcW w:w="648" w:type="pct"/>
            <w:vAlign w:val="center"/>
          </w:tcPr>
          <w:p w14:paraId="37E177C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14</w:t>
            </w:r>
          </w:p>
        </w:tc>
        <w:tc>
          <w:tcPr>
            <w:tcW w:w="865" w:type="pct"/>
            <w:vAlign w:val="center"/>
          </w:tcPr>
          <w:p w14:paraId="5FBD15A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21</w:t>
            </w:r>
          </w:p>
        </w:tc>
        <w:tc>
          <w:tcPr>
            <w:tcW w:w="572" w:type="pct"/>
            <w:vAlign w:val="center"/>
          </w:tcPr>
          <w:p w14:paraId="73F4E4B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28</w:t>
            </w:r>
          </w:p>
        </w:tc>
        <w:tc>
          <w:tcPr>
            <w:tcW w:w="437" w:type="pct"/>
            <w:vAlign w:val="center"/>
          </w:tcPr>
          <w:p w14:paraId="14F6FEA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35</w:t>
            </w:r>
          </w:p>
        </w:tc>
        <w:tc>
          <w:tcPr>
            <w:tcW w:w="477" w:type="pct"/>
            <w:vAlign w:val="center"/>
          </w:tcPr>
          <w:p w14:paraId="6294DD5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42</w:t>
            </w:r>
          </w:p>
        </w:tc>
        <w:tc>
          <w:tcPr>
            <w:tcW w:w="335" w:type="pct"/>
            <w:vAlign w:val="center"/>
          </w:tcPr>
          <w:p w14:paraId="03FBDF5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49</w:t>
            </w:r>
          </w:p>
        </w:tc>
      </w:tr>
    </w:tbl>
    <w:p w14:paraId="45A9FAE4">
      <w:pPr>
        <w:autoSpaceDE/>
        <w:autoSpaceDN/>
        <w:spacing w:line="440" w:lineRule="exact"/>
        <w:ind w:firstLine="474" w:firstLineChars="200"/>
        <w:rPr>
          <w:rFonts w:ascii="Times New Roman" w:hAnsi="Times New Roman" w:cs="Times New Roman" w:eastAsiaTheme="minorEastAsia"/>
          <w:color w:val="000000" w:themeColor="text1"/>
          <w:w w:val="99"/>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0"/>
          <w:lang w:val="en-US" w:bidi="ar-SA"/>
          <w14:textFill>
            <w14:solidFill>
              <w14:schemeClr w14:val="tx1"/>
            </w14:solidFill>
          </w14:textFill>
        </w:rPr>
        <w:t>按矿化度又分为4组：A组矿化度&lt;1.5g/L，B组1.5～10g/L，C组10～40g/L，D组&gt;40g/L。命名时在数字与字母间加连接号，如1-A型：指的是M&lt;1.5g/L，阴离子只有HCO</w:t>
      </w:r>
      <w:r>
        <w:rPr>
          <w:rFonts w:ascii="Times New Roman" w:hAnsi="Times New Roman" w:cs="Times New Roman" w:eastAsiaTheme="minorEastAsia"/>
          <w:color w:val="000000" w:themeColor="text1"/>
          <w:w w:val="99"/>
          <w:sz w:val="24"/>
          <w:szCs w:val="20"/>
          <w:vertAlign w:val="subscript"/>
          <w:lang w:val="en-US" w:bidi="ar-SA"/>
          <w14:textFill>
            <w14:solidFill>
              <w14:schemeClr w14:val="tx1"/>
            </w14:solidFill>
          </w14:textFill>
        </w:rPr>
        <w:t>3</w:t>
      </w:r>
      <w:r>
        <w:rPr>
          <w:rFonts w:ascii="Times New Roman" w:hAnsi="Times New Roman" w:cs="Times New Roman" w:eastAsiaTheme="minorEastAsia"/>
          <w:color w:val="000000" w:themeColor="text1"/>
          <w:w w:val="99"/>
          <w:sz w:val="24"/>
          <w:szCs w:val="20"/>
          <w:lang w:val="en-US" w:bidi="ar-SA"/>
          <w14:textFill>
            <w14:solidFill>
              <w14:schemeClr w14:val="tx1"/>
            </w14:solidFill>
          </w14:textFill>
        </w:rPr>
        <w:t>&gt;25％Meq，阳离子只有Ca大于25%Meq。49-D型，表示矿化度大于40g/L的Cl-Na型水，该型水可能是于海水及海相沉积有关的地下水，或是大陆盐化潜水。</w:t>
      </w:r>
    </w:p>
    <w:p w14:paraId="250AC92F">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32"/>
          <w:lang w:val="en-US" w:bidi="ar-SA"/>
          <w14:textFill>
            <w14:solidFill>
              <w14:schemeClr w14:val="tx1"/>
            </w14:solidFill>
          </w14:textFill>
        </w:rPr>
        <w:t>根据本项目地下水监测结果，分别计算承压水、潜水各监测点位中SO</w:t>
      </w:r>
      <w:r>
        <w:rPr>
          <w:rFonts w:ascii="Times New Roman" w:hAnsi="Times New Roman" w:cs="Times New Roman" w:eastAsiaTheme="minorEastAsia"/>
          <w:color w:val="000000" w:themeColor="text1"/>
          <w:w w:val="99"/>
          <w:sz w:val="24"/>
          <w:szCs w:val="32"/>
          <w:vertAlign w:val="subscript"/>
          <w:lang w:val="en-US" w:bidi="ar-SA"/>
          <w14:textFill>
            <w14:solidFill>
              <w14:schemeClr w14:val="tx1"/>
            </w14:solidFill>
          </w14:textFill>
        </w:rPr>
        <w:t>4</w:t>
      </w:r>
      <w:r>
        <w:rPr>
          <w:rFonts w:ascii="Times New Roman" w:hAnsi="Times New Roman" w:cs="Times New Roman" w:eastAsiaTheme="minorEastAsia"/>
          <w:color w:val="000000" w:themeColor="text1"/>
          <w:w w:val="99"/>
          <w:sz w:val="24"/>
          <w:szCs w:val="32"/>
          <w:vertAlign w:val="superscript"/>
          <w:lang w:val="en-US" w:bidi="ar-SA"/>
          <w14:textFill>
            <w14:solidFill>
              <w14:schemeClr w14:val="tx1"/>
            </w14:solidFill>
          </w14:textFill>
        </w:rPr>
        <w:t>2－</w:t>
      </w:r>
      <w:r>
        <w:rPr>
          <w:rFonts w:ascii="Times New Roman" w:hAnsi="Times New Roman" w:cs="Times New Roman" w:eastAsiaTheme="minorEastAsia"/>
          <w:color w:val="000000" w:themeColor="text1"/>
          <w:w w:val="99"/>
          <w:sz w:val="24"/>
          <w:szCs w:val="32"/>
          <w:lang w:val="en-US" w:bidi="ar-SA"/>
          <w14:textFill>
            <w14:solidFill>
              <w14:schemeClr w14:val="tx1"/>
            </w14:solidFill>
          </w14:textFill>
        </w:rPr>
        <w:t>、Cl</w:t>
      </w:r>
      <w:r>
        <w:rPr>
          <w:rFonts w:ascii="Times New Roman" w:hAnsi="Times New Roman" w:cs="Times New Roman" w:eastAsiaTheme="minorEastAsia"/>
          <w:color w:val="000000" w:themeColor="text1"/>
          <w:w w:val="99"/>
          <w:sz w:val="24"/>
          <w:szCs w:val="32"/>
          <w:vertAlign w:val="superscript"/>
          <w:lang w:val="en-US" w:bidi="ar-SA"/>
          <w14:textFill>
            <w14:solidFill>
              <w14:schemeClr w14:val="tx1"/>
            </w14:solidFill>
          </w14:textFill>
        </w:rPr>
        <w:t>－</w:t>
      </w:r>
      <w:r>
        <w:rPr>
          <w:rFonts w:ascii="Times New Roman" w:hAnsi="Times New Roman" w:cs="Times New Roman" w:eastAsiaTheme="minorEastAsia"/>
          <w:color w:val="000000" w:themeColor="text1"/>
          <w:w w:val="99"/>
          <w:sz w:val="24"/>
          <w:szCs w:val="32"/>
          <w:lang w:val="en-US" w:bidi="ar-SA"/>
          <w14:textFill>
            <w14:solidFill>
              <w14:schemeClr w14:val="tx1"/>
            </w14:solidFill>
          </w14:textFill>
        </w:rPr>
        <w:t>、HCO</w:t>
      </w:r>
      <w:r>
        <w:rPr>
          <w:rFonts w:ascii="Times New Roman" w:hAnsi="Times New Roman" w:cs="Times New Roman" w:eastAsiaTheme="minorEastAsia"/>
          <w:color w:val="000000" w:themeColor="text1"/>
          <w:w w:val="99"/>
          <w:sz w:val="24"/>
          <w:szCs w:val="32"/>
          <w:vertAlign w:val="subscript"/>
          <w:lang w:val="en-US" w:bidi="ar-SA"/>
          <w14:textFill>
            <w14:solidFill>
              <w14:schemeClr w14:val="tx1"/>
            </w14:solidFill>
          </w14:textFill>
        </w:rPr>
        <w:t>3</w:t>
      </w:r>
      <w:r>
        <w:rPr>
          <w:rFonts w:ascii="Times New Roman" w:hAnsi="Times New Roman" w:cs="Times New Roman" w:eastAsiaTheme="minorEastAsia"/>
          <w:color w:val="000000" w:themeColor="text1"/>
          <w:w w:val="99"/>
          <w:sz w:val="24"/>
          <w:szCs w:val="32"/>
          <w:vertAlign w:val="superscript"/>
          <w:lang w:val="en-US" w:bidi="ar-SA"/>
          <w14:textFill>
            <w14:solidFill>
              <w14:schemeClr w14:val="tx1"/>
            </w14:solidFill>
          </w14:textFill>
        </w:rPr>
        <w:t>－</w:t>
      </w:r>
      <w:r>
        <w:rPr>
          <w:rFonts w:ascii="Times New Roman" w:hAnsi="Times New Roman" w:cs="Times New Roman" w:eastAsiaTheme="minorEastAsia"/>
          <w:color w:val="000000" w:themeColor="text1"/>
          <w:w w:val="99"/>
          <w:sz w:val="24"/>
          <w:szCs w:val="32"/>
          <w:lang w:val="en-US" w:bidi="ar-SA"/>
          <w14:textFill>
            <w14:solidFill>
              <w14:schemeClr w14:val="tx1"/>
            </w14:solidFill>
          </w14:textFill>
        </w:rPr>
        <w:t>、CO</w:t>
      </w:r>
      <w:r>
        <w:rPr>
          <w:rFonts w:ascii="Times New Roman" w:hAnsi="Times New Roman" w:cs="Times New Roman" w:eastAsiaTheme="minorEastAsia"/>
          <w:color w:val="000000" w:themeColor="text1"/>
          <w:w w:val="99"/>
          <w:sz w:val="24"/>
          <w:szCs w:val="32"/>
          <w:vertAlign w:val="subscript"/>
          <w:lang w:val="en-US" w:bidi="ar-SA"/>
          <w14:textFill>
            <w14:solidFill>
              <w14:schemeClr w14:val="tx1"/>
            </w14:solidFill>
          </w14:textFill>
        </w:rPr>
        <w:t>3</w:t>
      </w:r>
      <w:r>
        <w:rPr>
          <w:rFonts w:ascii="Times New Roman" w:hAnsi="Times New Roman" w:cs="Times New Roman" w:eastAsiaTheme="minorEastAsia"/>
          <w:color w:val="000000" w:themeColor="text1"/>
          <w:w w:val="99"/>
          <w:sz w:val="24"/>
          <w:szCs w:val="32"/>
          <w:vertAlign w:val="superscript"/>
          <w:lang w:val="en-US" w:bidi="ar-SA"/>
          <w14:textFill>
            <w14:solidFill>
              <w14:schemeClr w14:val="tx1"/>
            </w14:solidFill>
          </w14:textFill>
        </w:rPr>
        <w:t>2－</w:t>
      </w:r>
      <w:r>
        <w:rPr>
          <w:rFonts w:ascii="Times New Roman" w:hAnsi="Times New Roman" w:cs="Times New Roman" w:eastAsiaTheme="minorEastAsia"/>
          <w:color w:val="000000" w:themeColor="text1"/>
          <w:w w:val="99"/>
          <w:sz w:val="24"/>
          <w:szCs w:val="32"/>
          <w:lang w:val="en-US" w:bidi="ar-SA"/>
          <w14:textFill>
            <w14:solidFill>
              <w14:schemeClr w14:val="tx1"/>
            </w14:solidFill>
          </w14:textFill>
        </w:rPr>
        <w:t>、Ca</w:t>
      </w:r>
      <w:r>
        <w:rPr>
          <w:rFonts w:ascii="Times New Roman" w:hAnsi="Times New Roman" w:cs="Times New Roman" w:eastAsiaTheme="minorEastAsia"/>
          <w:color w:val="000000" w:themeColor="text1"/>
          <w:w w:val="99"/>
          <w:sz w:val="24"/>
          <w:szCs w:val="32"/>
          <w:vertAlign w:val="superscript"/>
          <w:lang w:val="en-US" w:bidi="ar-SA"/>
          <w14:textFill>
            <w14:solidFill>
              <w14:schemeClr w14:val="tx1"/>
            </w14:solidFill>
          </w14:textFill>
        </w:rPr>
        <w:t>2＋</w:t>
      </w:r>
      <w:r>
        <w:rPr>
          <w:rFonts w:ascii="Times New Roman" w:hAnsi="Times New Roman" w:cs="Times New Roman" w:eastAsiaTheme="minorEastAsia"/>
          <w:color w:val="000000" w:themeColor="text1"/>
          <w:w w:val="99"/>
          <w:sz w:val="24"/>
          <w:szCs w:val="32"/>
          <w:lang w:val="en-US" w:bidi="ar-SA"/>
          <w14:textFill>
            <w14:solidFill>
              <w14:schemeClr w14:val="tx1"/>
            </w14:solidFill>
          </w14:textFill>
        </w:rPr>
        <w:t>、Mg</w:t>
      </w:r>
      <w:r>
        <w:rPr>
          <w:rFonts w:ascii="Times New Roman" w:hAnsi="Times New Roman" w:cs="Times New Roman" w:eastAsiaTheme="minorEastAsia"/>
          <w:color w:val="000000" w:themeColor="text1"/>
          <w:w w:val="99"/>
          <w:sz w:val="24"/>
          <w:szCs w:val="32"/>
          <w:vertAlign w:val="superscript"/>
          <w:lang w:val="en-US" w:bidi="ar-SA"/>
          <w14:textFill>
            <w14:solidFill>
              <w14:schemeClr w14:val="tx1"/>
            </w14:solidFill>
          </w14:textFill>
        </w:rPr>
        <w:t>2＋</w:t>
      </w:r>
      <w:r>
        <w:rPr>
          <w:rFonts w:ascii="Times New Roman" w:hAnsi="Times New Roman" w:cs="Times New Roman" w:eastAsiaTheme="minorEastAsia"/>
          <w:color w:val="000000" w:themeColor="text1"/>
          <w:w w:val="99"/>
          <w:sz w:val="24"/>
          <w:szCs w:val="32"/>
          <w:lang w:val="en-US" w:bidi="ar-SA"/>
          <w14:textFill>
            <w14:solidFill>
              <w14:schemeClr w14:val="tx1"/>
            </w14:solidFill>
          </w14:textFill>
        </w:rPr>
        <w:t>、Na</w:t>
      </w:r>
      <w:r>
        <w:rPr>
          <w:rFonts w:ascii="Times New Roman" w:hAnsi="Times New Roman" w:cs="Times New Roman" w:eastAsiaTheme="minorEastAsia"/>
          <w:color w:val="000000" w:themeColor="text1"/>
          <w:w w:val="99"/>
          <w:sz w:val="24"/>
          <w:szCs w:val="32"/>
          <w:vertAlign w:val="superscript"/>
          <w:lang w:val="en-US" w:bidi="ar-SA"/>
          <w14:textFill>
            <w14:solidFill>
              <w14:schemeClr w14:val="tx1"/>
            </w14:solidFill>
          </w14:textFill>
        </w:rPr>
        <w:t>＋</w:t>
      </w:r>
      <w:r>
        <w:rPr>
          <w:rFonts w:ascii="Times New Roman" w:hAnsi="Times New Roman" w:cs="Times New Roman" w:eastAsiaTheme="minorEastAsia"/>
          <w:color w:val="000000" w:themeColor="text1"/>
          <w:w w:val="99"/>
          <w:sz w:val="24"/>
          <w:szCs w:val="32"/>
          <w:lang w:val="en-US" w:bidi="ar-SA"/>
          <w14:textFill>
            <w14:solidFill>
              <w14:schemeClr w14:val="tx1"/>
            </w14:solidFill>
          </w14:textFill>
        </w:rPr>
        <w:t>、K</w:t>
      </w:r>
      <w:r>
        <w:rPr>
          <w:rFonts w:ascii="Times New Roman" w:hAnsi="Times New Roman" w:cs="Times New Roman" w:eastAsiaTheme="minorEastAsia"/>
          <w:color w:val="000000" w:themeColor="text1"/>
          <w:w w:val="99"/>
          <w:sz w:val="24"/>
          <w:szCs w:val="32"/>
          <w:vertAlign w:val="superscript"/>
          <w:lang w:val="en-US" w:bidi="ar-SA"/>
          <w14:textFill>
            <w14:solidFill>
              <w14:schemeClr w14:val="tx1"/>
            </w14:solidFill>
          </w14:textFill>
        </w:rPr>
        <w:t>＋</w:t>
      </w:r>
      <w:r>
        <w:rPr>
          <w:rFonts w:ascii="Times New Roman" w:hAnsi="Times New Roman" w:cs="Times New Roman" w:eastAsiaTheme="minorEastAsia"/>
          <w:color w:val="000000" w:themeColor="text1"/>
          <w:w w:val="99"/>
          <w:sz w:val="24"/>
          <w:szCs w:val="32"/>
          <w:lang w:val="en-US" w:bidi="ar-SA"/>
          <w14:textFill>
            <w14:solidFill>
              <w14:schemeClr w14:val="tx1"/>
            </w14:solidFill>
          </w14:textFill>
        </w:rPr>
        <w:t>浓度均值，进而计算各离子Meq（毫克当量）百分数及监测点位矿化度，从而对工程区域内承压水、潜水的水化学类型进行分类，</w:t>
      </w:r>
      <w:r>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t>工程所在地潜水水质八大离子浓度统计结果见表</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4.3-10</w:t>
      </w:r>
      <w:r>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t>，工程所在地承压水水质八大离子浓度统计结果见表</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4.3-11</w:t>
      </w:r>
      <w:r>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t>。</w:t>
      </w:r>
    </w:p>
    <w:p w14:paraId="5D621953">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p>
    <w:p w14:paraId="17725D59">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p>
    <w:p w14:paraId="1973CACB">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p>
    <w:p w14:paraId="29D4C713">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表4.3-10    潜水水质八大离子水化学类型分析结果</w:t>
      </w:r>
    </w:p>
    <w:tbl>
      <w:tblPr>
        <w:tblStyle w:val="80"/>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47"/>
        <w:gridCol w:w="1236"/>
        <w:gridCol w:w="1480"/>
        <w:gridCol w:w="1483"/>
        <w:gridCol w:w="1630"/>
        <w:gridCol w:w="1047"/>
        <w:gridCol w:w="860"/>
      </w:tblGrid>
      <w:tr w14:paraId="49EBE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Align w:val="center"/>
          </w:tcPr>
          <w:p w14:paraId="62E5E3D0">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监测井点位</w:t>
            </w:r>
          </w:p>
        </w:tc>
        <w:tc>
          <w:tcPr>
            <w:tcW w:w="666" w:type="pct"/>
            <w:vAlign w:val="center"/>
          </w:tcPr>
          <w:p w14:paraId="2861A072">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离子名称</w:t>
            </w:r>
          </w:p>
        </w:tc>
        <w:tc>
          <w:tcPr>
            <w:tcW w:w="797" w:type="pct"/>
            <w:vAlign w:val="center"/>
          </w:tcPr>
          <w:p w14:paraId="4454EEE2">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毫克当量（mg/L）</w:t>
            </w:r>
          </w:p>
        </w:tc>
        <w:tc>
          <w:tcPr>
            <w:tcW w:w="799" w:type="pct"/>
            <w:vAlign w:val="center"/>
          </w:tcPr>
          <w:p w14:paraId="095D3A28">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毫克当量百分比（%）</w:t>
            </w:r>
          </w:p>
        </w:tc>
        <w:tc>
          <w:tcPr>
            <w:tcW w:w="878" w:type="pct"/>
            <w:vAlign w:val="center"/>
          </w:tcPr>
          <w:p w14:paraId="588CD324">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离子毫克当量合计（mg/L）</w:t>
            </w:r>
          </w:p>
        </w:tc>
        <w:tc>
          <w:tcPr>
            <w:tcW w:w="564" w:type="pct"/>
            <w:vAlign w:val="center"/>
          </w:tcPr>
          <w:p w14:paraId="2D8CF847">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相对误差%</w:t>
            </w:r>
          </w:p>
        </w:tc>
        <w:tc>
          <w:tcPr>
            <w:tcW w:w="463" w:type="pct"/>
            <w:vAlign w:val="center"/>
          </w:tcPr>
          <w:p w14:paraId="141D7A5C">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矿化度</w:t>
            </w:r>
          </w:p>
        </w:tc>
      </w:tr>
      <w:tr w14:paraId="4E57D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restart"/>
            <w:vAlign w:val="center"/>
          </w:tcPr>
          <w:p w14:paraId="7A4712D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好尔陶牧场潜水井(苏家)</w:t>
            </w:r>
          </w:p>
        </w:tc>
        <w:tc>
          <w:tcPr>
            <w:tcW w:w="666" w:type="pct"/>
            <w:vAlign w:val="center"/>
          </w:tcPr>
          <w:p w14:paraId="13ABADF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K</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w:t>
            </w:r>
          </w:p>
        </w:tc>
        <w:tc>
          <w:tcPr>
            <w:tcW w:w="797" w:type="pct"/>
            <w:vAlign w:val="center"/>
          </w:tcPr>
          <w:p w14:paraId="3C3D6BA4">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0.061 </w:t>
            </w:r>
          </w:p>
        </w:tc>
        <w:tc>
          <w:tcPr>
            <w:tcW w:w="799" w:type="pct"/>
            <w:vAlign w:val="center"/>
          </w:tcPr>
          <w:p w14:paraId="1B57520A">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1.098 </w:t>
            </w:r>
          </w:p>
        </w:tc>
        <w:tc>
          <w:tcPr>
            <w:tcW w:w="878" w:type="pct"/>
            <w:vMerge w:val="restart"/>
            <w:vAlign w:val="center"/>
          </w:tcPr>
          <w:p w14:paraId="7FF30CD7">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5.513 </w:t>
            </w:r>
          </w:p>
        </w:tc>
        <w:tc>
          <w:tcPr>
            <w:tcW w:w="564" w:type="pct"/>
            <w:vMerge w:val="restart"/>
            <w:vAlign w:val="center"/>
          </w:tcPr>
          <w:p w14:paraId="2A4091B0">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0.26 </w:t>
            </w:r>
          </w:p>
        </w:tc>
        <w:tc>
          <w:tcPr>
            <w:tcW w:w="463" w:type="pct"/>
            <w:vMerge w:val="restart"/>
            <w:vAlign w:val="center"/>
          </w:tcPr>
          <w:p w14:paraId="0A21D0E7">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0.40 </w:t>
            </w:r>
          </w:p>
        </w:tc>
      </w:tr>
      <w:tr w14:paraId="18105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1AFBE20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4C1BBA47">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Na</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w:t>
            </w:r>
          </w:p>
        </w:tc>
        <w:tc>
          <w:tcPr>
            <w:tcW w:w="797" w:type="pct"/>
            <w:vAlign w:val="center"/>
          </w:tcPr>
          <w:p w14:paraId="5EC6206A">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2.383 </w:t>
            </w:r>
          </w:p>
        </w:tc>
        <w:tc>
          <w:tcPr>
            <w:tcW w:w="799" w:type="pct"/>
            <w:vAlign w:val="center"/>
          </w:tcPr>
          <w:p w14:paraId="71D66E8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43.217 </w:t>
            </w:r>
          </w:p>
        </w:tc>
        <w:tc>
          <w:tcPr>
            <w:tcW w:w="878" w:type="pct"/>
            <w:vMerge w:val="continue"/>
            <w:vAlign w:val="center"/>
          </w:tcPr>
          <w:p w14:paraId="4A5C1494">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498E4742">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7250927B">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343FB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467CA1F1">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365D79B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Ca</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2+</w:t>
            </w:r>
          </w:p>
        </w:tc>
        <w:tc>
          <w:tcPr>
            <w:tcW w:w="797" w:type="pct"/>
            <w:vAlign w:val="center"/>
          </w:tcPr>
          <w:p w14:paraId="3B1308D2">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2.310 </w:t>
            </w:r>
          </w:p>
        </w:tc>
        <w:tc>
          <w:tcPr>
            <w:tcW w:w="799" w:type="pct"/>
            <w:vAlign w:val="center"/>
          </w:tcPr>
          <w:p w14:paraId="644621A0">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41.900 </w:t>
            </w:r>
          </w:p>
        </w:tc>
        <w:tc>
          <w:tcPr>
            <w:tcW w:w="878" w:type="pct"/>
            <w:vMerge w:val="continue"/>
            <w:vAlign w:val="center"/>
          </w:tcPr>
          <w:p w14:paraId="7184DFF2">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11904B8A">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67AEB41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00AF0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0A6B5EEF">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5425B35E">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Mg</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2+</w:t>
            </w:r>
          </w:p>
        </w:tc>
        <w:tc>
          <w:tcPr>
            <w:tcW w:w="797" w:type="pct"/>
            <w:vAlign w:val="center"/>
          </w:tcPr>
          <w:p w14:paraId="455EEDFF">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0.760 </w:t>
            </w:r>
          </w:p>
        </w:tc>
        <w:tc>
          <w:tcPr>
            <w:tcW w:w="799" w:type="pct"/>
            <w:vAlign w:val="center"/>
          </w:tcPr>
          <w:p w14:paraId="65DD2919">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13.785 </w:t>
            </w:r>
          </w:p>
        </w:tc>
        <w:tc>
          <w:tcPr>
            <w:tcW w:w="878" w:type="pct"/>
            <w:vMerge w:val="continue"/>
            <w:vAlign w:val="center"/>
          </w:tcPr>
          <w:p w14:paraId="707E9FA3">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44BF1E3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72F6C9F7">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6C0B9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567DA491">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2D1F3422">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HCO</w:t>
            </w:r>
            <w:r>
              <w:rPr>
                <w:rFonts w:ascii="Times New Roman" w:hAnsi="Times New Roman" w:cs="Times New Roman" w:eastAsiaTheme="minorEastAsia"/>
                <w:bCs/>
                <w:color w:val="000000" w:themeColor="text1"/>
                <w:w w:val="99"/>
                <w:kern w:val="2"/>
                <w:sz w:val="21"/>
                <w:szCs w:val="21"/>
                <w:vertAlign w:val="subscript"/>
                <w:lang w:val="en-US" w:bidi="ar-SA"/>
                <w14:textFill>
                  <w14:solidFill>
                    <w14:schemeClr w14:val="tx1"/>
                  </w14:solidFill>
                </w14:textFill>
              </w:rPr>
              <w:t>3</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w:t>
            </w:r>
          </w:p>
        </w:tc>
        <w:tc>
          <w:tcPr>
            <w:tcW w:w="797" w:type="pct"/>
            <w:vAlign w:val="center"/>
          </w:tcPr>
          <w:p w14:paraId="211FB90C">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3.475 </w:t>
            </w:r>
          </w:p>
        </w:tc>
        <w:tc>
          <w:tcPr>
            <w:tcW w:w="799" w:type="pct"/>
            <w:vAlign w:val="center"/>
          </w:tcPr>
          <w:p w14:paraId="590AB9C7">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63.369 </w:t>
            </w:r>
          </w:p>
        </w:tc>
        <w:tc>
          <w:tcPr>
            <w:tcW w:w="878" w:type="pct"/>
            <w:vMerge w:val="restart"/>
            <w:vAlign w:val="center"/>
          </w:tcPr>
          <w:p w14:paraId="0B85FEE2">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5.484 </w:t>
            </w:r>
          </w:p>
        </w:tc>
        <w:tc>
          <w:tcPr>
            <w:tcW w:w="564" w:type="pct"/>
            <w:vMerge w:val="continue"/>
            <w:vAlign w:val="center"/>
          </w:tcPr>
          <w:p w14:paraId="2E8FD3AF">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5EB8A129">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73F00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12E3C6F3">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47541B57">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CO</w:t>
            </w:r>
            <w:r>
              <w:rPr>
                <w:rFonts w:ascii="Times New Roman" w:hAnsi="Times New Roman" w:cs="Times New Roman" w:eastAsiaTheme="minorEastAsia"/>
                <w:bCs/>
                <w:color w:val="000000" w:themeColor="text1"/>
                <w:w w:val="99"/>
                <w:kern w:val="2"/>
                <w:sz w:val="21"/>
                <w:szCs w:val="21"/>
                <w:vertAlign w:val="subscript"/>
                <w:lang w:val="en-US" w:bidi="ar-SA"/>
                <w14:textFill>
                  <w14:solidFill>
                    <w14:schemeClr w14:val="tx1"/>
                  </w14:solidFill>
                </w14:textFill>
              </w:rPr>
              <w:t>3</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2-</w:t>
            </w:r>
          </w:p>
        </w:tc>
        <w:tc>
          <w:tcPr>
            <w:tcW w:w="797" w:type="pct"/>
            <w:vAlign w:val="center"/>
          </w:tcPr>
          <w:p w14:paraId="00A9A1E4">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0.000 </w:t>
            </w:r>
          </w:p>
        </w:tc>
        <w:tc>
          <w:tcPr>
            <w:tcW w:w="799" w:type="pct"/>
            <w:vAlign w:val="center"/>
          </w:tcPr>
          <w:p w14:paraId="06B44DAC">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0.000 </w:t>
            </w:r>
          </w:p>
        </w:tc>
        <w:tc>
          <w:tcPr>
            <w:tcW w:w="878" w:type="pct"/>
            <w:vMerge w:val="continue"/>
            <w:vAlign w:val="center"/>
          </w:tcPr>
          <w:p w14:paraId="4E14688C">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7FFB9683">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71CA2B67">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569F4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5B1D3F21">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0C0BB5B9">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Cl</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w:t>
            </w:r>
          </w:p>
        </w:tc>
        <w:tc>
          <w:tcPr>
            <w:tcW w:w="797" w:type="pct"/>
            <w:vAlign w:val="center"/>
          </w:tcPr>
          <w:p w14:paraId="384740CA">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1.249 </w:t>
            </w:r>
          </w:p>
        </w:tc>
        <w:tc>
          <w:tcPr>
            <w:tcW w:w="799" w:type="pct"/>
            <w:vAlign w:val="center"/>
          </w:tcPr>
          <w:p w14:paraId="208D6345">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22.766 </w:t>
            </w:r>
          </w:p>
        </w:tc>
        <w:tc>
          <w:tcPr>
            <w:tcW w:w="878" w:type="pct"/>
            <w:vMerge w:val="continue"/>
            <w:vAlign w:val="center"/>
          </w:tcPr>
          <w:p w14:paraId="6B261865">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2F82BBBA">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45688AB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2A799B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37C17F9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15497D5C">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SO</w:t>
            </w:r>
            <w:r>
              <w:rPr>
                <w:rFonts w:ascii="Times New Roman" w:hAnsi="Times New Roman" w:cs="Times New Roman" w:eastAsiaTheme="minorEastAsia"/>
                <w:bCs/>
                <w:color w:val="000000" w:themeColor="text1"/>
                <w:w w:val="99"/>
                <w:kern w:val="2"/>
                <w:sz w:val="21"/>
                <w:szCs w:val="21"/>
                <w:vertAlign w:val="subscript"/>
                <w:lang w:val="en-US" w:bidi="ar-SA"/>
                <w14:textFill>
                  <w14:solidFill>
                    <w14:schemeClr w14:val="tx1"/>
                  </w14:solidFill>
                </w14:textFill>
              </w:rPr>
              <w:t>4</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2-</w:t>
            </w:r>
          </w:p>
        </w:tc>
        <w:tc>
          <w:tcPr>
            <w:tcW w:w="797" w:type="pct"/>
            <w:vAlign w:val="center"/>
          </w:tcPr>
          <w:p w14:paraId="3F5AE54C">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0.760 </w:t>
            </w:r>
          </w:p>
        </w:tc>
        <w:tc>
          <w:tcPr>
            <w:tcW w:w="799" w:type="pct"/>
            <w:vAlign w:val="center"/>
          </w:tcPr>
          <w:p w14:paraId="1D1B7B43">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13.865 </w:t>
            </w:r>
          </w:p>
        </w:tc>
        <w:tc>
          <w:tcPr>
            <w:tcW w:w="878" w:type="pct"/>
            <w:vMerge w:val="continue"/>
            <w:vAlign w:val="center"/>
          </w:tcPr>
          <w:p w14:paraId="42548D5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40BEE778">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76C2CE84">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09BE8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restart"/>
            <w:vAlign w:val="center"/>
          </w:tcPr>
          <w:p w14:paraId="16565AA0">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龙虎岗村潜水井(韩家)</w:t>
            </w:r>
          </w:p>
        </w:tc>
        <w:tc>
          <w:tcPr>
            <w:tcW w:w="666" w:type="pct"/>
            <w:vAlign w:val="center"/>
          </w:tcPr>
          <w:p w14:paraId="09DF5BA2">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K</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w:t>
            </w:r>
          </w:p>
        </w:tc>
        <w:tc>
          <w:tcPr>
            <w:tcW w:w="797" w:type="pct"/>
            <w:vAlign w:val="center"/>
          </w:tcPr>
          <w:p w14:paraId="58CB0F78">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0.077 </w:t>
            </w:r>
          </w:p>
        </w:tc>
        <w:tc>
          <w:tcPr>
            <w:tcW w:w="799" w:type="pct"/>
            <w:vAlign w:val="center"/>
          </w:tcPr>
          <w:p w14:paraId="011D629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1.225 </w:t>
            </w:r>
          </w:p>
        </w:tc>
        <w:tc>
          <w:tcPr>
            <w:tcW w:w="878" w:type="pct"/>
            <w:vMerge w:val="restart"/>
            <w:vAlign w:val="center"/>
          </w:tcPr>
          <w:p w14:paraId="5F5BCEDC">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6.320 </w:t>
            </w:r>
          </w:p>
        </w:tc>
        <w:tc>
          <w:tcPr>
            <w:tcW w:w="564" w:type="pct"/>
            <w:vMerge w:val="restart"/>
            <w:vAlign w:val="center"/>
          </w:tcPr>
          <w:p w14:paraId="601BBADE">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1.13 </w:t>
            </w:r>
          </w:p>
        </w:tc>
        <w:tc>
          <w:tcPr>
            <w:tcW w:w="463" w:type="pct"/>
            <w:vMerge w:val="restart"/>
            <w:vAlign w:val="center"/>
          </w:tcPr>
          <w:p w14:paraId="22DCC000">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0.47 </w:t>
            </w:r>
          </w:p>
        </w:tc>
      </w:tr>
      <w:tr w14:paraId="2F17F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6C9A0762">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6C1A3003">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Na</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w:t>
            </w:r>
          </w:p>
        </w:tc>
        <w:tc>
          <w:tcPr>
            <w:tcW w:w="797" w:type="pct"/>
            <w:vAlign w:val="center"/>
          </w:tcPr>
          <w:p w14:paraId="43B0D535">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2.670 </w:t>
            </w:r>
          </w:p>
        </w:tc>
        <w:tc>
          <w:tcPr>
            <w:tcW w:w="799" w:type="pct"/>
            <w:vAlign w:val="center"/>
          </w:tcPr>
          <w:p w14:paraId="71F01E4E">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42.238 </w:t>
            </w:r>
          </w:p>
        </w:tc>
        <w:tc>
          <w:tcPr>
            <w:tcW w:w="878" w:type="pct"/>
            <w:vMerge w:val="continue"/>
            <w:vAlign w:val="center"/>
          </w:tcPr>
          <w:p w14:paraId="23C77E30">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3740C7FC">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4B44F280">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13286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467EF0D8">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0EEA68E9">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Ca</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2+</w:t>
            </w:r>
          </w:p>
        </w:tc>
        <w:tc>
          <w:tcPr>
            <w:tcW w:w="797" w:type="pct"/>
            <w:vAlign w:val="center"/>
          </w:tcPr>
          <w:p w14:paraId="51C76F5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2.615 </w:t>
            </w:r>
          </w:p>
        </w:tc>
        <w:tc>
          <w:tcPr>
            <w:tcW w:w="799" w:type="pct"/>
            <w:vAlign w:val="center"/>
          </w:tcPr>
          <w:p w14:paraId="6B07150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41.374 </w:t>
            </w:r>
          </w:p>
        </w:tc>
        <w:tc>
          <w:tcPr>
            <w:tcW w:w="878" w:type="pct"/>
            <w:vMerge w:val="continue"/>
            <w:vAlign w:val="center"/>
          </w:tcPr>
          <w:p w14:paraId="09BE7EC5">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6C11FB25">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08DCA16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4AF00E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105E4404">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0B64084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Mg</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2+</w:t>
            </w:r>
          </w:p>
        </w:tc>
        <w:tc>
          <w:tcPr>
            <w:tcW w:w="797" w:type="pct"/>
            <w:vAlign w:val="center"/>
          </w:tcPr>
          <w:p w14:paraId="179E2F7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0.958 </w:t>
            </w:r>
          </w:p>
        </w:tc>
        <w:tc>
          <w:tcPr>
            <w:tcW w:w="799" w:type="pct"/>
            <w:vAlign w:val="center"/>
          </w:tcPr>
          <w:p w14:paraId="2A8F8707">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15.163 </w:t>
            </w:r>
          </w:p>
        </w:tc>
        <w:tc>
          <w:tcPr>
            <w:tcW w:w="878" w:type="pct"/>
            <w:vMerge w:val="continue"/>
            <w:vAlign w:val="center"/>
          </w:tcPr>
          <w:p w14:paraId="5F3BE41E">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17AB452B">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2089362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72F27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766DE564">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7106224A">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HCO</w:t>
            </w:r>
            <w:r>
              <w:rPr>
                <w:rFonts w:ascii="Times New Roman" w:hAnsi="Times New Roman" w:cs="Times New Roman" w:eastAsiaTheme="minorEastAsia"/>
                <w:bCs/>
                <w:color w:val="000000" w:themeColor="text1"/>
                <w:w w:val="99"/>
                <w:kern w:val="2"/>
                <w:sz w:val="21"/>
                <w:szCs w:val="21"/>
                <w:vertAlign w:val="subscript"/>
                <w:lang w:val="en-US" w:bidi="ar-SA"/>
                <w14:textFill>
                  <w14:solidFill>
                    <w14:schemeClr w14:val="tx1"/>
                  </w14:solidFill>
                </w14:textFill>
              </w:rPr>
              <w:t>3</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w:t>
            </w:r>
          </w:p>
        </w:tc>
        <w:tc>
          <w:tcPr>
            <w:tcW w:w="797" w:type="pct"/>
            <w:vAlign w:val="center"/>
          </w:tcPr>
          <w:p w14:paraId="135E5F8E">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4.115 </w:t>
            </w:r>
          </w:p>
        </w:tc>
        <w:tc>
          <w:tcPr>
            <w:tcW w:w="799" w:type="pct"/>
            <w:vAlign w:val="center"/>
          </w:tcPr>
          <w:p w14:paraId="26848901">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63.645 </w:t>
            </w:r>
          </w:p>
        </w:tc>
        <w:tc>
          <w:tcPr>
            <w:tcW w:w="878" w:type="pct"/>
            <w:vMerge w:val="restart"/>
            <w:vAlign w:val="center"/>
          </w:tcPr>
          <w:p w14:paraId="4588AA9A">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6.465 </w:t>
            </w:r>
          </w:p>
        </w:tc>
        <w:tc>
          <w:tcPr>
            <w:tcW w:w="564" w:type="pct"/>
            <w:vMerge w:val="continue"/>
            <w:vAlign w:val="center"/>
          </w:tcPr>
          <w:p w14:paraId="2705BB7A">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21F5EF85">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35766C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5BCA9228">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0555EE5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CO</w:t>
            </w:r>
            <w:r>
              <w:rPr>
                <w:rFonts w:ascii="Times New Roman" w:hAnsi="Times New Roman" w:cs="Times New Roman" w:eastAsiaTheme="minorEastAsia"/>
                <w:bCs/>
                <w:color w:val="000000" w:themeColor="text1"/>
                <w:w w:val="99"/>
                <w:kern w:val="2"/>
                <w:sz w:val="21"/>
                <w:szCs w:val="21"/>
                <w:vertAlign w:val="subscript"/>
                <w:lang w:val="en-US" w:bidi="ar-SA"/>
                <w14:textFill>
                  <w14:solidFill>
                    <w14:schemeClr w14:val="tx1"/>
                  </w14:solidFill>
                </w14:textFill>
              </w:rPr>
              <w:t>3</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2-</w:t>
            </w:r>
          </w:p>
        </w:tc>
        <w:tc>
          <w:tcPr>
            <w:tcW w:w="797" w:type="pct"/>
            <w:vAlign w:val="center"/>
          </w:tcPr>
          <w:p w14:paraId="4CA6137E">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0.000 </w:t>
            </w:r>
          </w:p>
        </w:tc>
        <w:tc>
          <w:tcPr>
            <w:tcW w:w="799" w:type="pct"/>
            <w:vAlign w:val="center"/>
          </w:tcPr>
          <w:p w14:paraId="1A469AF9">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0.000 </w:t>
            </w:r>
          </w:p>
        </w:tc>
        <w:tc>
          <w:tcPr>
            <w:tcW w:w="878" w:type="pct"/>
            <w:vMerge w:val="continue"/>
            <w:vAlign w:val="center"/>
          </w:tcPr>
          <w:p w14:paraId="21B3FFE7">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116CF24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1B981BF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73A9A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1B2323E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2E24E9D3">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Cl</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w:t>
            </w:r>
          </w:p>
        </w:tc>
        <w:tc>
          <w:tcPr>
            <w:tcW w:w="797" w:type="pct"/>
            <w:vAlign w:val="center"/>
          </w:tcPr>
          <w:p w14:paraId="592B1121">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1.440 </w:t>
            </w:r>
          </w:p>
        </w:tc>
        <w:tc>
          <w:tcPr>
            <w:tcW w:w="799" w:type="pct"/>
            <w:vAlign w:val="center"/>
          </w:tcPr>
          <w:p w14:paraId="643CF1C8">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22.273 </w:t>
            </w:r>
          </w:p>
        </w:tc>
        <w:tc>
          <w:tcPr>
            <w:tcW w:w="878" w:type="pct"/>
            <w:vMerge w:val="continue"/>
            <w:vAlign w:val="center"/>
          </w:tcPr>
          <w:p w14:paraId="11147AD9">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59B98D9A">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3E7A44AE">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1CC14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4F157010">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0479066F">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SO</w:t>
            </w:r>
            <w:r>
              <w:rPr>
                <w:rFonts w:ascii="Times New Roman" w:hAnsi="Times New Roman" w:cs="Times New Roman" w:eastAsiaTheme="minorEastAsia"/>
                <w:bCs/>
                <w:color w:val="000000" w:themeColor="text1"/>
                <w:w w:val="99"/>
                <w:kern w:val="2"/>
                <w:sz w:val="21"/>
                <w:szCs w:val="21"/>
                <w:vertAlign w:val="subscript"/>
                <w:lang w:val="en-US" w:bidi="ar-SA"/>
                <w14:textFill>
                  <w14:solidFill>
                    <w14:schemeClr w14:val="tx1"/>
                  </w14:solidFill>
                </w14:textFill>
              </w:rPr>
              <w:t>4</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2-</w:t>
            </w:r>
          </w:p>
        </w:tc>
        <w:tc>
          <w:tcPr>
            <w:tcW w:w="797" w:type="pct"/>
            <w:vAlign w:val="center"/>
          </w:tcPr>
          <w:p w14:paraId="31F88407">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0.910 </w:t>
            </w:r>
          </w:p>
        </w:tc>
        <w:tc>
          <w:tcPr>
            <w:tcW w:w="799" w:type="pct"/>
            <w:vAlign w:val="center"/>
          </w:tcPr>
          <w:p w14:paraId="25EDC0C2">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14.082 </w:t>
            </w:r>
          </w:p>
        </w:tc>
        <w:tc>
          <w:tcPr>
            <w:tcW w:w="878" w:type="pct"/>
            <w:vMerge w:val="continue"/>
            <w:vAlign w:val="center"/>
          </w:tcPr>
          <w:p w14:paraId="2D089F81">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3EDBE73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1541EA2C">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2D5F0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restart"/>
            <w:vAlign w:val="center"/>
          </w:tcPr>
          <w:p w14:paraId="3EEDB7BB">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双榆树潜水井(陈家)</w:t>
            </w:r>
          </w:p>
        </w:tc>
        <w:tc>
          <w:tcPr>
            <w:tcW w:w="666" w:type="pct"/>
            <w:vAlign w:val="center"/>
          </w:tcPr>
          <w:p w14:paraId="40AE46FE">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K</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w:t>
            </w:r>
          </w:p>
        </w:tc>
        <w:tc>
          <w:tcPr>
            <w:tcW w:w="797" w:type="pct"/>
            <w:vAlign w:val="center"/>
          </w:tcPr>
          <w:p w14:paraId="78E651BE">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0.054 </w:t>
            </w:r>
          </w:p>
        </w:tc>
        <w:tc>
          <w:tcPr>
            <w:tcW w:w="799" w:type="pct"/>
            <w:vAlign w:val="center"/>
          </w:tcPr>
          <w:p w14:paraId="36DACD33">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0.943 </w:t>
            </w:r>
          </w:p>
        </w:tc>
        <w:tc>
          <w:tcPr>
            <w:tcW w:w="878" w:type="pct"/>
            <w:vMerge w:val="restart"/>
            <w:vAlign w:val="center"/>
          </w:tcPr>
          <w:p w14:paraId="02FEFC04">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5.683 </w:t>
            </w:r>
          </w:p>
        </w:tc>
        <w:tc>
          <w:tcPr>
            <w:tcW w:w="564" w:type="pct"/>
            <w:vMerge w:val="restart"/>
            <w:vAlign w:val="center"/>
          </w:tcPr>
          <w:p w14:paraId="0B16DACE">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0.92 </w:t>
            </w:r>
          </w:p>
        </w:tc>
        <w:tc>
          <w:tcPr>
            <w:tcW w:w="463" w:type="pct"/>
            <w:vMerge w:val="restart"/>
            <w:vAlign w:val="center"/>
          </w:tcPr>
          <w:p w14:paraId="06D4D0E8">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0.42 </w:t>
            </w:r>
          </w:p>
        </w:tc>
      </w:tr>
      <w:tr w14:paraId="3FFE6E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312959A2">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1A606270">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Na</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w:t>
            </w:r>
          </w:p>
        </w:tc>
        <w:tc>
          <w:tcPr>
            <w:tcW w:w="797" w:type="pct"/>
            <w:vAlign w:val="center"/>
          </w:tcPr>
          <w:p w14:paraId="7EAD1A35">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2.539 </w:t>
            </w:r>
          </w:p>
        </w:tc>
        <w:tc>
          <w:tcPr>
            <w:tcW w:w="799" w:type="pct"/>
            <w:vAlign w:val="center"/>
          </w:tcPr>
          <w:p w14:paraId="51D353F2">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44.682 </w:t>
            </w:r>
          </w:p>
        </w:tc>
        <w:tc>
          <w:tcPr>
            <w:tcW w:w="878" w:type="pct"/>
            <w:vMerge w:val="continue"/>
            <w:vAlign w:val="center"/>
          </w:tcPr>
          <w:p w14:paraId="33484BF3">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7796655E">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5FBBBAE9">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61606A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1EF1BA90">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3A8ED897">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Ca</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2+</w:t>
            </w:r>
          </w:p>
        </w:tc>
        <w:tc>
          <w:tcPr>
            <w:tcW w:w="797" w:type="pct"/>
            <w:vAlign w:val="center"/>
          </w:tcPr>
          <w:p w14:paraId="1517EE20">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2.240 </w:t>
            </w:r>
          </w:p>
        </w:tc>
        <w:tc>
          <w:tcPr>
            <w:tcW w:w="799" w:type="pct"/>
            <w:vAlign w:val="center"/>
          </w:tcPr>
          <w:p w14:paraId="52171039">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39.418 </w:t>
            </w:r>
          </w:p>
        </w:tc>
        <w:tc>
          <w:tcPr>
            <w:tcW w:w="878" w:type="pct"/>
            <w:vMerge w:val="continue"/>
            <w:vAlign w:val="center"/>
          </w:tcPr>
          <w:p w14:paraId="59D6494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0CC6ECB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4673BE82">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5865FB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4AE29235">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710FCFB2">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Mg</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2+</w:t>
            </w:r>
          </w:p>
        </w:tc>
        <w:tc>
          <w:tcPr>
            <w:tcW w:w="797" w:type="pct"/>
            <w:vAlign w:val="center"/>
          </w:tcPr>
          <w:p w14:paraId="069FD4B5">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0.850 </w:t>
            </w:r>
          </w:p>
        </w:tc>
        <w:tc>
          <w:tcPr>
            <w:tcW w:w="799" w:type="pct"/>
            <w:vAlign w:val="center"/>
          </w:tcPr>
          <w:p w14:paraId="3CAFCCB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14.958 </w:t>
            </w:r>
          </w:p>
        </w:tc>
        <w:tc>
          <w:tcPr>
            <w:tcW w:w="878" w:type="pct"/>
            <w:vMerge w:val="continue"/>
            <w:vAlign w:val="center"/>
          </w:tcPr>
          <w:p w14:paraId="3F4E563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3B4E3081">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41A7AB5E">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5C07AE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5B62F3B9">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7E2CE761">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HCO</w:t>
            </w:r>
            <w:r>
              <w:rPr>
                <w:rFonts w:ascii="Times New Roman" w:hAnsi="Times New Roman" w:cs="Times New Roman" w:eastAsiaTheme="minorEastAsia"/>
                <w:bCs/>
                <w:color w:val="000000" w:themeColor="text1"/>
                <w:w w:val="99"/>
                <w:kern w:val="2"/>
                <w:sz w:val="21"/>
                <w:szCs w:val="21"/>
                <w:vertAlign w:val="subscript"/>
                <w:lang w:val="en-US" w:bidi="ar-SA"/>
                <w14:textFill>
                  <w14:solidFill>
                    <w14:schemeClr w14:val="tx1"/>
                  </w14:solidFill>
                </w14:textFill>
              </w:rPr>
              <w:t>3</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w:t>
            </w:r>
          </w:p>
        </w:tc>
        <w:tc>
          <w:tcPr>
            <w:tcW w:w="797" w:type="pct"/>
            <w:vAlign w:val="center"/>
          </w:tcPr>
          <w:p w14:paraId="1BB57904">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3.623 </w:t>
            </w:r>
          </w:p>
        </w:tc>
        <w:tc>
          <w:tcPr>
            <w:tcW w:w="799" w:type="pct"/>
            <w:vAlign w:val="center"/>
          </w:tcPr>
          <w:p w14:paraId="1BF03CD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62.590 </w:t>
            </w:r>
          </w:p>
        </w:tc>
        <w:tc>
          <w:tcPr>
            <w:tcW w:w="878" w:type="pct"/>
            <w:vMerge w:val="restart"/>
            <w:vAlign w:val="center"/>
          </w:tcPr>
          <w:p w14:paraId="6A5AA1E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5.788 </w:t>
            </w:r>
          </w:p>
        </w:tc>
        <w:tc>
          <w:tcPr>
            <w:tcW w:w="564" w:type="pct"/>
            <w:vMerge w:val="continue"/>
            <w:vAlign w:val="center"/>
          </w:tcPr>
          <w:p w14:paraId="3202E62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3445277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0DC9C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2DCE00B4">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52FDCDFC">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CO</w:t>
            </w:r>
            <w:r>
              <w:rPr>
                <w:rFonts w:ascii="Times New Roman" w:hAnsi="Times New Roman" w:cs="Times New Roman" w:eastAsiaTheme="minorEastAsia"/>
                <w:bCs/>
                <w:color w:val="000000" w:themeColor="text1"/>
                <w:w w:val="99"/>
                <w:kern w:val="2"/>
                <w:sz w:val="21"/>
                <w:szCs w:val="21"/>
                <w:vertAlign w:val="subscript"/>
                <w:lang w:val="en-US" w:bidi="ar-SA"/>
                <w14:textFill>
                  <w14:solidFill>
                    <w14:schemeClr w14:val="tx1"/>
                  </w14:solidFill>
                </w14:textFill>
              </w:rPr>
              <w:t>3</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2-</w:t>
            </w:r>
          </w:p>
        </w:tc>
        <w:tc>
          <w:tcPr>
            <w:tcW w:w="797" w:type="pct"/>
            <w:vAlign w:val="center"/>
          </w:tcPr>
          <w:p w14:paraId="6DD41928">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0.000 </w:t>
            </w:r>
          </w:p>
        </w:tc>
        <w:tc>
          <w:tcPr>
            <w:tcW w:w="799" w:type="pct"/>
            <w:vAlign w:val="center"/>
          </w:tcPr>
          <w:p w14:paraId="7CD600D9">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0.000 </w:t>
            </w:r>
          </w:p>
        </w:tc>
        <w:tc>
          <w:tcPr>
            <w:tcW w:w="878" w:type="pct"/>
            <w:vMerge w:val="continue"/>
            <w:vAlign w:val="center"/>
          </w:tcPr>
          <w:p w14:paraId="38EB85A2">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3E727AFB">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48E4D4F0">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76D1B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11159534">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0409A8F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Cl</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w:t>
            </w:r>
          </w:p>
        </w:tc>
        <w:tc>
          <w:tcPr>
            <w:tcW w:w="797" w:type="pct"/>
            <w:vAlign w:val="center"/>
          </w:tcPr>
          <w:p w14:paraId="01A39A45">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1.357 </w:t>
            </w:r>
          </w:p>
        </w:tc>
        <w:tc>
          <w:tcPr>
            <w:tcW w:w="799" w:type="pct"/>
            <w:vAlign w:val="center"/>
          </w:tcPr>
          <w:p w14:paraId="7C6205AE">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23.446 </w:t>
            </w:r>
          </w:p>
        </w:tc>
        <w:tc>
          <w:tcPr>
            <w:tcW w:w="878" w:type="pct"/>
            <w:vMerge w:val="continue"/>
            <w:vAlign w:val="center"/>
          </w:tcPr>
          <w:p w14:paraId="5780E264">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0679F737">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100DA724">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752BCC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67A6F77F">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0B71C3A4">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SO</w:t>
            </w:r>
            <w:r>
              <w:rPr>
                <w:rFonts w:ascii="Times New Roman" w:hAnsi="Times New Roman" w:cs="Times New Roman" w:eastAsiaTheme="minorEastAsia"/>
                <w:bCs/>
                <w:color w:val="000000" w:themeColor="text1"/>
                <w:w w:val="99"/>
                <w:kern w:val="2"/>
                <w:sz w:val="21"/>
                <w:szCs w:val="21"/>
                <w:vertAlign w:val="subscript"/>
                <w:lang w:val="en-US" w:bidi="ar-SA"/>
                <w14:textFill>
                  <w14:solidFill>
                    <w14:schemeClr w14:val="tx1"/>
                  </w14:solidFill>
                </w14:textFill>
              </w:rPr>
              <w:t>4</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2-</w:t>
            </w:r>
          </w:p>
        </w:tc>
        <w:tc>
          <w:tcPr>
            <w:tcW w:w="797" w:type="pct"/>
            <w:vAlign w:val="center"/>
          </w:tcPr>
          <w:p w14:paraId="266B31C3">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0.808 </w:t>
            </w:r>
          </w:p>
        </w:tc>
        <w:tc>
          <w:tcPr>
            <w:tcW w:w="799" w:type="pct"/>
            <w:vAlign w:val="center"/>
          </w:tcPr>
          <w:p w14:paraId="7960CEBE">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13.965 </w:t>
            </w:r>
          </w:p>
        </w:tc>
        <w:tc>
          <w:tcPr>
            <w:tcW w:w="878" w:type="pct"/>
            <w:vMerge w:val="continue"/>
            <w:vAlign w:val="center"/>
          </w:tcPr>
          <w:p w14:paraId="11E8451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16B02734">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7EDCBC2B">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4E9F9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restart"/>
            <w:vAlign w:val="center"/>
          </w:tcPr>
          <w:p w14:paraId="2C4BC050">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杏树岗村潜水井(张家)</w:t>
            </w:r>
          </w:p>
        </w:tc>
        <w:tc>
          <w:tcPr>
            <w:tcW w:w="666" w:type="pct"/>
            <w:vAlign w:val="center"/>
          </w:tcPr>
          <w:p w14:paraId="711D7D4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K</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w:t>
            </w:r>
          </w:p>
        </w:tc>
        <w:tc>
          <w:tcPr>
            <w:tcW w:w="797" w:type="pct"/>
            <w:vAlign w:val="center"/>
          </w:tcPr>
          <w:p w14:paraId="135BD9D3">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0.051 </w:t>
            </w:r>
          </w:p>
        </w:tc>
        <w:tc>
          <w:tcPr>
            <w:tcW w:w="799" w:type="pct"/>
            <w:vAlign w:val="center"/>
          </w:tcPr>
          <w:p w14:paraId="45C01CA3">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0.999 </w:t>
            </w:r>
          </w:p>
        </w:tc>
        <w:tc>
          <w:tcPr>
            <w:tcW w:w="878" w:type="pct"/>
            <w:vMerge w:val="restart"/>
            <w:vAlign w:val="center"/>
          </w:tcPr>
          <w:p w14:paraId="761780C3">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5.054 </w:t>
            </w:r>
          </w:p>
        </w:tc>
        <w:tc>
          <w:tcPr>
            <w:tcW w:w="564" w:type="pct"/>
            <w:vMerge w:val="restart"/>
            <w:vAlign w:val="center"/>
          </w:tcPr>
          <w:p w14:paraId="7EB3BA1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0.96 </w:t>
            </w:r>
          </w:p>
        </w:tc>
        <w:tc>
          <w:tcPr>
            <w:tcW w:w="463" w:type="pct"/>
            <w:vMerge w:val="restart"/>
            <w:vAlign w:val="center"/>
          </w:tcPr>
          <w:p w14:paraId="4FF6EAEF">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0.38 </w:t>
            </w:r>
          </w:p>
        </w:tc>
      </w:tr>
      <w:tr w14:paraId="0D01A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5CC71D6A">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5DC04EF0">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Na</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w:t>
            </w:r>
          </w:p>
        </w:tc>
        <w:tc>
          <w:tcPr>
            <w:tcW w:w="797" w:type="pct"/>
            <w:vAlign w:val="center"/>
          </w:tcPr>
          <w:p w14:paraId="35A12873">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2.235 </w:t>
            </w:r>
          </w:p>
        </w:tc>
        <w:tc>
          <w:tcPr>
            <w:tcW w:w="799" w:type="pct"/>
            <w:vAlign w:val="center"/>
          </w:tcPr>
          <w:p w14:paraId="0299A6C3">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44.214 </w:t>
            </w:r>
          </w:p>
        </w:tc>
        <w:tc>
          <w:tcPr>
            <w:tcW w:w="878" w:type="pct"/>
            <w:vMerge w:val="continue"/>
            <w:vAlign w:val="center"/>
          </w:tcPr>
          <w:p w14:paraId="5B9F384B">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063F6A98">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49E90F6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22B71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13E3C74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24618DC5">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Ca</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2+</w:t>
            </w:r>
          </w:p>
        </w:tc>
        <w:tc>
          <w:tcPr>
            <w:tcW w:w="797" w:type="pct"/>
            <w:vAlign w:val="center"/>
          </w:tcPr>
          <w:p w14:paraId="4D888C44">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2.015 </w:t>
            </w:r>
          </w:p>
        </w:tc>
        <w:tc>
          <w:tcPr>
            <w:tcW w:w="799" w:type="pct"/>
            <w:vAlign w:val="center"/>
          </w:tcPr>
          <w:p w14:paraId="0A79F468">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39.866 </w:t>
            </w:r>
          </w:p>
        </w:tc>
        <w:tc>
          <w:tcPr>
            <w:tcW w:w="878" w:type="pct"/>
            <w:vMerge w:val="continue"/>
            <w:vAlign w:val="center"/>
          </w:tcPr>
          <w:p w14:paraId="03A1FC3F">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7856B4C8">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316249D4">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55045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64E7B140">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2787C249">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Mg</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2+</w:t>
            </w:r>
          </w:p>
        </w:tc>
        <w:tc>
          <w:tcPr>
            <w:tcW w:w="797" w:type="pct"/>
            <w:vAlign w:val="center"/>
          </w:tcPr>
          <w:p w14:paraId="1E3542CA">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0.754 </w:t>
            </w:r>
          </w:p>
        </w:tc>
        <w:tc>
          <w:tcPr>
            <w:tcW w:w="799" w:type="pct"/>
            <w:vAlign w:val="center"/>
          </w:tcPr>
          <w:p w14:paraId="7C4FF1CE">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14.921 </w:t>
            </w:r>
          </w:p>
        </w:tc>
        <w:tc>
          <w:tcPr>
            <w:tcW w:w="878" w:type="pct"/>
            <w:vMerge w:val="continue"/>
            <w:vAlign w:val="center"/>
          </w:tcPr>
          <w:p w14:paraId="21FC7568">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6D30DD23">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06A07710">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02184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21AF71BB">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62AAD159">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HCO</w:t>
            </w:r>
            <w:r>
              <w:rPr>
                <w:rFonts w:ascii="Times New Roman" w:hAnsi="Times New Roman" w:cs="Times New Roman" w:eastAsiaTheme="minorEastAsia"/>
                <w:bCs/>
                <w:color w:val="000000" w:themeColor="text1"/>
                <w:w w:val="99"/>
                <w:kern w:val="2"/>
                <w:sz w:val="21"/>
                <w:szCs w:val="21"/>
                <w:vertAlign w:val="subscript"/>
                <w:lang w:val="en-US" w:bidi="ar-SA"/>
                <w14:textFill>
                  <w14:solidFill>
                    <w14:schemeClr w14:val="tx1"/>
                  </w14:solidFill>
                </w14:textFill>
              </w:rPr>
              <w:t>3</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w:t>
            </w:r>
          </w:p>
        </w:tc>
        <w:tc>
          <w:tcPr>
            <w:tcW w:w="797" w:type="pct"/>
            <w:vAlign w:val="center"/>
          </w:tcPr>
          <w:p w14:paraId="4E2E28EF">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3.295 </w:t>
            </w:r>
          </w:p>
        </w:tc>
        <w:tc>
          <w:tcPr>
            <w:tcW w:w="799" w:type="pct"/>
            <w:vAlign w:val="center"/>
          </w:tcPr>
          <w:p w14:paraId="5BE53E5A">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63.955 </w:t>
            </w:r>
          </w:p>
        </w:tc>
        <w:tc>
          <w:tcPr>
            <w:tcW w:w="878" w:type="pct"/>
            <w:vMerge w:val="restart"/>
            <w:vAlign w:val="center"/>
          </w:tcPr>
          <w:p w14:paraId="0495E142">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5.152 </w:t>
            </w:r>
          </w:p>
        </w:tc>
        <w:tc>
          <w:tcPr>
            <w:tcW w:w="564" w:type="pct"/>
            <w:vMerge w:val="continue"/>
            <w:vAlign w:val="center"/>
          </w:tcPr>
          <w:p w14:paraId="04EF5D4C">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6DDAE88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189A3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799D79D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295912D1">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CO</w:t>
            </w:r>
            <w:r>
              <w:rPr>
                <w:rFonts w:ascii="Times New Roman" w:hAnsi="Times New Roman" w:cs="Times New Roman" w:eastAsiaTheme="minorEastAsia"/>
                <w:bCs/>
                <w:color w:val="000000" w:themeColor="text1"/>
                <w:w w:val="99"/>
                <w:kern w:val="2"/>
                <w:sz w:val="21"/>
                <w:szCs w:val="21"/>
                <w:vertAlign w:val="subscript"/>
                <w:lang w:val="en-US" w:bidi="ar-SA"/>
                <w14:textFill>
                  <w14:solidFill>
                    <w14:schemeClr w14:val="tx1"/>
                  </w14:solidFill>
                </w14:textFill>
              </w:rPr>
              <w:t>3</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2-</w:t>
            </w:r>
          </w:p>
        </w:tc>
        <w:tc>
          <w:tcPr>
            <w:tcW w:w="797" w:type="pct"/>
            <w:vAlign w:val="center"/>
          </w:tcPr>
          <w:p w14:paraId="5933AC53">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0.000 </w:t>
            </w:r>
          </w:p>
        </w:tc>
        <w:tc>
          <w:tcPr>
            <w:tcW w:w="799" w:type="pct"/>
            <w:vAlign w:val="center"/>
          </w:tcPr>
          <w:p w14:paraId="2E66C22C">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0.000 </w:t>
            </w:r>
          </w:p>
        </w:tc>
        <w:tc>
          <w:tcPr>
            <w:tcW w:w="878" w:type="pct"/>
            <w:vMerge w:val="continue"/>
            <w:vAlign w:val="center"/>
          </w:tcPr>
          <w:p w14:paraId="3733D98B">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5B2D6EE1">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79038F38">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34B43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702C74EC">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748E762C">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Cl</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w:t>
            </w:r>
          </w:p>
        </w:tc>
        <w:tc>
          <w:tcPr>
            <w:tcW w:w="797" w:type="pct"/>
            <w:vAlign w:val="center"/>
          </w:tcPr>
          <w:p w14:paraId="18585A51">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1.180 </w:t>
            </w:r>
          </w:p>
        </w:tc>
        <w:tc>
          <w:tcPr>
            <w:tcW w:w="799" w:type="pct"/>
            <w:vAlign w:val="center"/>
          </w:tcPr>
          <w:p w14:paraId="108D914C">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22.903 </w:t>
            </w:r>
          </w:p>
        </w:tc>
        <w:tc>
          <w:tcPr>
            <w:tcW w:w="878" w:type="pct"/>
            <w:vMerge w:val="continue"/>
            <w:vAlign w:val="center"/>
          </w:tcPr>
          <w:p w14:paraId="220BC91C">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392EE900">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57AD76D2">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58EF0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01AC9C63">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55F8281A">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SO</w:t>
            </w:r>
            <w:r>
              <w:rPr>
                <w:rFonts w:ascii="Times New Roman" w:hAnsi="Times New Roman" w:cs="Times New Roman" w:eastAsiaTheme="minorEastAsia"/>
                <w:bCs/>
                <w:color w:val="000000" w:themeColor="text1"/>
                <w:w w:val="99"/>
                <w:kern w:val="2"/>
                <w:sz w:val="21"/>
                <w:szCs w:val="21"/>
                <w:vertAlign w:val="subscript"/>
                <w:lang w:val="en-US" w:bidi="ar-SA"/>
                <w14:textFill>
                  <w14:solidFill>
                    <w14:schemeClr w14:val="tx1"/>
                  </w14:solidFill>
                </w14:textFill>
              </w:rPr>
              <w:t>4</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2-</w:t>
            </w:r>
          </w:p>
        </w:tc>
        <w:tc>
          <w:tcPr>
            <w:tcW w:w="797" w:type="pct"/>
            <w:vAlign w:val="center"/>
          </w:tcPr>
          <w:p w14:paraId="2C2758BF">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0.677 </w:t>
            </w:r>
          </w:p>
        </w:tc>
        <w:tc>
          <w:tcPr>
            <w:tcW w:w="799" w:type="pct"/>
            <w:vAlign w:val="center"/>
          </w:tcPr>
          <w:p w14:paraId="7C84660F">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13.142 </w:t>
            </w:r>
          </w:p>
        </w:tc>
        <w:tc>
          <w:tcPr>
            <w:tcW w:w="878" w:type="pct"/>
            <w:vMerge w:val="continue"/>
            <w:vAlign w:val="center"/>
          </w:tcPr>
          <w:p w14:paraId="7E4C4302">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4EB3A3C7">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5C9EF377">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63F7F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restart"/>
            <w:vAlign w:val="center"/>
          </w:tcPr>
          <w:p w14:paraId="649928BB">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东好利保村潜水井(索家)</w:t>
            </w:r>
          </w:p>
        </w:tc>
        <w:tc>
          <w:tcPr>
            <w:tcW w:w="666" w:type="pct"/>
            <w:vAlign w:val="center"/>
          </w:tcPr>
          <w:p w14:paraId="62BC8777">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K</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w:t>
            </w:r>
          </w:p>
        </w:tc>
        <w:tc>
          <w:tcPr>
            <w:tcW w:w="797" w:type="pct"/>
            <w:vAlign w:val="center"/>
          </w:tcPr>
          <w:p w14:paraId="75A5D1E5">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0.071 </w:t>
            </w:r>
          </w:p>
        </w:tc>
        <w:tc>
          <w:tcPr>
            <w:tcW w:w="799" w:type="pct"/>
            <w:vAlign w:val="center"/>
          </w:tcPr>
          <w:p w14:paraId="75722D15">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1.184 </w:t>
            </w:r>
          </w:p>
        </w:tc>
        <w:tc>
          <w:tcPr>
            <w:tcW w:w="878" w:type="pct"/>
            <w:vMerge w:val="restart"/>
            <w:vAlign w:val="center"/>
          </w:tcPr>
          <w:p w14:paraId="3838783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6.019 </w:t>
            </w:r>
          </w:p>
        </w:tc>
        <w:tc>
          <w:tcPr>
            <w:tcW w:w="564" w:type="pct"/>
            <w:vMerge w:val="restart"/>
            <w:vAlign w:val="center"/>
          </w:tcPr>
          <w:p w14:paraId="69698E81">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0.01 </w:t>
            </w:r>
          </w:p>
        </w:tc>
        <w:tc>
          <w:tcPr>
            <w:tcW w:w="463" w:type="pct"/>
            <w:vMerge w:val="restart"/>
            <w:vAlign w:val="center"/>
          </w:tcPr>
          <w:p w14:paraId="118CDC9C">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0.44 </w:t>
            </w:r>
          </w:p>
        </w:tc>
      </w:tr>
      <w:tr w14:paraId="12450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3A9DD553">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540DA3CC">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Na</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w:t>
            </w:r>
          </w:p>
        </w:tc>
        <w:tc>
          <w:tcPr>
            <w:tcW w:w="797" w:type="pct"/>
            <w:vAlign w:val="center"/>
          </w:tcPr>
          <w:p w14:paraId="2A51B05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2.583 </w:t>
            </w:r>
          </w:p>
        </w:tc>
        <w:tc>
          <w:tcPr>
            <w:tcW w:w="799" w:type="pct"/>
            <w:vAlign w:val="center"/>
          </w:tcPr>
          <w:p w14:paraId="1AE79EC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42.908 </w:t>
            </w:r>
          </w:p>
        </w:tc>
        <w:tc>
          <w:tcPr>
            <w:tcW w:w="878" w:type="pct"/>
            <w:vMerge w:val="continue"/>
            <w:vAlign w:val="center"/>
          </w:tcPr>
          <w:p w14:paraId="42C3EF18">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71B856A4">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47E0B322">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5401E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7DF87D5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40EE455B">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Ca</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2+</w:t>
            </w:r>
          </w:p>
        </w:tc>
        <w:tc>
          <w:tcPr>
            <w:tcW w:w="797" w:type="pct"/>
            <w:vAlign w:val="center"/>
          </w:tcPr>
          <w:p w14:paraId="0FE7958B">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2.465 </w:t>
            </w:r>
          </w:p>
        </w:tc>
        <w:tc>
          <w:tcPr>
            <w:tcW w:w="799" w:type="pct"/>
            <w:vAlign w:val="center"/>
          </w:tcPr>
          <w:p w14:paraId="4260B509">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40.954 </w:t>
            </w:r>
          </w:p>
        </w:tc>
        <w:tc>
          <w:tcPr>
            <w:tcW w:w="878" w:type="pct"/>
            <w:vMerge w:val="continue"/>
            <w:vAlign w:val="center"/>
          </w:tcPr>
          <w:p w14:paraId="130DF54F">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1988A5C7">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2A4C811C">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09F5C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677D537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4DF7B16E">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Mg</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2+</w:t>
            </w:r>
          </w:p>
        </w:tc>
        <w:tc>
          <w:tcPr>
            <w:tcW w:w="797" w:type="pct"/>
            <w:vAlign w:val="center"/>
          </w:tcPr>
          <w:p w14:paraId="325EA174">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0.900 </w:t>
            </w:r>
          </w:p>
        </w:tc>
        <w:tc>
          <w:tcPr>
            <w:tcW w:w="799" w:type="pct"/>
            <w:vAlign w:val="center"/>
          </w:tcPr>
          <w:p w14:paraId="7364A678">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14.953 </w:t>
            </w:r>
          </w:p>
        </w:tc>
        <w:tc>
          <w:tcPr>
            <w:tcW w:w="878" w:type="pct"/>
            <w:vMerge w:val="continue"/>
            <w:vAlign w:val="center"/>
          </w:tcPr>
          <w:p w14:paraId="775346CC">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50CFEE07">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53EB6E5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0D895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35F5B594">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2E43CA2E">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HCO</w:t>
            </w:r>
            <w:r>
              <w:rPr>
                <w:rFonts w:ascii="Times New Roman" w:hAnsi="Times New Roman" w:cs="Times New Roman" w:eastAsiaTheme="minorEastAsia"/>
                <w:bCs/>
                <w:color w:val="000000" w:themeColor="text1"/>
                <w:w w:val="99"/>
                <w:kern w:val="2"/>
                <w:sz w:val="21"/>
                <w:szCs w:val="21"/>
                <w:vertAlign w:val="subscript"/>
                <w:lang w:val="en-US" w:bidi="ar-SA"/>
                <w14:textFill>
                  <w14:solidFill>
                    <w14:schemeClr w14:val="tx1"/>
                  </w14:solidFill>
                </w14:textFill>
              </w:rPr>
              <w:t>3</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w:t>
            </w:r>
          </w:p>
        </w:tc>
        <w:tc>
          <w:tcPr>
            <w:tcW w:w="797" w:type="pct"/>
            <w:vAlign w:val="center"/>
          </w:tcPr>
          <w:p w14:paraId="79B01143">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3.803 </w:t>
            </w:r>
          </w:p>
        </w:tc>
        <w:tc>
          <w:tcPr>
            <w:tcW w:w="799" w:type="pct"/>
            <w:vAlign w:val="center"/>
          </w:tcPr>
          <w:p w14:paraId="72932D4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63.172 </w:t>
            </w:r>
          </w:p>
        </w:tc>
        <w:tc>
          <w:tcPr>
            <w:tcW w:w="878" w:type="pct"/>
            <w:vMerge w:val="restart"/>
            <w:vAlign w:val="center"/>
          </w:tcPr>
          <w:p w14:paraId="133CD30A">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6.020 </w:t>
            </w:r>
          </w:p>
        </w:tc>
        <w:tc>
          <w:tcPr>
            <w:tcW w:w="564" w:type="pct"/>
            <w:vMerge w:val="continue"/>
            <w:vAlign w:val="center"/>
          </w:tcPr>
          <w:p w14:paraId="1F78DCCF">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7ABBB12F">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4F258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69BEA585">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51E0CCB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CO</w:t>
            </w:r>
            <w:r>
              <w:rPr>
                <w:rFonts w:ascii="Times New Roman" w:hAnsi="Times New Roman" w:cs="Times New Roman" w:eastAsiaTheme="minorEastAsia"/>
                <w:bCs/>
                <w:color w:val="000000" w:themeColor="text1"/>
                <w:w w:val="99"/>
                <w:kern w:val="2"/>
                <w:sz w:val="21"/>
                <w:szCs w:val="21"/>
                <w:vertAlign w:val="subscript"/>
                <w:lang w:val="en-US" w:bidi="ar-SA"/>
                <w14:textFill>
                  <w14:solidFill>
                    <w14:schemeClr w14:val="tx1"/>
                  </w14:solidFill>
                </w14:textFill>
              </w:rPr>
              <w:t>3</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2-</w:t>
            </w:r>
          </w:p>
        </w:tc>
        <w:tc>
          <w:tcPr>
            <w:tcW w:w="797" w:type="pct"/>
            <w:vAlign w:val="center"/>
          </w:tcPr>
          <w:p w14:paraId="381A4373">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0.000 </w:t>
            </w:r>
          </w:p>
        </w:tc>
        <w:tc>
          <w:tcPr>
            <w:tcW w:w="799" w:type="pct"/>
            <w:vAlign w:val="center"/>
          </w:tcPr>
          <w:p w14:paraId="629A6ABE">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0.000 </w:t>
            </w:r>
          </w:p>
        </w:tc>
        <w:tc>
          <w:tcPr>
            <w:tcW w:w="878" w:type="pct"/>
            <w:vMerge w:val="continue"/>
            <w:vAlign w:val="center"/>
          </w:tcPr>
          <w:p w14:paraId="58FDDE4D">
            <w:pPr>
              <w:widowControl/>
              <w:autoSpaceDE/>
              <w:autoSpaceDN/>
              <w:spacing w:line="360" w:lineRule="exact"/>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1E4623AA">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03D2F59F">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1A60B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6D7E029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16373FD1">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Cl</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w:t>
            </w:r>
          </w:p>
        </w:tc>
        <w:tc>
          <w:tcPr>
            <w:tcW w:w="797" w:type="pct"/>
            <w:vAlign w:val="center"/>
          </w:tcPr>
          <w:p w14:paraId="6097F54A">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1.394 </w:t>
            </w:r>
          </w:p>
        </w:tc>
        <w:tc>
          <w:tcPr>
            <w:tcW w:w="799" w:type="pct"/>
            <w:vAlign w:val="center"/>
          </w:tcPr>
          <w:p w14:paraId="40A9F2D9">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23.159 </w:t>
            </w:r>
          </w:p>
        </w:tc>
        <w:tc>
          <w:tcPr>
            <w:tcW w:w="878" w:type="pct"/>
            <w:vMerge w:val="continue"/>
            <w:vAlign w:val="center"/>
          </w:tcPr>
          <w:p w14:paraId="52D635F0">
            <w:pPr>
              <w:widowControl/>
              <w:autoSpaceDE/>
              <w:autoSpaceDN/>
              <w:spacing w:line="360" w:lineRule="exact"/>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7EE0207C">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774B2F40">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3DF7C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0AF364D2">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366F7F64">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SO</w:t>
            </w:r>
            <w:r>
              <w:rPr>
                <w:rFonts w:ascii="Times New Roman" w:hAnsi="Times New Roman" w:cs="Times New Roman" w:eastAsiaTheme="minorEastAsia"/>
                <w:bCs/>
                <w:color w:val="000000" w:themeColor="text1"/>
                <w:w w:val="99"/>
                <w:kern w:val="2"/>
                <w:sz w:val="21"/>
                <w:szCs w:val="21"/>
                <w:vertAlign w:val="subscript"/>
                <w:lang w:val="en-US" w:bidi="ar-SA"/>
                <w14:textFill>
                  <w14:solidFill>
                    <w14:schemeClr w14:val="tx1"/>
                  </w14:solidFill>
                </w14:textFill>
              </w:rPr>
              <w:t>4</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2-</w:t>
            </w:r>
          </w:p>
        </w:tc>
        <w:tc>
          <w:tcPr>
            <w:tcW w:w="797" w:type="pct"/>
            <w:vAlign w:val="center"/>
          </w:tcPr>
          <w:p w14:paraId="6E76F485">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0.823 </w:t>
            </w:r>
          </w:p>
        </w:tc>
        <w:tc>
          <w:tcPr>
            <w:tcW w:w="799" w:type="pct"/>
            <w:vAlign w:val="center"/>
          </w:tcPr>
          <w:p w14:paraId="648F804F">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13.669 </w:t>
            </w:r>
          </w:p>
        </w:tc>
        <w:tc>
          <w:tcPr>
            <w:tcW w:w="878" w:type="pct"/>
            <w:vMerge w:val="continue"/>
            <w:vAlign w:val="center"/>
          </w:tcPr>
          <w:p w14:paraId="703A4969">
            <w:pPr>
              <w:widowControl/>
              <w:autoSpaceDE/>
              <w:autoSpaceDN/>
              <w:spacing w:line="360" w:lineRule="exact"/>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071F44DF">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55A1DF13">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bl>
    <w:p w14:paraId="64C197A6">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表4.3-11    承压水水质八大离子浓度评价结果</w:t>
      </w:r>
    </w:p>
    <w:tbl>
      <w:tblPr>
        <w:tblStyle w:val="80"/>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47"/>
        <w:gridCol w:w="1236"/>
        <w:gridCol w:w="1480"/>
        <w:gridCol w:w="1483"/>
        <w:gridCol w:w="1630"/>
        <w:gridCol w:w="1047"/>
        <w:gridCol w:w="860"/>
      </w:tblGrid>
      <w:tr w14:paraId="6E1FF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Align w:val="center"/>
          </w:tcPr>
          <w:p w14:paraId="71E3A21B">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监测井点位</w:t>
            </w:r>
          </w:p>
        </w:tc>
        <w:tc>
          <w:tcPr>
            <w:tcW w:w="666" w:type="pct"/>
            <w:vAlign w:val="center"/>
          </w:tcPr>
          <w:p w14:paraId="44CEC7B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离子名称</w:t>
            </w:r>
          </w:p>
        </w:tc>
        <w:tc>
          <w:tcPr>
            <w:tcW w:w="797" w:type="pct"/>
            <w:vAlign w:val="center"/>
          </w:tcPr>
          <w:p w14:paraId="4BD18715">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毫克当量（mg/L）</w:t>
            </w:r>
          </w:p>
        </w:tc>
        <w:tc>
          <w:tcPr>
            <w:tcW w:w="799" w:type="pct"/>
            <w:vAlign w:val="center"/>
          </w:tcPr>
          <w:p w14:paraId="4038204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毫克当量百分比（%）</w:t>
            </w:r>
          </w:p>
        </w:tc>
        <w:tc>
          <w:tcPr>
            <w:tcW w:w="878" w:type="pct"/>
            <w:vAlign w:val="center"/>
          </w:tcPr>
          <w:p w14:paraId="443AE9A2">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离子毫克当量合计（mg/L）</w:t>
            </w:r>
          </w:p>
        </w:tc>
        <w:tc>
          <w:tcPr>
            <w:tcW w:w="564" w:type="pct"/>
            <w:vAlign w:val="center"/>
          </w:tcPr>
          <w:p w14:paraId="2321BB47">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相对误差%</w:t>
            </w:r>
          </w:p>
        </w:tc>
        <w:tc>
          <w:tcPr>
            <w:tcW w:w="463" w:type="pct"/>
            <w:vAlign w:val="center"/>
          </w:tcPr>
          <w:p w14:paraId="601A5AF3">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矿化度</w:t>
            </w:r>
          </w:p>
        </w:tc>
      </w:tr>
      <w:tr w14:paraId="6E6FC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restart"/>
            <w:vAlign w:val="center"/>
          </w:tcPr>
          <w:p w14:paraId="5ABBD3DF">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杏树岗村承压水井(汪家)</w:t>
            </w:r>
          </w:p>
        </w:tc>
        <w:tc>
          <w:tcPr>
            <w:tcW w:w="666" w:type="pct"/>
            <w:vAlign w:val="center"/>
          </w:tcPr>
          <w:p w14:paraId="72BBFAFC">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K</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w:t>
            </w:r>
          </w:p>
        </w:tc>
        <w:tc>
          <w:tcPr>
            <w:tcW w:w="797" w:type="pct"/>
            <w:vAlign w:val="center"/>
          </w:tcPr>
          <w:p w14:paraId="309881BF">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0.032</w:t>
            </w:r>
          </w:p>
        </w:tc>
        <w:tc>
          <w:tcPr>
            <w:tcW w:w="799" w:type="pct"/>
            <w:vAlign w:val="center"/>
          </w:tcPr>
          <w:p w14:paraId="65B63AF3">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0.761 </w:t>
            </w:r>
          </w:p>
        </w:tc>
        <w:tc>
          <w:tcPr>
            <w:tcW w:w="878" w:type="pct"/>
            <w:vMerge w:val="restart"/>
            <w:vAlign w:val="center"/>
          </w:tcPr>
          <w:p w14:paraId="1B006FD2">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4.176 </w:t>
            </w:r>
          </w:p>
        </w:tc>
        <w:tc>
          <w:tcPr>
            <w:tcW w:w="564" w:type="pct"/>
            <w:vMerge w:val="restart"/>
            <w:vAlign w:val="center"/>
          </w:tcPr>
          <w:p w14:paraId="7ACE8235">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0.53 </w:t>
            </w:r>
          </w:p>
        </w:tc>
        <w:tc>
          <w:tcPr>
            <w:tcW w:w="463" w:type="pct"/>
            <w:vMerge w:val="restart"/>
            <w:vAlign w:val="center"/>
          </w:tcPr>
          <w:p w14:paraId="5F6630E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0.31 </w:t>
            </w:r>
          </w:p>
        </w:tc>
      </w:tr>
      <w:tr w14:paraId="1F6FB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52813EC1">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43515BD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Na</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w:t>
            </w:r>
          </w:p>
        </w:tc>
        <w:tc>
          <w:tcPr>
            <w:tcW w:w="797" w:type="pct"/>
            <w:vAlign w:val="center"/>
          </w:tcPr>
          <w:p w14:paraId="233D05E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1.891 </w:t>
            </w:r>
          </w:p>
        </w:tc>
        <w:tc>
          <w:tcPr>
            <w:tcW w:w="799" w:type="pct"/>
            <w:vAlign w:val="center"/>
          </w:tcPr>
          <w:p w14:paraId="77180445">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45.294 </w:t>
            </w:r>
          </w:p>
        </w:tc>
        <w:tc>
          <w:tcPr>
            <w:tcW w:w="878" w:type="pct"/>
            <w:vMerge w:val="continue"/>
            <w:vAlign w:val="center"/>
          </w:tcPr>
          <w:p w14:paraId="6F68C25A">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20F4D721">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6BEDDE22">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1E7B2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1B4D522A">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0055C5F7">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Ca</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2+</w:t>
            </w:r>
          </w:p>
        </w:tc>
        <w:tc>
          <w:tcPr>
            <w:tcW w:w="797" w:type="pct"/>
            <w:vAlign w:val="center"/>
          </w:tcPr>
          <w:p w14:paraId="75984AC0">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1.630 </w:t>
            </w:r>
          </w:p>
        </w:tc>
        <w:tc>
          <w:tcPr>
            <w:tcW w:w="799" w:type="pct"/>
            <w:vAlign w:val="center"/>
          </w:tcPr>
          <w:p w14:paraId="6E78A687">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39.036 </w:t>
            </w:r>
          </w:p>
        </w:tc>
        <w:tc>
          <w:tcPr>
            <w:tcW w:w="878" w:type="pct"/>
            <w:vMerge w:val="continue"/>
            <w:vAlign w:val="center"/>
          </w:tcPr>
          <w:p w14:paraId="25997E28">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0C899AC7">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16037A65">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0296F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769581B8">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609E718B">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Mg</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2+</w:t>
            </w:r>
          </w:p>
        </w:tc>
        <w:tc>
          <w:tcPr>
            <w:tcW w:w="797" w:type="pct"/>
            <w:vAlign w:val="center"/>
          </w:tcPr>
          <w:p w14:paraId="3976CB85">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0.623 </w:t>
            </w:r>
          </w:p>
        </w:tc>
        <w:tc>
          <w:tcPr>
            <w:tcW w:w="799" w:type="pct"/>
            <w:vAlign w:val="center"/>
          </w:tcPr>
          <w:p w14:paraId="1D6A87FB">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14.908 </w:t>
            </w:r>
          </w:p>
        </w:tc>
        <w:tc>
          <w:tcPr>
            <w:tcW w:w="878" w:type="pct"/>
            <w:vMerge w:val="continue"/>
            <w:vAlign w:val="center"/>
          </w:tcPr>
          <w:p w14:paraId="1AEF79C8">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701FC013">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0D18919E">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02956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75D434E0">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68FD66BE">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HCO</w:t>
            </w:r>
            <w:r>
              <w:rPr>
                <w:rFonts w:ascii="Times New Roman" w:hAnsi="Times New Roman" w:cs="Times New Roman" w:eastAsiaTheme="minorEastAsia"/>
                <w:bCs/>
                <w:color w:val="000000" w:themeColor="text1"/>
                <w:w w:val="99"/>
                <w:kern w:val="2"/>
                <w:sz w:val="21"/>
                <w:szCs w:val="21"/>
                <w:vertAlign w:val="subscript"/>
                <w:lang w:val="en-US" w:bidi="ar-SA"/>
                <w14:textFill>
                  <w14:solidFill>
                    <w14:schemeClr w14:val="tx1"/>
                  </w14:solidFill>
                </w14:textFill>
              </w:rPr>
              <w:t>3</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w:t>
            </w:r>
          </w:p>
        </w:tc>
        <w:tc>
          <w:tcPr>
            <w:tcW w:w="797" w:type="pct"/>
            <w:vAlign w:val="center"/>
          </w:tcPr>
          <w:p w14:paraId="5C5B710C">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2.607 </w:t>
            </w:r>
          </w:p>
        </w:tc>
        <w:tc>
          <w:tcPr>
            <w:tcW w:w="799" w:type="pct"/>
            <w:vAlign w:val="center"/>
          </w:tcPr>
          <w:p w14:paraId="3B0CB40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61.763 </w:t>
            </w:r>
          </w:p>
        </w:tc>
        <w:tc>
          <w:tcPr>
            <w:tcW w:w="878" w:type="pct"/>
            <w:vMerge w:val="restart"/>
            <w:vAlign w:val="center"/>
          </w:tcPr>
          <w:p w14:paraId="71631BC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4.220 </w:t>
            </w:r>
          </w:p>
        </w:tc>
        <w:tc>
          <w:tcPr>
            <w:tcW w:w="564" w:type="pct"/>
            <w:vMerge w:val="continue"/>
            <w:vAlign w:val="center"/>
          </w:tcPr>
          <w:p w14:paraId="022D73B8">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24BD05D4">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04EF4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37C64632">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4C7FB239">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CO</w:t>
            </w:r>
            <w:r>
              <w:rPr>
                <w:rFonts w:ascii="Times New Roman" w:hAnsi="Times New Roman" w:cs="Times New Roman" w:eastAsiaTheme="minorEastAsia"/>
                <w:bCs/>
                <w:color w:val="000000" w:themeColor="text1"/>
                <w:w w:val="99"/>
                <w:kern w:val="2"/>
                <w:sz w:val="21"/>
                <w:szCs w:val="21"/>
                <w:vertAlign w:val="subscript"/>
                <w:lang w:val="en-US" w:bidi="ar-SA"/>
                <w14:textFill>
                  <w14:solidFill>
                    <w14:schemeClr w14:val="tx1"/>
                  </w14:solidFill>
                </w14:textFill>
              </w:rPr>
              <w:t>3</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2-</w:t>
            </w:r>
          </w:p>
        </w:tc>
        <w:tc>
          <w:tcPr>
            <w:tcW w:w="797" w:type="pct"/>
            <w:vAlign w:val="center"/>
          </w:tcPr>
          <w:p w14:paraId="59E51F2E">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0.000 </w:t>
            </w:r>
          </w:p>
        </w:tc>
        <w:tc>
          <w:tcPr>
            <w:tcW w:w="799" w:type="pct"/>
            <w:vAlign w:val="center"/>
          </w:tcPr>
          <w:p w14:paraId="45EA05D2">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0.000 </w:t>
            </w:r>
          </w:p>
        </w:tc>
        <w:tc>
          <w:tcPr>
            <w:tcW w:w="878" w:type="pct"/>
            <w:vMerge w:val="continue"/>
            <w:vAlign w:val="center"/>
          </w:tcPr>
          <w:p w14:paraId="3DEE288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74957159">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242A46EA">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06EF0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69C0B613">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2115F1B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Cl</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w:t>
            </w:r>
          </w:p>
        </w:tc>
        <w:tc>
          <w:tcPr>
            <w:tcW w:w="797" w:type="pct"/>
            <w:vAlign w:val="center"/>
          </w:tcPr>
          <w:p w14:paraId="61E6A1CA">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1.043 </w:t>
            </w:r>
          </w:p>
        </w:tc>
        <w:tc>
          <w:tcPr>
            <w:tcW w:w="799" w:type="pct"/>
            <w:vAlign w:val="center"/>
          </w:tcPr>
          <w:p w14:paraId="67D9B7F1">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24.711 </w:t>
            </w:r>
          </w:p>
        </w:tc>
        <w:tc>
          <w:tcPr>
            <w:tcW w:w="878" w:type="pct"/>
            <w:vMerge w:val="continue"/>
            <w:vAlign w:val="center"/>
          </w:tcPr>
          <w:p w14:paraId="26729888">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1552562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12C0BBB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6B715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1C162529">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666" w:type="pct"/>
            <w:vAlign w:val="center"/>
          </w:tcPr>
          <w:p w14:paraId="189C52F7">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SO</w:t>
            </w:r>
            <w:r>
              <w:rPr>
                <w:rFonts w:ascii="Times New Roman" w:hAnsi="Times New Roman" w:cs="Times New Roman" w:eastAsiaTheme="minorEastAsia"/>
                <w:bCs/>
                <w:color w:val="000000" w:themeColor="text1"/>
                <w:w w:val="99"/>
                <w:kern w:val="2"/>
                <w:sz w:val="21"/>
                <w:szCs w:val="21"/>
                <w:vertAlign w:val="subscript"/>
                <w:lang w:val="en-US" w:bidi="ar-SA"/>
                <w14:textFill>
                  <w14:solidFill>
                    <w14:schemeClr w14:val="tx1"/>
                  </w14:solidFill>
                </w14:textFill>
              </w:rPr>
              <w:t>4</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2-</w:t>
            </w:r>
          </w:p>
        </w:tc>
        <w:tc>
          <w:tcPr>
            <w:tcW w:w="797" w:type="pct"/>
            <w:vAlign w:val="center"/>
          </w:tcPr>
          <w:p w14:paraId="402782A1">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0.571 </w:t>
            </w:r>
          </w:p>
        </w:tc>
        <w:tc>
          <w:tcPr>
            <w:tcW w:w="799" w:type="pct"/>
            <w:vAlign w:val="center"/>
          </w:tcPr>
          <w:p w14:paraId="46CB3D78">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13.526 </w:t>
            </w:r>
          </w:p>
        </w:tc>
        <w:tc>
          <w:tcPr>
            <w:tcW w:w="878" w:type="pct"/>
            <w:vMerge w:val="continue"/>
            <w:vAlign w:val="center"/>
          </w:tcPr>
          <w:p w14:paraId="7E01FC68">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2D3D1D7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1CA11A0E">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r>
      <w:tr w14:paraId="01873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restart"/>
            <w:vAlign w:val="center"/>
          </w:tcPr>
          <w:p w14:paraId="7603633E">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东好利保村承压水井(张家)</w:t>
            </w:r>
          </w:p>
        </w:tc>
        <w:tc>
          <w:tcPr>
            <w:tcW w:w="666" w:type="pct"/>
            <w:vAlign w:val="center"/>
          </w:tcPr>
          <w:p w14:paraId="7B034791">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K</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w:t>
            </w:r>
          </w:p>
        </w:tc>
        <w:tc>
          <w:tcPr>
            <w:tcW w:w="797" w:type="pct"/>
            <w:vAlign w:val="center"/>
          </w:tcPr>
          <w:p w14:paraId="47DD843B">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0.034 </w:t>
            </w:r>
          </w:p>
        </w:tc>
        <w:tc>
          <w:tcPr>
            <w:tcW w:w="799" w:type="pct"/>
            <w:vAlign w:val="center"/>
          </w:tcPr>
          <w:p w14:paraId="18269D55">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0.756 </w:t>
            </w:r>
          </w:p>
        </w:tc>
        <w:tc>
          <w:tcPr>
            <w:tcW w:w="878" w:type="pct"/>
            <w:vMerge w:val="restart"/>
            <w:vAlign w:val="center"/>
          </w:tcPr>
          <w:p w14:paraId="1C6E8DD0">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4.514 </w:t>
            </w:r>
          </w:p>
        </w:tc>
        <w:tc>
          <w:tcPr>
            <w:tcW w:w="564" w:type="pct"/>
            <w:vMerge w:val="restart"/>
            <w:vAlign w:val="center"/>
          </w:tcPr>
          <w:p w14:paraId="5843266C">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2.00 </w:t>
            </w:r>
          </w:p>
        </w:tc>
        <w:tc>
          <w:tcPr>
            <w:tcW w:w="463" w:type="pct"/>
            <w:vMerge w:val="restart"/>
            <w:vAlign w:val="center"/>
          </w:tcPr>
          <w:p w14:paraId="2325F07A">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0.33 </w:t>
            </w:r>
          </w:p>
        </w:tc>
      </w:tr>
      <w:tr w14:paraId="578A6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3BBEAABA">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66" w:type="pct"/>
            <w:vAlign w:val="center"/>
          </w:tcPr>
          <w:p w14:paraId="1CA87BB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Na</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w:t>
            </w:r>
          </w:p>
        </w:tc>
        <w:tc>
          <w:tcPr>
            <w:tcW w:w="797" w:type="pct"/>
            <w:vAlign w:val="center"/>
          </w:tcPr>
          <w:p w14:paraId="069EC7C4">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2.052 </w:t>
            </w:r>
          </w:p>
        </w:tc>
        <w:tc>
          <w:tcPr>
            <w:tcW w:w="799" w:type="pct"/>
            <w:vAlign w:val="center"/>
          </w:tcPr>
          <w:p w14:paraId="14626B18">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45.465 </w:t>
            </w:r>
          </w:p>
        </w:tc>
        <w:tc>
          <w:tcPr>
            <w:tcW w:w="878" w:type="pct"/>
            <w:vMerge w:val="continue"/>
            <w:vAlign w:val="center"/>
          </w:tcPr>
          <w:p w14:paraId="1EB336BC">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5C479AEB">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420F144B">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3E1CB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72FD3F57">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66" w:type="pct"/>
            <w:vAlign w:val="center"/>
          </w:tcPr>
          <w:p w14:paraId="7873E9E2">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Ca</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2+</w:t>
            </w:r>
          </w:p>
        </w:tc>
        <w:tc>
          <w:tcPr>
            <w:tcW w:w="797" w:type="pct"/>
            <w:vAlign w:val="center"/>
          </w:tcPr>
          <w:p w14:paraId="11E077EB">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1.840 </w:t>
            </w:r>
          </w:p>
        </w:tc>
        <w:tc>
          <w:tcPr>
            <w:tcW w:w="799" w:type="pct"/>
            <w:vAlign w:val="center"/>
          </w:tcPr>
          <w:p w14:paraId="6B652CB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40.764 </w:t>
            </w:r>
          </w:p>
        </w:tc>
        <w:tc>
          <w:tcPr>
            <w:tcW w:w="878" w:type="pct"/>
            <w:vMerge w:val="continue"/>
            <w:vAlign w:val="center"/>
          </w:tcPr>
          <w:p w14:paraId="23723B9C">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70658757">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0206133D">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382AD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6FA7C670">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66" w:type="pct"/>
            <w:vAlign w:val="center"/>
          </w:tcPr>
          <w:p w14:paraId="1274B22C">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Mg</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2+</w:t>
            </w:r>
          </w:p>
        </w:tc>
        <w:tc>
          <w:tcPr>
            <w:tcW w:w="797" w:type="pct"/>
            <w:vAlign w:val="center"/>
          </w:tcPr>
          <w:p w14:paraId="21E402A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0.588 </w:t>
            </w:r>
          </w:p>
        </w:tc>
        <w:tc>
          <w:tcPr>
            <w:tcW w:w="799" w:type="pct"/>
            <w:vAlign w:val="center"/>
          </w:tcPr>
          <w:p w14:paraId="43466AC7">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13.016 </w:t>
            </w:r>
          </w:p>
        </w:tc>
        <w:tc>
          <w:tcPr>
            <w:tcW w:w="878" w:type="pct"/>
            <w:vMerge w:val="continue"/>
            <w:vAlign w:val="center"/>
          </w:tcPr>
          <w:p w14:paraId="7F7B3147">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341E5A98">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0B863EFB">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40695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5F17FBF4">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66" w:type="pct"/>
            <w:vAlign w:val="center"/>
          </w:tcPr>
          <w:p w14:paraId="36299C8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HCO</w:t>
            </w:r>
            <w:r>
              <w:rPr>
                <w:rFonts w:ascii="Times New Roman" w:hAnsi="Times New Roman" w:cs="Times New Roman" w:eastAsiaTheme="minorEastAsia"/>
                <w:bCs/>
                <w:color w:val="000000" w:themeColor="text1"/>
                <w:w w:val="99"/>
                <w:kern w:val="2"/>
                <w:sz w:val="21"/>
                <w:szCs w:val="21"/>
                <w:vertAlign w:val="subscript"/>
                <w:lang w:val="en-US" w:bidi="ar-SA"/>
                <w14:textFill>
                  <w14:solidFill>
                    <w14:schemeClr w14:val="tx1"/>
                  </w14:solidFill>
                </w14:textFill>
              </w:rPr>
              <w:t>3</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w:t>
            </w:r>
          </w:p>
        </w:tc>
        <w:tc>
          <w:tcPr>
            <w:tcW w:w="797" w:type="pct"/>
            <w:vAlign w:val="center"/>
          </w:tcPr>
          <w:p w14:paraId="7567B00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2.902 </w:t>
            </w:r>
          </w:p>
        </w:tc>
        <w:tc>
          <w:tcPr>
            <w:tcW w:w="799" w:type="pct"/>
            <w:vAlign w:val="center"/>
          </w:tcPr>
          <w:p w14:paraId="25D9D2F8">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66.911 </w:t>
            </w:r>
          </w:p>
        </w:tc>
        <w:tc>
          <w:tcPr>
            <w:tcW w:w="878" w:type="pct"/>
            <w:vMerge w:val="restart"/>
            <w:vAlign w:val="center"/>
          </w:tcPr>
          <w:p w14:paraId="307F2B78">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4.337 </w:t>
            </w:r>
          </w:p>
        </w:tc>
        <w:tc>
          <w:tcPr>
            <w:tcW w:w="564" w:type="pct"/>
            <w:vMerge w:val="continue"/>
            <w:vAlign w:val="center"/>
          </w:tcPr>
          <w:p w14:paraId="19B356FD">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101CEAD3">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7A1E2F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24FB1A15">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66" w:type="pct"/>
            <w:vAlign w:val="center"/>
          </w:tcPr>
          <w:p w14:paraId="5024664E">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CO</w:t>
            </w:r>
            <w:r>
              <w:rPr>
                <w:rFonts w:ascii="Times New Roman" w:hAnsi="Times New Roman" w:cs="Times New Roman" w:eastAsiaTheme="minorEastAsia"/>
                <w:bCs/>
                <w:color w:val="000000" w:themeColor="text1"/>
                <w:w w:val="99"/>
                <w:kern w:val="2"/>
                <w:sz w:val="21"/>
                <w:szCs w:val="21"/>
                <w:vertAlign w:val="subscript"/>
                <w:lang w:val="en-US" w:bidi="ar-SA"/>
                <w14:textFill>
                  <w14:solidFill>
                    <w14:schemeClr w14:val="tx1"/>
                  </w14:solidFill>
                </w14:textFill>
              </w:rPr>
              <w:t>3</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2-</w:t>
            </w:r>
          </w:p>
        </w:tc>
        <w:tc>
          <w:tcPr>
            <w:tcW w:w="797" w:type="pct"/>
            <w:vAlign w:val="center"/>
          </w:tcPr>
          <w:p w14:paraId="1F758D8A">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0.000 </w:t>
            </w:r>
          </w:p>
        </w:tc>
        <w:tc>
          <w:tcPr>
            <w:tcW w:w="799" w:type="pct"/>
            <w:vAlign w:val="center"/>
          </w:tcPr>
          <w:p w14:paraId="7BC39A61">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0.000 </w:t>
            </w:r>
          </w:p>
        </w:tc>
        <w:tc>
          <w:tcPr>
            <w:tcW w:w="878" w:type="pct"/>
            <w:vMerge w:val="continue"/>
            <w:vAlign w:val="center"/>
          </w:tcPr>
          <w:p w14:paraId="1A0684BC">
            <w:pPr>
              <w:widowControl/>
              <w:autoSpaceDE/>
              <w:autoSpaceDN/>
              <w:spacing w:line="360" w:lineRule="exact"/>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p>
        </w:tc>
        <w:tc>
          <w:tcPr>
            <w:tcW w:w="564" w:type="pct"/>
            <w:vMerge w:val="continue"/>
            <w:vAlign w:val="center"/>
          </w:tcPr>
          <w:p w14:paraId="071EDFC4">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467B0FE9">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1B5AF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833" w:type="pct"/>
            <w:vMerge w:val="continue"/>
            <w:vAlign w:val="center"/>
          </w:tcPr>
          <w:p w14:paraId="731E2EE8">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66" w:type="pct"/>
            <w:vAlign w:val="center"/>
          </w:tcPr>
          <w:p w14:paraId="67FA7862">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Cl</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w:t>
            </w:r>
          </w:p>
        </w:tc>
        <w:tc>
          <w:tcPr>
            <w:tcW w:w="797" w:type="pct"/>
            <w:vAlign w:val="center"/>
          </w:tcPr>
          <w:p w14:paraId="0EE93C6B">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0.983 </w:t>
            </w:r>
          </w:p>
        </w:tc>
        <w:tc>
          <w:tcPr>
            <w:tcW w:w="799" w:type="pct"/>
            <w:vAlign w:val="center"/>
          </w:tcPr>
          <w:p w14:paraId="24BF8F2B">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22.664 </w:t>
            </w:r>
          </w:p>
        </w:tc>
        <w:tc>
          <w:tcPr>
            <w:tcW w:w="878" w:type="pct"/>
            <w:vMerge w:val="continue"/>
            <w:vAlign w:val="center"/>
          </w:tcPr>
          <w:p w14:paraId="63E4243C">
            <w:pPr>
              <w:widowControl/>
              <w:autoSpaceDE/>
              <w:autoSpaceDN/>
              <w:spacing w:line="360" w:lineRule="exact"/>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p>
        </w:tc>
        <w:tc>
          <w:tcPr>
            <w:tcW w:w="564" w:type="pct"/>
            <w:vMerge w:val="continue"/>
            <w:vAlign w:val="center"/>
          </w:tcPr>
          <w:p w14:paraId="424EF3CE">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69EBEFCA">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0598F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0CA653E4">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66" w:type="pct"/>
            <w:vAlign w:val="center"/>
          </w:tcPr>
          <w:p w14:paraId="63ECF6FE">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SO</w:t>
            </w:r>
            <w:r>
              <w:rPr>
                <w:rFonts w:ascii="Times New Roman" w:hAnsi="Times New Roman" w:cs="Times New Roman" w:eastAsiaTheme="minorEastAsia"/>
                <w:bCs/>
                <w:color w:val="000000" w:themeColor="text1"/>
                <w:w w:val="99"/>
                <w:kern w:val="2"/>
                <w:sz w:val="21"/>
                <w:szCs w:val="21"/>
                <w:vertAlign w:val="subscript"/>
                <w:lang w:val="en-US" w:bidi="ar-SA"/>
                <w14:textFill>
                  <w14:solidFill>
                    <w14:schemeClr w14:val="tx1"/>
                  </w14:solidFill>
                </w14:textFill>
              </w:rPr>
              <w:t>4</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2-</w:t>
            </w:r>
          </w:p>
        </w:tc>
        <w:tc>
          <w:tcPr>
            <w:tcW w:w="797" w:type="pct"/>
            <w:vAlign w:val="center"/>
          </w:tcPr>
          <w:p w14:paraId="14CC4BB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0.452 </w:t>
            </w:r>
          </w:p>
        </w:tc>
        <w:tc>
          <w:tcPr>
            <w:tcW w:w="799" w:type="pct"/>
            <w:vAlign w:val="center"/>
          </w:tcPr>
          <w:p w14:paraId="7C814BFF">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10.425 </w:t>
            </w:r>
          </w:p>
        </w:tc>
        <w:tc>
          <w:tcPr>
            <w:tcW w:w="878" w:type="pct"/>
            <w:vMerge w:val="continue"/>
            <w:vAlign w:val="center"/>
          </w:tcPr>
          <w:p w14:paraId="074D6F66">
            <w:pPr>
              <w:widowControl/>
              <w:autoSpaceDE/>
              <w:autoSpaceDN/>
              <w:spacing w:line="360" w:lineRule="exact"/>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p>
        </w:tc>
        <w:tc>
          <w:tcPr>
            <w:tcW w:w="564" w:type="pct"/>
            <w:vMerge w:val="continue"/>
            <w:vAlign w:val="center"/>
          </w:tcPr>
          <w:p w14:paraId="40B755F9">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546A1AF5">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6F4727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restart"/>
            <w:vAlign w:val="center"/>
          </w:tcPr>
          <w:p w14:paraId="0ADB70C3">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杏树岗村集中供水饮用水井</w:t>
            </w:r>
          </w:p>
        </w:tc>
        <w:tc>
          <w:tcPr>
            <w:tcW w:w="666" w:type="pct"/>
            <w:vAlign w:val="center"/>
          </w:tcPr>
          <w:p w14:paraId="1F81B14C">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K</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w:t>
            </w:r>
          </w:p>
        </w:tc>
        <w:tc>
          <w:tcPr>
            <w:tcW w:w="797" w:type="pct"/>
            <w:vAlign w:val="center"/>
          </w:tcPr>
          <w:p w14:paraId="4D7B7CE3">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0.030 </w:t>
            </w:r>
          </w:p>
        </w:tc>
        <w:tc>
          <w:tcPr>
            <w:tcW w:w="799" w:type="pct"/>
            <w:vAlign w:val="center"/>
          </w:tcPr>
          <w:p w14:paraId="1572E6DC">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0.717 </w:t>
            </w:r>
          </w:p>
        </w:tc>
        <w:tc>
          <w:tcPr>
            <w:tcW w:w="878" w:type="pct"/>
            <w:vMerge w:val="restart"/>
            <w:vAlign w:val="center"/>
          </w:tcPr>
          <w:p w14:paraId="740F49F4">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4.150 </w:t>
            </w:r>
          </w:p>
        </w:tc>
        <w:tc>
          <w:tcPr>
            <w:tcW w:w="564" w:type="pct"/>
            <w:vMerge w:val="restart"/>
            <w:vAlign w:val="center"/>
          </w:tcPr>
          <w:p w14:paraId="09951326">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2.22 </w:t>
            </w:r>
          </w:p>
        </w:tc>
        <w:tc>
          <w:tcPr>
            <w:tcW w:w="463" w:type="pct"/>
            <w:vMerge w:val="restart"/>
            <w:vAlign w:val="center"/>
          </w:tcPr>
          <w:p w14:paraId="370C55DF">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0.32 </w:t>
            </w:r>
          </w:p>
        </w:tc>
      </w:tr>
      <w:tr w14:paraId="4A7D5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17BA8B6A">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66" w:type="pct"/>
            <w:vAlign w:val="center"/>
          </w:tcPr>
          <w:p w14:paraId="6A831308">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Na</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w:t>
            </w:r>
          </w:p>
        </w:tc>
        <w:tc>
          <w:tcPr>
            <w:tcW w:w="797" w:type="pct"/>
            <w:vAlign w:val="center"/>
          </w:tcPr>
          <w:p w14:paraId="417E1C95">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1.800 </w:t>
            </w:r>
          </w:p>
        </w:tc>
        <w:tc>
          <w:tcPr>
            <w:tcW w:w="799" w:type="pct"/>
            <w:vAlign w:val="center"/>
          </w:tcPr>
          <w:p w14:paraId="1E1B5194">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43.376 </w:t>
            </w:r>
          </w:p>
        </w:tc>
        <w:tc>
          <w:tcPr>
            <w:tcW w:w="878" w:type="pct"/>
            <w:vMerge w:val="continue"/>
            <w:vAlign w:val="center"/>
          </w:tcPr>
          <w:p w14:paraId="19155F41">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63F3F4D6">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2104A6BC">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53109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44931A14">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66" w:type="pct"/>
            <w:vAlign w:val="center"/>
          </w:tcPr>
          <w:p w14:paraId="5A5C402A">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Ca</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2+</w:t>
            </w:r>
          </w:p>
        </w:tc>
        <w:tc>
          <w:tcPr>
            <w:tcW w:w="797" w:type="pct"/>
            <w:vAlign w:val="center"/>
          </w:tcPr>
          <w:p w14:paraId="20166F5D">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1.760 </w:t>
            </w:r>
          </w:p>
        </w:tc>
        <w:tc>
          <w:tcPr>
            <w:tcW w:w="799" w:type="pct"/>
            <w:vAlign w:val="center"/>
          </w:tcPr>
          <w:p w14:paraId="17BB100A">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42.412 </w:t>
            </w:r>
          </w:p>
        </w:tc>
        <w:tc>
          <w:tcPr>
            <w:tcW w:w="878" w:type="pct"/>
            <w:vMerge w:val="continue"/>
            <w:vAlign w:val="center"/>
          </w:tcPr>
          <w:p w14:paraId="7E630D85">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390AA8DE">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68FD28BC">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4E754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3E8576BD">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66" w:type="pct"/>
            <w:vAlign w:val="center"/>
          </w:tcPr>
          <w:p w14:paraId="21290A20">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Mg</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2+</w:t>
            </w:r>
          </w:p>
        </w:tc>
        <w:tc>
          <w:tcPr>
            <w:tcW w:w="797" w:type="pct"/>
            <w:vAlign w:val="center"/>
          </w:tcPr>
          <w:p w14:paraId="3E7642D2">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0.560 </w:t>
            </w:r>
          </w:p>
        </w:tc>
        <w:tc>
          <w:tcPr>
            <w:tcW w:w="799" w:type="pct"/>
            <w:vAlign w:val="center"/>
          </w:tcPr>
          <w:p w14:paraId="59EE39EB">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13.495 </w:t>
            </w:r>
          </w:p>
        </w:tc>
        <w:tc>
          <w:tcPr>
            <w:tcW w:w="878" w:type="pct"/>
            <w:vMerge w:val="continue"/>
            <w:vAlign w:val="center"/>
          </w:tcPr>
          <w:p w14:paraId="2330DF17">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p>
        </w:tc>
        <w:tc>
          <w:tcPr>
            <w:tcW w:w="564" w:type="pct"/>
            <w:vMerge w:val="continue"/>
            <w:vAlign w:val="center"/>
          </w:tcPr>
          <w:p w14:paraId="24EB2C5B">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6D115EF8">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6CBE9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833" w:type="pct"/>
            <w:vMerge w:val="continue"/>
            <w:vAlign w:val="center"/>
          </w:tcPr>
          <w:p w14:paraId="053D294B">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66" w:type="pct"/>
            <w:vAlign w:val="center"/>
          </w:tcPr>
          <w:p w14:paraId="1665E1F0">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HCO</w:t>
            </w:r>
            <w:r>
              <w:rPr>
                <w:rFonts w:ascii="Times New Roman" w:hAnsi="Times New Roman" w:cs="Times New Roman" w:eastAsiaTheme="minorEastAsia"/>
                <w:bCs/>
                <w:color w:val="000000" w:themeColor="text1"/>
                <w:w w:val="99"/>
                <w:kern w:val="2"/>
                <w:sz w:val="21"/>
                <w:szCs w:val="21"/>
                <w:vertAlign w:val="subscript"/>
                <w:lang w:val="en-US" w:bidi="ar-SA"/>
                <w14:textFill>
                  <w14:solidFill>
                    <w14:schemeClr w14:val="tx1"/>
                  </w14:solidFill>
                </w14:textFill>
              </w:rPr>
              <w:t>3</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w:t>
            </w:r>
          </w:p>
        </w:tc>
        <w:tc>
          <w:tcPr>
            <w:tcW w:w="797" w:type="pct"/>
            <w:vAlign w:val="center"/>
          </w:tcPr>
          <w:p w14:paraId="5D9976CC">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2.869 </w:t>
            </w:r>
          </w:p>
        </w:tc>
        <w:tc>
          <w:tcPr>
            <w:tcW w:w="799" w:type="pct"/>
            <w:vAlign w:val="center"/>
          </w:tcPr>
          <w:p w14:paraId="636F5C4E">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66.126 </w:t>
            </w:r>
          </w:p>
        </w:tc>
        <w:tc>
          <w:tcPr>
            <w:tcW w:w="878" w:type="pct"/>
            <w:vMerge w:val="restart"/>
            <w:vAlign w:val="center"/>
          </w:tcPr>
          <w:p w14:paraId="42350144">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4.338 </w:t>
            </w:r>
          </w:p>
        </w:tc>
        <w:tc>
          <w:tcPr>
            <w:tcW w:w="564" w:type="pct"/>
            <w:vMerge w:val="continue"/>
            <w:vAlign w:val="center"/>
          </w:tcPr>
          <w:p w14:paraId="067E5AE2">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38714706">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747BB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65B9E70C">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66" w:type="pct"/>
            <w:vAlign w:val="center"/>
          </w:tcPr>
          <w:p w14:paraId="27E196E5">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CO</w:t>
            </w:r>
            <w:r>
              <w:rPr>
                <w:rFonts w:ascii="Times New Roman" w:hAnsi="Times New Roman" w:cs="Times New Roman" w:eastAsiaTheme="minorEastAsia"/>
                <w:bCs/>
                <w:color w:val="000000" w:themeColor="text1"/>
                <w:w w:val="99"/>
                <w:kern w:val="2"/>
                <w:sz w:val="21"/>
                <w:szCs w:val="21"/>
                <w:vertAlign w:val="subscript"/>
                <w:lang w:val="en-US" w:bidi="ar-SA"/>
                <w14:textFill>
                  <w14:solidFill>
                    <w14:schemeClr w14:val="tx1"/>
                  </w14:solidFill>
                </w14:textFill>
              </w:rPr>
              <w:t>3</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2-</w:t>
            </w:r>
          </w:p>
        </w:tc>
        <w:tc>
          <w:tcPr>
            <w:tcW w:w="797" w:type="pct"/>
            <w:vAlign w:val="center"/>
          </w:tcPr>
          <w:p w14:paraId="14669960">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0.000 </w:t>
            </w:r>
          </w:p>
        </w:tc>
        <w:tc>
          <w:tcPr>
            <w:tcW w:w="799" w:type="pct"/>
            <w:vAlign w:val="center"/>
          </w:tcPr>
          <w:p w14:paraId="3F16A49C">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0.000 </w:t>
            </w:r>
          </w:p>
        </w:tc>
        <w:tc>
          <w:tcPr>
            <w:tcW w:w="878" w:type="pct"/>
            <w:vMerge w:val="continue"/>
            <w:vAlign w:val="center"/>
          </w:tcPr>
          <w:p w14:paraId="62B5B901">
            <w:pPr>
              <w:widowControl/>
              <w:autoSpaceDE/>
              <w:autoSpaceDN/>
              <w:spacing w:line="360" w:lineRule="exact"/>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p>
        </w:tc>
        <w:tc>
          <w:tcPr>
            <w:tcW w:w="564" w:type="pct"/>
            <w:vMerge w:val="continue"/>
            <w:vAlign w:val="center"/>
          </w:tcPr>
          <w:p w14:paraId="70874E60">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11D6B21D">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38C09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486CE97D">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66" w:type="pct"/>
            <w:vAlign w:val="center"/>
          </w:tcPr>
          <w:p w14:paraId="15462A11">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Cl</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w:t>
            </w:r>
          </w:p>
        </w:tc>
        <w:tc>
          <w:tcPr>
            <w:tcW w:w="797" w:type="pct"/>
            <w:vAlign w:val="center"/>
          </w:tcPr>
          <w:p w14:paraId="3FC896DB">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0.957 </w:t>
            </w:r>
          </w:p>
        </w:tc>
        <w:tc>
          <w:tcPr>
            <w:tcW w:w="799" w:type="pct"/>
            <w:vAlign w:val="center"/>
          </w:tcPr>
          <w:p w14:paraId="0D5030BE">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22.062 </w:t>
            </w:r>
          </w:p>
        </w:tc>
        <w:tc>
          <w:tcPr>
            <w:tcW w:w="878" w:type="pct"/>
            <w:vMerge w:val="continue"/>
            <w:vAlign w:val="center"/>
          </w:tcPr>
          <w:p w14:paraId="586AB30D">
            <w:pPr>
              <w:widowControl/>
              <w:autoSpaceDE/>
              <w:autoSpaceDN/>
              <w:spacing w:line="360" w:lineRule="exact"/>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p>
        </w:tc>
        <w:tc>
          <w:tcPr>
            <w:tcW w:w="564" w:type="pct"/>
            <w:vMerge w:val="continue"/>
            <w:vAlign w:val="center"/>
          </w:tcPr>
          <w:p w14:paraId="1063E53F">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635E6E76">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r w14:paraId="00331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33" w:type="pct"/>
            <w:vMerge w:val="continue"/>
            <w:vAlign w:val="center"/>
          </w:tcPr>
          <w:p w14:paraId="4F72CD44">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66" w:type="pct"/>
            <w:vAlign w:val="center"/>
          </w:tcPr>
          <w:p w14:paraId="02398259">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SO</w:t>
            </w:r>
            <w:r>
              <w:rPr>
                <w:rFonts w:ascii="Times New Roman" w:hAnsi="Times New Roman" w:cs="Times New Roman" w:eastAsiaTheme="minorEastAsia"/>
                <w:bCs/>
                <w:color w:val="000000" w:themeColor="text1"/>
                <w:w w:val="99"/>
                <w:kern w:val="2"/>
                <w:sz w:val="21"/>
                <w:szCs w:val="21"/>
                <w:vertAlign w:val="subscript"/>
                <w:lang w:val="en-US" w:bidi="ar-SA"/>
                <w14:textFill>
                  <w14:solidFill>
                    <w14:schemeClr w14:val="tx1"/>
                  </w14:solidFill>
                </w14:textFill>
              </w:rPr>
              <w:t>4</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2-</w:t>
            </w:r>
          </w:p>
        </w:tc>
        <w:tc>
          <w:tcPr>
            <w:tcW w:w="797" w:type="pct"/>
            <w:vAlign w:val="center"/>
          </w:tcPr>
          <w:p w14:paraId="734A3F3C">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0.513 </w:t>
            </w:r>
          </w:p>
        </w:tc>
        <w:tc>
          <w:tcPr>
            <w:tcW w:w="799" w:type="pct"/>
            <w:vAlign w:val="center"/>
          </w:tcPr>
          <w:p w14:paraId="0268D5C4">
            <w:pPr>
              <w:autoSpaceDE/>
              <w:autoSpaceDN/>
              <w:spacing w:line="360" w:lineRule="exact"/>
              <w:jc w:val="cente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 xml:space="preserve">11.813 </w:t>
            </w:r>
          </w:p>
        </w:tc>
        <w:tc>
          <w:tcPr>
            <w:tcW w:w="878" w:type="pct"/>
            <w:vMerge w:val="continue"/>
            <w:vAlign w:val="center"/>
          </w:tcPr>
          <w:p w14:paraId="0ADD7914">
            <w:pPr>
              <w:widowControl/>
              <w:autoSpaceDE/>
              <w:autoSpaceDN/>
              <w:spacing w:line="360" w:lineRule="exact"/>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p>
        </w:tc>
        <w:tc>
          <w:tcPr>
            <w:tcW w:w="564" w:type="pct"/>
            <w:vMerge w:val="continue"/>
            <w:vAlign w:val="center"/>
          </w:tcPr>
          <w:p w14:paraId="6D7AA292">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463" w:type="pct"/>
            <w:vMerge w:val="continue"/>
            <w:vAlign w:val="center"/>
          </w:tcPr>
          <w:p w14:paraId="14BBB59E">
            <w:pPr>
              <w:widowControl/>
              <w:autoSpaceDE/>
              <w:autoSpaceDN/>
              <w:spacing w:line="360" w:lineRule="exact"/>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r>
    </w:tbl>
    <w:p w14:paraId="589EFAB1">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t>通过对区域内地下水八大离子监测结果可知，本项目所在区域地下水化学类型以HCO</w:t>
      </w:r>
      <w:r>
        <w:rPr>
          <w:rFonts w:ascii="Times New Roman" w:hAnsi="Times New Roman" w:cs="Times New Roman" w:eastAsiaTheme="minorEastAsia"/>
          <w:color w:val="000000" w:themeColor="text1"/>
          <w:w w:val="99"/>
          <w:kern w:val="2"/>
          <w:sz w:val="24"/>
          <w:szCs w:val="32"/>
          <w:vertAlign w:val="subscript"/>
          <w:lang w:val="en-US" w:bidi="ar-SA"/>
          <w14:textFill>
            <w14:solidFill>
              <w14:schemeClr w14:val="tx1"/>
            </w14:solidFill>
          </w14:textFill>
        </w:rPr>
        <w:t>3</w:t>
      </w:r>
      <w:r>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t>-Na+Ca，4-A型淡水型为主，地下水矿化度较低，水质情况较好。根据上表可知，项目区域水质总阳离子（钠、钾、钙、镁）与阴离子（硫酸盐、氯化物、碳酸盐、重碳酸盐）毫克当量浓度相对误差不大于5%，阴阳离子平衡。</w:t>
      </w:r>
    </w:p>
    <w:p w14:paraId="53242EC5">
      <w:pPr>
        <w:autoSpaceDE/>
        <w:autoSpaceDN/>
        <w:spacing w:line="440" w:lineRule="exact"/>
        <w:outlineLvl w:val="3"/>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t>4.3.2.4 包气带污染现状调查</w:t>
      </w:r>
    </w:p>
    <w:p w14:paraId="2E232D02">
      <w:pPr>
        <w:autoSpaceDE/>
        <w:autoSpaceDN/>
        <w:spacing w:line="440" w:lineRule="exact"/>
        <w:ind w:firstLine="474" w:firstLineChars="200"/>
        <w:jc w:val="both"/>
        <w:rPr>
          <w:rFonts w:ascii="Times New Roman" w:hAnsi="Times New Roman" w:cs="Times New Roman" w:eastAsiaTheme="minorEastAsia"/>
          <w:bCs/>
          <w:color w:val="000000" w:themeColor="text1"/>
          <w:w w:val="99"/>
          <w:kern w:val="21"/>
          <w:sz w:val="24"/>
          <w:szCs w:val="20"/>
          <w:lang w:val="en-US" w:bidi="ar-SA"/>
          <w14:textFill>
            <w14:solidFill>
              <w14:schemeClr w14:val="tx1"/>
            </w14:solidFill>
          </w14:textFill>
        </w:rPr>
      </w:pPr>
      <w:bookmarkStart w:id="292" w:name="_Toc11456"/>
      <w:r>
        <w:rPr>
          <w:rFonts w:ascii="Times New Roman" w:hAnsi="Times New Roman" w:cs="Times New Roman" w:eastAsiaTheme="minorEastAsia"/>
          <w:bCs/>
          <w:color w:val="000000" w:themeColor="text1"/>
          <w:w w:val="99"/>
          <w:kern w:val="21"/>
          <w:sz w:val="24"/>
          <w:szCs w:val="20"/>
          <w:lang w:val="en-US" w:bidi="ar-SA"/>
          <w14:textFill>
            <w14:solidFill>
              <w14:schemeClr w14:val="tx1"/>
            </w14:solidFill>
          </w14:textFill>
        </w:rPr>
        <w:t>（1）包气带防污性能</w:t>
      </w:r>
    </w:p>
    <w:p w14:paraId="16827FB8">
      <w:pPr>
        <w:autoSpaceDE/>
        <w:autoSpaceDN/>
        <w:spacing w:line="440" w:lineRule="exact"/>
        <w:ind w:firstLine="474" w:firstLineChars="200"/>
        <w:jc w:val="both"/>
        <w:rPr>
          <w:rFonts w:ascii="Times New Roman" w:hAnsi="Times New Roman" w:cs="Times New Roman" w:eastAsiaTheme="minorEastAsia"/>
          <w:bCs/>
          <w:color w:val="000000" w:themeColor="text1"/>
          <w:w w:val="99"/>
          <w:kern w:val="21"/>
          <w:sz w:val="24"/>
          <w:szCs w:val="20"/>
          <w:lang w:val="en-US" w:bidi="ar-SA"/>
          <w14:textFill>
            <w14:solidFill>
              <w14:schemeClr w14:val="tx1"/>
            </w14:solidFill>
          </w14:textFill>
        </w:rPr>
      </w:pPr>
      <w:r>
        <w:rPr>
          <w:rFonts w:ascii="Times New Roman" w:hAnsi="Times New Roman" w:cs="Times New Roman" w:eastAsiaTheme="minorEastAsia"/>
          <w:bCs/>
          <w:color w:val="000000" w:themeColor="text1"/>
          <w:w w:val="99"/>
          <w:kern w:val="21"/>
          <w:sz w:val="24"/>
          <w:szCs w:val="20"/>
          <w:lang w:val="en-US" w:bidi="ar-SA"/>
          <w14:textFill>
            <w14:solidFill>
              <w14:schemeClr w14:val="tx1"/>
            </w14:solidFill>
          </w14:textFill>
        </w:rPr>
        <w:t>评价区内第四系松散堆积层发育，堆积厚度大，分布范围广。按地貌成因形态类型主要为冲积低平原沉积地层。根据评价区潜水地下水埋深特征，包气带厚度1.05m～5.0m。包气带地层岩性主要为表层杂填土、粉质黏土及粉砂。</w:t>
      </w:r>
    </w:p>
    <w:p w14:paraId="276A6F17">
      <w:pPr>
        <w:autoSpaceDE/>
        <w:autoSpaceDN/>
        <w:spacing w:line="440" w:lineRule="exact"/>
        <w:ind w:firstLine="474" w:firstLineChars="200"/>
        <w:jc w:val="both"/>
        <w:rPr>
          <w:rFonts w:ascii="Times New Roman" w:hAnsi="Times New Roman" w:cs="Times New Roman" w:eastAsiaTheme="minorEastAsia"/>
          <w:color w:val="000000" w:themeColor="text1"/>
          <w:w w:val="99"/>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0"/>
          <w:lang w:val="en-US" w:bidi="ar-SA"/>
          <w14:textFill>
            <w14:solidFill>
              <w14:schemeClr w14:val="tx1"/>
            </w14:solidFill>
          </w14:textFill>
        </w:rPr>
        <w:t>（2）</w:t>
      </w:r>
      <w:r>
        <w:rPr>
          <w:rFonts w:ascii="Times New Roman" w:hAnsi="Times New Roman" w:cs="Times New Roman" w:eastAsiaTheme="minorEastAsia"/>
          <w:bCs/>
          <w:color w:val="000000" w:themeColor="text1"/>
          <w:w w:val="99"/>
          <w:kern w:val="21"/>
          <w:sz w:val="24"/>
          <w:szCs w:val="20"/>
          <w:lang w:val="en-US" w:bidi="ar-SA"/>
          <w14:textFill>
            <w14:solidFill>
              <w14:schemeClr w14:val="tx1"/>
            </w14:solidFill>
          </w14:textFill>
        </w:rPr>
        <w:t>包气带污染现状监测</w:t>
      </w:r>
    </w:p>
    <w:p w14:paraId="39349681">
      <w:pPr>
        <w:autoSpaceDE/>
        <w:autoSpaceDN/>
        <w:spacing w:line="440" w:lineRule="exact"/>
        <w:ind w:firstLine="474" w:firstLineChars="200"/>
        <w:jc w:val="both"/>
        <w:rPr>
          <w:rFonts w:ascii="Times New Roman" w:hAnsi="Times New Roman" w:cs="Times New Roman" w:eastAsiaTheme="minorEastAsia"/>
          <w:bCs/>
          <w:color w:val="000000" w:themeColor="text1"/>
          <w:w w:val="99"/>
          <w:kern w:val="21"/>
          <w:sz w:val="24"/>
          <w:szCs w:val="20"/>
          <w:lang w:val="en-US" w:bidi="ar-SA"/>
          <w14:textFill>
            <w14:solidFill>
              <w14:schemeClr w14:val="tx1"/>
            </w14:solidFill>
          </w14:textFill>
        </w:rPr>
      </w:pPr>
      <w:r>
        <w:rPr>
          <w:rFonts w:ascii="Times New Roman" w:hAnsi="Times New Roman" w:cs="Times New Roman" w:eastAsiaTheme="minorEastAsia"/>
          <w:bCs/>
          <w:color w:val="000000" w:themeColor="text1"/>
          <w:w w:val="99"/>
          <w:kern w:val="21"/>
          <w:sz w:val="24"/>
          <w:szCs w:val="20"/>
          <w:lang w:val="en-US" w:eastAsia="ja-JP" w:bidi="ar-SA"/>
          <w14:textFill>
            <w14:solidFill>
              <w14:schemeClr w14:val="tx1"/>
            </w14:solidFill>
          </w14:textFill>
        </w:rPr>
        <w:t>根据《环境影响评价技术导则 地下水环境》（HJ610-2016），对于一、二级的改扩建项目，应在可能造成地下水污染的主要装置或设施附近开展包气带污染现状调查，对包气带进行分层取样</w:t>
      </w:r>
      <w:r>
        <w:rPr>
          <w:rFonts w:ascii="Times New Roman" w:hAnsi="Times New Roman" w:cs="Times New Roman" w:eastAsiaTheme="minorEastAsia"/>
          <w:bCs/>
          <w:color w:val="000000" w:themeColor="text1"/>
          <w:w w:val="99"/>
          <w:kern w:val="21"/>
          <w:sz w:val="24"/>
          <w:szCs w:val="20"/>
          <w:lang w:val="en-US" w:bidi="ar-SA"/>
          <w14:textFill>
            <w14:solidFill>
              <w14:schemeClr w14:val="tx1"/>
            </w14:solidFill>
          </w14:textFill>
        </w:rPr>
        <w:t>，根据现场调查，本项目可能造成地下水污染的区域为区域内已建拉油点及场站</w:t>
      </w:r>
      <w:r>
        <w:rPr>
          <w:rFonts w:ascii="Times New Roman" w:hAnsi="Times New Roman" w:cs="Times New Roman" w:eastAsiaTheme="minorEastAsia"/>
          <w:bCs/>
          <w:color w:val="000000" w:themeColor="text1"/>
          <w:w w:val="99"/>
          <w:kern w:val="21"/>
          <w:sz w:val="24"/>
          <w:szCs w:val="20"/>
          <w:lang w:val="en-US" w:eastAsia="ja-JP" w:bidi="ar-SA"/>
          <w14:textFill>
            <w14:solidFill>
              <w14:schemeClr w14:val="tx1"/>
            </w14:solidFill>
          </w14:textFill>
        </w:rPr>
        <w:t>。</w:t>
      </w:r>
    </w:p>
    <w:p w14:paraId="317EA1D7">
      <w:pPr>
        <w:autoSpaceDE/>
        <w:autoSpaceDN/>
        <w:spacing w:line="440" w:lineRule="exact"/>
        <w:ind w:firstLine="473"/>
        <w:jc w:val="both"/>
        <w:rPr>
          <w:rFonts w:ascii="Times New Roman" w:hAnsi="Times New Roman" w:cs="Times New Roman" w:eastAsiaTheme="minorEastAsia"/>
          <w:bCs/>
          <w:color w:val="000000" w:themeColor="text1"/>
          <w:w w:val="99"/>
          <w:kern w:val="21"/>
          <w:sz w:val="24"/>
          <w:szCs w:val="20"/>
          <w:lang w:val="en-US" w:bidi="ar-SA"/>
          <w14:textFill>
            <w14:solidFill>
              <w14:schemeClr w14:val="tx1"/>
            </w14:solidFill>
          </w14:textFill>
        </w:rPr>
      </w:pPr>
      <w:r>
        <w:rPr>
          <w:rFonts w:hint="eastAsia"/>
          <w:bCs/>
          <w:color w:val="000000" w:themeColor="text1"/>
          <w:w w:val="99"/>
          <w:kern w:val="21"/>
          <w:sz w:val="24"/>
          <w:szCs w:val="20"/>
          <w:lang w:val="en-US" w:eastAsia="ja-JP" w:bidi="ar-SA"/>
          <w14:textFill>
            <w14:solidFill>
              <w14:schemeClr w14:val="tx1"/>
            </w14:solidFill>
          </w14:textFill>
        </w:rPr>
        <w:t>①</w:t>
      </w:r>
      <w:r>
        <w:rPr>
          <w:rFonts w:ascii="Times New Roman" w:hAnsi="Times New Roman" w:cs="Times New Roman" w:eastAsiaTheme="minorEastAsia"/>
          <w:bCs/>
          <w:color w:val="000000" w:themeColor="text1"/>
          <w:w w:val="99"/>
          <w:kern w:val="21"/>
          <w:sz w:val="24"/>
          <w:szCs w:val="20"/>
          <w:lang w:val="en-US" w:bidi="ar-SA"/>
          <w14:textFill>
            <w14:solidFill>
              <w14:schemeClr w14:val="tx1"/>
            </w14:solidFill>
          </w14:textFill>
        </w:rPr>
        <w:t>监测点位</w:t>
      </w:r>
    </w:p>
    <w:p w14:paraId="621379D0">
      <w:pPr>
        <w:autoSpaceDE/>
        <w:autoSpaceDN/>
        <w:spacing w:line="440" w:lineRule="exact"/>
        <w:ind w:firstLine="474" w:firstLineChars="200"/>
        <w:jc w:val="both"/>
        <w:rPr>
          <w:rFonts w:ascii="Times New Roman" w:hAnsi="Times New Roman" w:cs="Times New Roman" w:eastAsiaTheme="minorEastAsia"/>
          <w:bCs/>
          <w:color w:val="000000" w:themeColor="text1"/>
          <w:w w:val="99"/>
          <w:kern w:val="21"/>
          <w:sz w:val="24"/>
          <w:szCs w:val="20"/>
          <w:lang w:val="en-US" w:bidi="ar-SA"/>
          <w14:textFill>
            <w14:solidFill>
              <w14:schemeClr w14:val="tx1"/>
            </w14:solidFill>
          </w14:textFill>
        </w:rPr>
      </w:pPr>
      <w:r>
        <w:rPr>
          <w:rFonts w:ascii="Times New Roman" w:hAnsi="Times New Roman" w:cs="Times New Roman" w:eastAsiaTheme="minorEastAsia"/>
          <w:bCs/>
          <w:color w:val="000000" w:themeColor="text1"/>
          <w:w w:val="99"/>
          <w:kern w:val="21"/>
          <w:sz w:val="24"/>
          <w:szCs w:val="20"/>
          <w:lang w:val="en-US" w:bidi="ar-SA"/>
          <w14:textFill>
            <w14:solidFill>
              <w14:schemeClr w14:val="tx1"/>
            </w14:solidFill>
          </w14:textFill>
        </w:rPr>
        <w:t>本项目布设6个包气带监测点，每个点在0-20cm深度取1个样，在20-40cm深度取1个样。包气带现状调查见表</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4.3-12</w:t>
      </w:r>
      <w:r>
        <w:rPr>
          <w:rFonts w:ascii="Times New Roman" w:hAnsi="Times New Roman" w:cs="Times New Roman" w:eastAsiaTheme="minorEastAsia"/>
          <w:bCs/>
          <w:color w:val="000000" w:themeColor="text1"/>
          <w:w w:val="99"/>
          <w:kern w:val="21"/>
          <w:sz w:val="24"/>
          <w:szCs w:val="20"/>
          <w:lang w:val="en-US" w:bidi="ar-SA"/>
          <w14:textFill>
            <w14:solidFill>
              <w14:schemeClr w14:val="tx1"/>
            </w14:solidFill>
          </w14:textFill>
        </w:rPr>
        <w:t>。</w:t>
      </w:r>
    </w:p>
    <w:p w14:paraId="2035100F">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表4.3-12    包气带监测点</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30" w:type="dxa"/>
          <w:bottom w:w="0" w:type="dxa"/>
          <w:right w:w="30" w:type="dxa"/>
        </w:tblCellMar>
      </w:tblPr>
      <w:tblGrid>
        <w:gridCol w:w="566"/>
        <w:gridCol w:w="2429"/>
        <w:gridCol w:w="1857"/>
        <w:gridCol w:w="2140"/>
        <w:gridCol w:w="2139"/>
      </w:tblGrid>
      <w:tr w14:paraId="7A631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310" w:type="pct"/>
            <w:shd w:val="clear" w:color="auto" w:fill="FFFFFF"/>
            <w:vAlign w:val="center"/>
          </w:tcPr>
          <w:p w14:paraId="2EB5CDB7">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序号</w:t>
            </w:r>
          </w:p>
        </w:tc>
        <w:tc>
          <w:tcPr>
            <w:tcW w:w="1330" w:type="pct"/>
            <w:shd w:val="clear" w:color="auto" w:fill="FFFFFF"/>
            <w:vAlign w:val="center"/>
          </w:tcPr>
          <w:p w14:paraId="0FA1BD26">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监测点</w:t>
            </w:r>
          </w:p>
        </w:tc>
        <w:tc>
          <w:tcPr>
            <w:tcW w:w="1017" w:type="pct"/>
            <w:shd w:val="clear" w:color="auto" w:fill="FFFFFF"/>
            <w:vAlign w:val="center"/>
          </w:tcPr>
          <w:p w14:paraId="4AE22236">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采样深度</w:t>
            </w:r>
          </w:p>
        </w:tc>
        <w:tc>
          <w:tcPr>
            <w:tcW w:w="1172" w:type="pct"/>
            <w:shd w:val="clear" w:color="auto" w:fill="FFFFFF"/>
            <w:vAlign w:val="center"/>
          </w:tcPr>
          <w:p w14:paraId="60474F6D">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与拟建工程相对位置</w:t>
            </w:r>
          </w:p>
        </w:tc>
        <w:tc>
          <w:tcPr>
            <w:tcW w:w="1171" w:type="pct"/>
            <w:shd w:val="clear" w:color="auto" w:fill="FFFFFF"/>
            <w:vAlign w:val="center"/>
          </w:tcPr>
          <w:p w14:paraId="2ABEF253">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备注</w:t>
            </w:r>
          </w:p>
        </w:tc>
      </w:tr>
      <w:tr w14:paraId="1B155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310" w:type="pct"/>
            <w:shd w:val="clear" w:color="auto" w:fill="FFFFFF"/>
            <w:vAlign w:val="center"/>
          </w:tcPr>
          <w:p w14:paraId="46C0B7A2">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w:t>
            </w:r>
          </w:p>
        </w:tc>
        <w:tc>
          <w:tcPr>
            <w:tcW w:w="1330" w:type="pct"/>
            <w:shd w:val="clear" w:color="auto" w:fill="FFFFFF"/>
            <w:vAlign w:val="center"/>
          </w:tcPr>
          <w:p w14:paraId="6A5192D9">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龙一联合站</w:t>
            </w:r>
          </w:p>
        </w:tc>
        <w:tc>
          <w:tcPr>
            <w:tcW w:w="1017" w:type="pct"/>
            <w:shd w:val="clear" w:color="auto" w:fill="FFFFFF"/>
            <w:vAlign w:val="center"/>
          </w:tcPr>
          <w:p w14:paraId="567B763B">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0~20cm、20~40cm</w:t>
            </w:r>
          </w:p>
        </w:tc>
        <w:tc>
          <w:tcPr>
            <w:tcW w:w="1172" w:type="pct"/>
            <w:shd w:val="clear" w:color="auto" w:fill="FFFFFF"/>
            <w:vAlign w:val="center"/>
          </w:tcPr>
          <w:p w14:paraId="5973A8BF">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依托场站</w:t>
            </w:r>
          </w:p>
        </w:tc>
        <w:tc>
          <w:tcPr>
            <w:tcW w:w="1171" w:type="pct"/>
            <w:shd w:val="clear" w:color="auto" w:fill="FFFFFF"/>
            <w:vAlign w:val="center"/>
          </w:tcPr>
          <w:p w14:paraId="451D9621">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124.43347，46.36227污染控制点</w:t>
            </w:r>
          </w:p>
        </w:tc>
      </w:tr>
      <w:tr w14:paraId="55522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310" w:type="pct"/>
            <w:shd w:val="clear" w:color="auto" w:fill="FFFFFF"/>
            <w:vAlign w:val="center"/>
          </w:tcPr>
          <w:p w14:paraId="1D6A3CE9">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w:t>
            </w:r>
          </w:p>
        </w:tc>
        <w:tc>
          <w:tcPr>
            <w:tcW w:w="1330" w:type="pct"/>
            <w:shd w:val="clear" w:color="auto" w:fill="FFFFFF"/>
            <w:vAlign w:val="center"/>
          </w:tcPr>
          <w:p w14:paraId="0FAF7A4F">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龙一联合站西侧200m耕地</w:t>
            </w:r>
          </w:p>
        </w:tc>
        <w:tc>
          <w:tcPr>
            <w:tcW w:w="1017" w:type="pct"/>
            <w:shd w:val="clear" w:color="auto" w:fill="FFFFFF"/>
            <w:vAlign w:val="center"/>
          </w:tcPr>
          <w:p w14:paraId="59F3DCFF">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0~20cm、20~40cm</w:t>
            </w:r>
          </w:p>
        </w:tc>
        <w:tc>
          <w:tcPr>
            <w:tcW w:w="1172" w:type="pct"/>
            <w:shd w:val="clear" w:color="auto" w:fill="FFFFFF"/>
            <w:vAlign w:val="center"/>
          </w:tcPr>
          <w:p w14:paraId="7B721A98">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龙一联合站西侧200m</w:t>
            </w:r>
          </w:p>
        </w:tc>
        <w:tc>
          <w:tcPr>
            <w:tcW w:w="1171" w:type="pct"/>
            <w:shd w:val="clear" w:color="auto" w:fill="FFFFFF"/>
            <w:vAlign w:val="center"/>
          </w:tcPr>
          <w:p w14:paraId="63733200">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124.42760，46.36231清洁对照点</w:t>
            </w:r>
          </w:p>
        </w:tc>
      </w:tr>
      <w:tr w14:paraId="0C0C5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310" w:type="pct"/>
            <w:shd w:val="clear" w:color="auto" w:fill="FFFFFF"/>
            <w:vAlign w:val="center"/>
          </w:tcPr>
          <w:p w14:paraId="4B0A6B7F">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w:t>
            </w:r>
          </w:p>
        </w:tc>
        <w:tc>
          <w:tcPr>
            <w:tcW w:w="1330" w:type="pct"/>
            <w:shd w:val="clear" w:color="auto" w:fill="FFFFFF"/>
            <w:vAlign w:val="center"/>
          </w:tcPr>
          <w:p w14:paraId="69CAB6A2">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17号拉油点</w:t>
            </w:r>
          </w:p>
        </w:tc>
        <w:tc>
          <w:tcPr>
            <w:tcW w:w="1017" w:type="pct"/>
            <w:shd w:val="clear" w:color="auto" w:fill="FFFFFF"/>
            <w:vAlign w:val="center"/>
          </w:tcPr>
          <w:p w14:paraId="20CD5A57">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0~20cm、20~40cm</w:t>
            </w:r>
          </w:p>
        </w:tc>
        <w:tc>
          <w:tcPr>
            <w:tcW w:w="1172" w:type="pct"/>
            <w:shd w:val="clear" w:color="auto" w:fill="FFFFFF"/>
            <w:vAlign w:val="center"/>
          </w:tcPr>
          <w:p w14:paraId="010F8E41">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区域内拉油点</w:t>
            </w:r>
          </w:p>
        </w:tc>
        <w:tc>
          <w:tcPr>
            <w:tcW w:w="1171" w:type="pct"/>
            <w:shd w:val="clear" w:color="auto" w:fill="FFFFFF"/>
            <w:vAlign w:val="center"/>
          </w:tcPr>
          <w:p w14:paraId="4CD11480">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124.40439，46.31703污染控制点</w:t>
            </w:r>
          </w:p>
        </w:tc>
      </w:tr>
      <w:tr w14:paraId="23D9C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310" w:type="pct"/>
            <w:shd w:val="clear" w:color="auto" w:fill="FFFFFF"/>
            <w:vAlign w:val="center"/>
          </w:tcPr>
          <w:p w14:paraId="50942ED3">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w:t>
            </w:r>
          </w:p>
        </w:tc>
        <w:tc>
          <w:tcPr>
            <w:tcW w:w="1330" w:type="pct"/>
            <w:shd w:val="clear" w:color="auto" w:fill="FFFFFF"/>
            <w:vAlign w:val="center"/>
          </w:tcPr>
          <w:p w14:paraId="5FD5378E">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17号拉油点西北侧100m耕地</w:t>
            </w:r>
          </w:p>
        </w:tc>
        <w:tc>
          <w:tcPr>
            <w:tcW w:w="1017" w:type="pct"/>
            <w:shd w:val="clear" w:color="auto" w:fill="FFFFFF"/>
            <w:vAlign w:val="center"/>
          </w:tcPr>
          <w:p w14:paraId="11C139CD">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0~20cm、20~40cm</w:t>
            </w:r>
          </w:p>
        </w:tc>
        <w:tc>
          <w:tcPr>
            <w:tcW w:w="1172" w:type="pct"/>
            <w:shd w:val="clear" w:color="auto" w:fill="FFFFFF"/>
            <w:vAlign w:val="center"/>
          </w:tcPr>
          <w:p w14:paraId="3CD32093">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17号拉油点西北侧100m</w:t>
            </w:r>
          </w:p>
        </w:tc>
        <w:tc>
          <w:tcPr>
            <w:tcW w:w="1171" w:type="pct"/>
            <w:shd w:val="clear" w:color="auto" w:fill="FFFFFF"/>
            <w:vAlign w:val="center"/>
          </w:tcPr>
          <w:p w14:paraId="0A957C99">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124.40198，46.31772清洁对照点</w:t>
            </w:r>
          </w:p>
        </w:tc>
      </w:tr>
      <w:tr w14:paraId="2F291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310" w:type="pct"/>
            <w:shd w:val="clear" w:color="auto" w:fill="FFFFFF"/>
            <w:vAlign w:val="center"/>
          </w:tcPr>
          <w:p w14:paraId="73D62754">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w:t>
            </w:r>
          </w:p>
        </w:tc>
        <w:tc>
          <w:tcPr>
            <w:tcW w:w="1330" w:type="pct"/>
            <w:shd w:val="clear" w:color="auto" w:fill="FFFFFF"/>
            <w:vAlign w:val="center"/>
          </w:tcPr>
          <w:p w14:paraId="79AFC53D">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9号拉油点</w:t>
            </w:r>
          </w:p>
        </w:tc>
        <w:tc>
          <w:tcPr>
            <w:tcW w:w="1017" w:type="pct"/>
            <w:shd w:val="clear" w:color="auto" w:fill="FFFFFF"/>
            <w:vAlign w:val="center"/>
          </w:tcPr>
          <w:p w14:paraId="672E9B96">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0~20cm、20~40cm</w:t>
            </w:r>
          </w:p>
        </w:tc>
        <w:tc>
          <w:tcPr>
            <w:tcW w:w="1172" w:type="pct"/>
            <w:shd w:val="clear" w:color="auto" w:fill="FFFFFF"/>
            <w:vAlign w:val="center"/>
          </w:tcPr>
          <w:p w14:paraId="0213AF06">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区域内拉油点</w:t>
            </w:r>
          </w:p>
        </w:tc>
        <w:tc>
          <w:tcPr>
            <w:tcW w:w="1171" w:type="pct"/>
            <w:shd w:val="clear" w:color="auto" w:fill="FFFFFF"/>
            <w:vAlign w:val="center"/>
          </w:tcPr>
          <w:p w14:paraId="482E3160">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124.41993，46.28450污染控制点</w:t>
            </w:r>
          </w:p>
        </w:tc>
      </w:tr>
      <w:tr w14:paraId="0CFF7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310" w:type="pct"/>
            <w:shd w:val="clear" w:color="auto" w:fill="FFFFFF"/>
            <w:vAlign w:val="center"/>
          </w:tcPr>
          <w:p w14:paraId="55B9CAE5">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6</w:t>
            </w:r>
          </w:p>
        </w:tc>
        <w:tc>
          <w:tcPr>
            <w:tcW w:w="1330" w:type="pct"/>
            <w:shd w:val="clear" w:color="auto" w:fill="FFFFFF"/>
            <w:vAlign w:val="center"/>
          </w:tcPr>
          <w:p w14:paraId="53A98FF4">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9号拉油点南侧200m草地</w:t>
            </w:r>
          </w:p>
        </w:tc>
        <w:tc>
          <w:tcPr>
            <w:tcW w:w="1017" w:type="pct"/>
            <w:shd w:val="clear" w:color="auto" w:fill="FFFFFF"/>
            <w:vAlign w:val="center"/>
          </w:tcPr>
          <w:p w14:paraId="2B045889">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0~20cm、20~40cm</w:t>
            </w:r>
          </w:p>
        </w:tc>
        <w:tc>
          <w:tcPr>
            <w:tcW w:w="1172" w:type="pct"/>
            <w:shd w:val="clear" w:color="auto" w:fill="FFFFFF"/>
            <w:vAlign w:val="center"/>
          </w:tcPr>
          <w:p w14:paraId="60C551E4">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9号拉油点南侧200m</w:t>
            </w:r>
          </w:p>
        </w:tc>
        <w:tc>
          <w:tcPr>
            <w:tcW w:w="1171" w:type="pct"/>
            <w:shd w:val="clear" w:color="auto" w:fill="FFFFFF"/>
            <w:vAlign w:val="center"/>
          </w:tcPr>
          <w:p w14:paraId="0CE374AB">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124.41982，46.28259清洁对照点</w:t>
            </w:r>
          </w:p>
        </w:tc>
      </w:tr>
    </w:tbl>
    <w:p w14:paraId="3FE996C3">
      <w:pPr>
        <w:autoSpaceDE/>
        <w:autoSpaceDN/>
        <w:spacing w:line="440" w:lineRule="exact"/>
        <w:ind w:firstLine="474" w:firstLineChars="200"/>
        <w:jc w:val="both"/>
        <w:rPr>
          <w:rFonts w:ascii="Times New Roman" w:hAnsi="Times New Roman" w:cs="Times New Roman" w:eastAsiaTheme="minorEastAsia"/>
          <w:bCs/>
          <w:color w:val="000000" w:themeColor="text1"/>
          <w:w w:val="99"/>
          <w:kern w:val="21"/>
          <w:sz w:val="24"/>
          <w:szCs w:val="20"/>
          <w:lang w:val="en-US" w:bidi="ar-SA"/>
          <w14:textFill>
            <w14:solidFill>
              <w14:schemeClr w14:val="tx1"/>
            </w14:solidFill>
          </w14:textFill>
        </w:rPr>
      </w:pPr>
      <w:r>
        <w:rPr>
          <w:rFonts w:hint="eastAsia"/>
          <w:bCs/>
          <w:color w:val="000000" w:themeColor="text1"/>
          <w:w w:val="99"/>
          <w:kern w:val="21"/>
          <w:sz w:val="24"/>
          <w:szCs w:val="20"/>
          <w:lang w:val="en-US" w:eastAsia="ja-JP" w:bidi="ar-SA"/>
          <w14:textFill>
            <w14:solidFill>
              <w14:schemeClr w14:val="tx1"/>
            </w14:solidFill>
          </w14:textFill>
        </w:rPr>
        <w:t>②</w:t>
      </w:r>
      <w:r>
        <w:rPr>
          <w:rFonts w:ascii="Times New Roman" w:hAnsi="Times New Roman" w:cs="Times New Roman" w:eastAsiaTheme="minorEastAsia"/>
          <w:bCs/>
          <w:color w:val="000000" w:themeColor="text1"/>
          <w:w w:val="99"/>
          <w:kern w:val="21"/>
          <w:sz w:val="24"/>
          <w:szCs w:val="20"/>
          <w:lang w:val="en-US" w:bidi="ar-SA"/>
          <w14:textFill>
            <w14:solidFill>
              <w14:schemeClr w14:val="tx1"/>
            </w14:solidFill>
          </w14:textFill>
        </w:rPr>
        <w:t>监测因子</w:t>
      </w:r>
    </w:p>
    <w:p w14:paraId="7F49940C">
      <w:pPr>
        <w:autoSpaceDE/>
        <w:autoSpaceDN/>
        <w:spacing w:line="440" w:lineRule="exact"/>
        <w:ind w:firstLine="474" w:firstLineChars="200"/>
        <w:jc w:val="both"/>
        <w:rPr>
          <w:rFonts w:ascii="Times New Roman" w:hAnsi="Times New Roman" w:cs="Times New Roman" w:eastAsiaTheme="minorEastAsia"/>
          <w:bCs/>
          <w:color w:val="000000" w:themeColor="text1"/>
          <w:w w:val="99"/>
          <w:kern w:val="21"/>
          <w:sz w:val="24"/>
          <w:szCs w:val="20"/>
          <w:lang w:val="en-US" w:bidi="ar-SA"/>
          <w14:textFill>
            <w14:solidFill>
              <w14:schemeClr w14:val="tx1"/>
            </w14:solidFill>
          </w14:textFill>
        </w:rPr>
      </w:pPr>
      <w:r>
        <w:rPr>
          <w:rFonts w:ascii="Times New Roman" w:hAnsi="Times New Roman" w:cs="Times New Roman" w:eastAsiaTheme="minorEastAsia"/>
          <w:bCs/>
          <w:color w:val="000000" w:themeColor="text1"/>
          <w:w w:val="99"/>
          <w:kern w:val="21"/>
          <w:sz w:val="24"/>
          <w:szCs w:val="20"/>
          <w:lang w:val="en-US" w:bidi="ar-SA"/>
          <w14:textFill>
            <w14:solidFill>
              <w14:schemeClr w14:val="tx1"/>
            </w14:solidFill>
          </w14:textFill>
        </w:rPr>
        <w:t>根据区块内已建场站及井场的污染特点，选取可能对地下水造成污染的特征因子进行监测，即监测pH、镉、汞、砷、铅、铬、铜、镍、锌、石油类、挥发酚，共11项指标。</w:t>
      </w:r>
    </w:p>
    <w:p w14:paraId="44C18F10">
      <w:pPr>
        <w:autoSpaceDE/>
        <w:autoSpaceDN/>
        <w:spacing w:line="440" w:lineRule="exact"/>
        <w:ind w:firstLine="474" w:firstLineChars="200"/>
        <w:jc w:val="both"/>
        <w:rPr>
          <w:rFonts w:ascii="Times New Roman" w:hAnsi="Times New Roman" w:cs="Times New Roman" w:eastAsiaTheme="minorEastAsia"/>
          <w:bCs/>
          <w:color w:val="000000" w:themeColor="text1"/>
          <w:w w:val="99"/>
          <w:kern w:val="21"/>
          <w:sz w:val="24"/>
          <w:szCs w:val="20"/>
          <w:lang w:val="en-US" w:bidi="ar-SA"/>
          <w14:textFill>
            <w14:solidFill>
              <w14:schemeClr w14:val="tx1"/>
            </w14:solidFill>
          </w14:textFill>
        </w:rPr>
      </w:pPr>
      <w:r>
        <w:rPr>
          <w:rFonts w:hint="eastAsia"/>
          <w:bCs/>
          <w:color w:val="000000" w:themeColor="text1"/>
          <w:w w:val="99"/>
          <w:kern w:val="21"/>
          <w:sz w:val="24"/>
          <w:szCs w:val="20"/>
          <w:lang w:val="en-US" w:eastAsia="ja-JP" w:bidi="ar-SA"/>
          <w14:textFill>
            <w14:solidFill>
              <w14:schemeClr w14:val="tx1"/>
            </w14:solidFill>
          </w14:textFill>
        </w:rPr>
        <w:t>③</w:t>
      </w:r>
      <w:r>
        <w:rPr>
          <w:rFonts w:ascii="Times New Roman" w:hAnsi="Times New Roman" w:cs="Times New Roman" w:eastAsiaTheme="minorEastAsia"/>
          <w:bCs/>
          <w:color w:val="000000" w:themeColor="text1"/>
          <w:w w:val="99"/>
          <w:kern w:val="21"/>
          <w:sz w:val="24"/>
          <w:szCs w:val="20"/>
          <w:lang w:val="en-US" w:bidi="ar-SA"/>
          <w14:textFill>
            <w14:solidFill>
              <w14:schemeClr w14:val="tx1"/>
            </w14:solidFill>
          </w14:textFill>
        </w:rPr>
        <w:t>监测时间</w:t>
      </w:r>
    </w:p>
    <w:p w14:paraId="509A38A5">
      <w:pPr>
        <w:autoSpaceDE/>
        <w:autoSpaceDN/>
        <w:spacing w:line="440" w:lineRule="exact"/>
        <w:ind w:firstLine="474" w:firstLineChars="200"/>
        <w:jc w:val="both"/>
        <w:rPr>
          <w:rFonts w:ascii="Times New Roman" w:hAnsi="Times New Roman" w:cs="Times New Roman" w:eastAsiaTheme="minorEastAsia"/>
          <w:bCs/>
          <w:color w:val="000000" w:themeColor="text1"/>
          <w:w w:val="99"/>
          <w:kern w:val="21"/>
          <w:sz w:val="24"/>
          <w:szCs w:val="20"/>
          <w:lang w:val="en-US" w:bidi="ar-SA"/>
          <w14:textFill>
            <w14:solidFill>
              <w14:schemeClr w14:val="tx1"/>
            </w14:solidFill>
          </w14:textFill>
        </w:rPr>
      </w:pPr>
      <w:r>
        <w:rPr>
          <w:rFonts w:ascii="Times New Roman" w:hAnsi="Times New Roman" w:cs="Times New Roman" w:eastAsiaTheme="minorEastAsia"/>
          <w:bCs/>
          <w:color w:val="000000" w:themeColor="text1"/>
          <w:w w:val="99"/>
          <w:kern w:val="21"/>
          <w:sz w:val="24"/>
          <w:szCs w:val="20"/>
          <w:lang w:val="en-US" w:bidi="ar-SA"/>
          <w14:textFill>
            <w14:solidFill>
              <w14:schemeClr w14:val="tx1"/>
            </w14:solidFill>
          </w14:textFill>
        </w:rPr>
        <w:t>2022年10月16日。</w:t>
      </w:r>
    </w:p>
    <w:p w14:paraId="477BF7FE">
      <w:pPr>
        <w:autoSpaceDE/>
        <w:autoSpaceDN/>
        <w:spacing w:line="440" w:lineRule="exact"/>
        <w:ind w:firstLine="474" w:firstLineChars="200"/>
        <w:jc w:val="both"/>
        <w:rPr>
          <w:rFonts w:ascii="Times New Roman" w:hAnsi="Times New Roman" w:cs="Times New Roman" w:eastAsiaTheme="minorEastAsia"/>
          <w:bCs/>
          <w:color w:val="000000" w:themeColor="text1"/>
          <w:w w:val="99"/>
          <w:kern w:val="21"/>
          <w:sz w:val="24"/>
          <w:szCs w:val="20"/>
          <w:lang w:val="en-US" w:bidi="ar-SA"/>
          <w14:textFill>
            <w14:solidFill>
              <w14:schemeClr w14:val="tx1"/>
            </w14:solidFill>
          </w14:textFill>
        </w:rPr>
      </w:pPr>
      <w:r>
        <w:rPr>
          <w:rFonts w:hint="eastAsia"/>
          <w:bCs/>
          <w:color w:val="000000" w:themeColor="text1"/>
          <w:w w:val="99"/>
          <w:kern w:val="21"/>
          <w:sz w:val="24"/>
          <w:szCs w:val="20"/>
          <w:lang w:val="en-US" w:eastAsia="ja-JP" w:bidi="ar-SA"/>
          <w14:textFill>
            <w14:solidFill>
              <w14:schemeClr w14:val="tx1"/>
            </w14:solidFill>
          </w14:textFill>
        </w:rPr>
        <w:t>④</w:t>
      </w:r>
      <w:r>
        <w:rPr>
          <w:rFonts w:ascii="Times New Roman" w:hAnsi="Times New Roman" w:cs="Times New Roman" w:eastAsiaTheme="minorEastAsia"/>
          <w:bCs/>
          <w:color w:val="000000" w:themeColor="text1"/>
          <w:w w:val="99"/>
          <w:kern w:val="21"/>
          <w:sz w:val="24"/>
          <w:szCs w:val="20"/>
          <w:lang w:val="en-US" w:bidi="ar-SA"/>
          <w14:textFill>
            <w14:solidFill>
              <w14:schemeClr w14:val="tx1"/>
            </w14:solidFill>
          </w14:textFill>
        </w:rPr>
        <w:t>监测结果</w:t>
      </w:r>
    </w:p>
    <w:p w14:paraId="79E5B43F">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表4.3-13    包气带现状调查结果</w:t>
      </w:r>
    </w:p>
    <w:tbl>
      <w:tblPr>
        <w:tblStyle w:val="8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4"/>
        <w:gridCol w:w="1987"/>
        <w:gridCol w:w="1930"/>
        <w:gridCol w:w="2038"/>
        <w:gridCol w:w="1978"/>
      </w:tblGrid>
      <w:tr w14:paraId="2DC66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7C40C114">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监测时间</w:t>
            </w:r>
          </w:p>
        </w:tc>
        <w:tc>
          <w:tcPr>
            <w:tcW w:w="4271" w:type="pct"/>
            <w:gridSpan w:val="4"/>
            <w:vAlign w:val="center"/>
          </w:tcPr>
          <w:p w14:paraId="5B3C278E">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2022.10.16</w:t>
            </w:r>
          </w:p>
        </w:tc>
      </w:tr>
      <w:tr w14:paraId="2C39F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Merge w:val="restart"/>
            <w:vAlign w:val="center"/>
          </w:tcPr>
          <w:p w14:paraId="2F4B96C8">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监测项目</w:t>
            </w:r>
          </w:p>
        </w:tc>
        <w:tc>
          <w:tcPr>
            <w:tcW w:w="2109" w:type="pct"/>
            <w:gridSpan w:val="2"/>
            <w:vAlign w:val="center"/>
          </w:tcPr>
          <w:p w14:paraId="01E451D9">
            <w:pPr>
              <w:widowControl/>
              <w:autoSpaceDE/>
              <w:autoSpaceDN/>
              <w:snapToGrid w:val="0"/>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龙一联合站</w:t>
            </w:r>
          </w:p>
        </w:tc>
        <w:tc>
          <w:tcPr>
            <w:tcW w:w="2162" w:type="pct"/>
            <w:gridSpan w:val="2"/>
            <w:vAlign w:val="center"/>
          </w:tcPr>
          <w:p w14:paraId="2F24A77B">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龙一联合站西侧200m耕地</w:t>
            </w:r>
          </w:p>
        </w:tc>
      </w:tr>
      <w:tr w14:paraId="28DDF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Merge w:val="continue"/>
            <w:vAlign w:val="center"/>
          </w:tcPr>
          <w:p w14:paraId="4690C0BC">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070" w:type="pct"/>
            <w:vAlign w:val="center"/>
          </w:tcPr>
          <w:p w14:paraId="3A3EBC52">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0～20cm</w:t>
            </w:r>
          </w:p>
        </w:tc>
        <w:tc>
          <w:tcPr>
            <w:tcW w:w="1039" w:type="pct"/>
            <w:vAlign w:val="center"/>
          </w:tcPr>
          <w:p w14:paraId="13CB6F55">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20～40cm</w:t>
            </w:r>
          </w:p>
        </w:tc>
        <w:tc>
          <w:tcPr>
            <w:tcW w:w="1097" w:type="pct"/>
            <w:vAlign w:val="center"/>
          </w:tcPr>
          <w:p w14:paraId="7E7AC5AD">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0～20cm</w:t>
            </w:r>
          </w:p>
        </w:tc>
        <w:tc>
          <w:tcPr>
            <w:tcW w:w="1065" w:type="pct"/>
            <w:vAlign w:val="center"/>
          </w:tcPr>
          <w:p w14:paraId="46FE67B9">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20～40cm</w:t>
            </w:r>
          </w:p>
        </w:tc>
      </w:tr>
      <w:tr w14:paraId="6C0BF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6573BA88">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pH</w:t>
            </w:r>
          </w:p>
        </w:tc>
        <w:tc>
          <w:tcPr>
            <w:tcW w:w="1070" w:type="pct"/>
            <w:vAlign w:val="center"/>
          </w:tcPr>
          <w:p w14:paraId="23C7E753">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8.2</w:t>
            </w:r>
          </w:p>
        </w:tc>
        <w:tc>
          <w:tcPr>
            <w:tcW w:w="1039" w:type="pct"/>
            <w:vAlign w:val="center"/>
          </w:tcPr>
          <w:p w14:paraId="47020E8E">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8.1</w:t>
            </w:r>
          </w:p>
        </w:tc>
        <w:tc>
          <w:tcPr>
            <w:tcW w:w="1097" w:type="pct"/>
            <w:vAlign w:val="center"/>
          </w:tcPr>
          <w:p w14:paraId="34F5284A">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7.8</w:t>
            </w:r>
          </w:p>
        </w:tc>
        <w:tc>
          <w:tcPr>
            <w:tcW w:w="1065" w:type="pct"/>
            <w:vAlign w:val="center"/>
          </w:tcPr>
          <w:p w14:paraId="3C177C65">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7.9</w:t>
            </w:r>
          </w:p>
        </w:tc>
      </w:tr>
      <w:tr w14:paraId="6EDFF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22E42FC6">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铅</w:t>
            </w:r>
          </w:p>
        </w:tc>
        <w:tc>
          <w:tcPr>
            <w:tcW w:w="1070" w:type="pct"/>
            <w:vAlign w:val="center"/>
          </w:tcPr>
          <w:p w14:paraId="2709794D">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5.6</w:t>
            </w:r>
          </w:p>
        </w:tc>
        <w:tc>
          <w:tcPr>
            <w:tcW w:w="1039" w:type="pct"/>
            <w:vAlign w:val="center"/>
          </w:tcPr>
          <w:p w14:paraId="317F458E">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5.3</w:t>
            </w:r>
          </w:p>
        </w:tc>
        <w:tc>
          <w:tcPr>
            <w:tcW w:w="1097" w:type="pct"/>
            <w:vAlign w:val="center"/>
          </w:tcPr>
          <w:p w14:paraId="7A9C3678">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5.4</w:t>
            </w:r>
          </w:p>
        </w:tc>
        <w:tc>
          <w:tcPr>
            <w:tcW w:w="1065" w:type="pct"/>
            <w:vAlign w:val="center"/>
          </w:tcPr>
          <w:p w14:paraId="55E28A49">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5.0</w:t>
            </w:r>
          </w:p>
        </w:tc>
      </w:tr>
      <w:tr w14:paraId="40919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208F4AAE">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镉</w:t>
            </w:r>
          </w:p>
        </w:tc>
        <w:tc>
          <w:tcPr>
            <w:tcW w:w="1070" w:type="pct"/>
            <w:vAlign w:val="center"/>
          </w:tcPr>
          <w:p w14:paraId="3430C2C3">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0.18</w:t>
            </w:r>
          </w:p>
        </w:tc>
        <w:tc>
          <w:tcPr>
            <w:tcW w:w="1039" w:type="pct"/>
            <w:vAlign w:val="center"/>
          </w:tcPr>
          <w:p w14:paraId="4DAC8C9A">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0.16</w:t>
            </w:r>
          </w:p>
        </w:tc>
        <w:tc>
          <w:tcPr>
            <w:tcW w:w="1097" w:type="pct"/>
            <w:vAlign w:val="center"/>
          </w:tcPr>
          <w:p w14:paraId="6F9AE102">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0.17</w:t>
            </w:r>
          </w:p>
        </w:tc>
        <w:tc>
          <w:tcPr>
            <w:tcW w:w="1065" w:type="pct"/>
            <w:vAlign w:val="center"/>
          </w:tcPr>
          <w:p w14:paraId="23B70D9A">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0.11</w:t>
            </w:r>
          </w:p>
        </w:tc>
      </w:tr>
      <w:tr w14:paraId="38BC5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2CEC5363">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汞</w:t>
            </w:r>
          </w:p>
        </w:tc>
        <w:tc>
          <w:tcPr>
            <w:tcW w:w="1070" w:type="pct"/>
            <w:vAlign w:val="center"/>
          </w:tcPr>
          <w:p w14:paraId="0147B730">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0.04L</w:t>
            </w:r>
          </w:p>
        </w:tc>
        <w:tc>
          <w:tcPr>
            <w:tcW w:w="1039" w:type="pct"/>
            <w:vAlign w:val="center"/>
          </w:tcPr>
          <w:p w14:paraId="374B6516">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0.04L</w:t>
            </w:r>
          </w:p>
        </w:tc>
        <w:tc>
          <w:tcPr>
            <w:tcW w:w="1097" w:type="pct"/>
            <w:vAlign w:val="center"/>
          </w:tcPr>
          <w:p w14:paraId="6271BCC1">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0.04L</w:t>
            </w:r>
          </w:p>
        </w:tc>
        <w:tc>
          <w:tcPr>
            <w:tcW w:w="1065" w:type="pct"/>
            <w:vAlign w:val="center"/>
          </w:tcPr>
          <w:p w14:paraId="40633385">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0.04L</w:t>
            </w:r>
          </w:p>
        </w:tc>
      </w:tr>
      <w:tr w14:paraId="0C4FF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2C241878">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总铬</w:t>
            </w:r>
          </w:p>
        </w:tc>
        <w:tc>
          <w:tcPr>
            <w:tcW w:w="1070" w:type="pct"/>
            <w:vAlign w:val="center"/>
          </w:tcPr>
          <w:p w14:paraId="7FCB9034">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0.19</w:t>
            </w:r>
          </w:p>
        </w:tc>
        <w:tc>
          <w:tcPr>
            <w:tcW w:w="1039" w:type="pct"/>
            <w:vAlign w:val="center"/>
          </w:tcPr>
          <w:p w14:paraId="3F680836">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0.12</w:t>
            </w:r>
          </w:p>
        </w:tc>
        <w:tc>
          <w:tcPr>
            <w:tcW w:w="1097" w:type="pct"/>
            <w:vAlign w:val="center"/>
          </w:tcPr>
          <w:p w14:paraId="150FDA0F">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0.17</w:t>
            </w:r>
          </w:p>
        </w:tc>
        <w:tc>
          <w:tcPr>
            <w:tcW w:w="1065" w:type="pct"/>
            <w:vAlign w:val="center"/>
          </w:tcPr>
          <w:p w14:paraId="1C2D2E25">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0.12</w:t>
            </w:r>
          </w:p>
        </w:tc>
      </w:tr>
      <w:tr w14:paraId="175DB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73316481">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石油类</w:t>
            </w:r>
          </w:p>
        </w:tc>
        <w:tc>
          <w:tcPr>
            <w:tcW w:w="1070" w:type="pct"/>
            <w:vAlign w:val="center"/>
          </w:tcPr>
          <w:p w14:paraId="48E9A52B">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0.18</w:t>
            </w:r>
          </w:p>
        </w:tc>
        <w:tc>
          <w:tcPr>
            <w:tcW w:w="1039" w:type="pct"/>
            <w:vAlign w:val="center"/>
          </w:tcPr>
          <w:p w14:paraId="467249A6">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0.14</w:t>
            </w:r>
          </w:p>
        </w:tc>
        <w:tc>
          <w:tcPr>
            <w:tcW w:w="1097" w:type="pct"/>
            <w:vAlign w:val="center"/>
          </w:tcPr>
          <w:p w14:paraId="298035C8">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0.16</w:t>
            </w:r>
          </w:p>
        </w:tc>
        <w:tc>
          <w:tcPr>
            <w:tcW w:w="1065" w:type="pct"/>
            <w:vAlign w:val="center"/>
          </w:tcPr>
          <w:p w14:paraId="369BF048">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0.13</w:t>
            </w:r>
          </w:p>
        </w:tc>
      </w:tr>
      <w:tr w14:paraId="04EE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023F35FB">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砷</w:t>
            </w:r>
          </w:p>
        </w:tc>
        <w:tc>
          <w:tcPr>
            <w:tcW w:w="1070" w:type="pct"/>
            <w:vAlign w:val="center"/>
          </w:tcPr>
          <w:p w14:paraId="4E0695C8">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0.3L</w:t>
            </w:r>
          </w:p>
        </w:tc>
        <w:tc>
          <w:tcPr>
            <w:tcW w:w="1039" w:type="pct"/>
            <w:vAlign w:val="center"/>
          </w:tcPr>
          <w:p w14:paraId="6DACEAF4">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0.3L</w:t>
            </w:r>
          </w:p>
        </w:tc>
        <w:tc>
          <w:tcPr>
            <w:tcW w:w="1097" w:type="pct"/>
            <w:vAlign w:val="center"/>
          </w:tcPr>
          <w:p w14:paraId="1DBE868F">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0.3L</w:t>
            </w:r>
          </w:p>
        </w:tc>
        <w:tc>
          <w:tcPr>
            <w:tcW w:w="1065" w:type="pct"/>
            <w:vAlign w:val="center"/>
          </w:tcPr>
          <w:p w14:paraId="313CCF6D">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0.3L</w:t>
            </w:r>
          </w:p>
        </w:tc>
      </w:tr>
      <w:tr w14:paraId="536FD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4709E275">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挥发酚</w:t>
            </w:r>
          </w:p>
        </w:tc>
        <w:tc>
          <w:tcPr>
            <w:tcW w:w="1070" w:type="pct"/>
            <w:vAlign w:val="center"/>
          </w:tcPr>
          <w:p w14:paraId="614170BA">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0.0030</w:t>
            </w:r>
          </w:p>
        </w:tc>
        <w:tc>
          <w:tcPr>
            <w:tcW w:w="1039" w:type="pct"/>
            <w:vAlign w:val="center"/>
          </w:tcPr>
          <w:p w14:paraId="268E81B0">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0.0027</w:t>
            </w:r>
          </w:p>
        </w:tc>
        <w:tc>
          <w:tcPr>
            <w:tcW w:w="1097" w:type="pct"/>
            <w:vAlign w:val="center"/>
          </w:tcPr>
          <w:p w14:paraId="441208EA">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0.0029</w:t>
            </w:r>
          </w:p>
        </w:tc>
        <w:tc>
          <w:tcPr>
            <w:tcW w:w="1065" w:type="pct"/>
            <w:vAlign w:val="center"/>
          </w:tcPr>
          <w:p w14:paraId="02ECD9E5">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0.0033</w:t>
            </w:r>
          </w:p>
        </w:tc>
      </w:tr>
      <w:tr w14:paraId="5C923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04322FFB">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铜</w:t>
            </w:r>
          </w:p>
        </w:tc>
        <w:tc>
          <w:tcPr>
            <w:tcW w:w="1070" w:type="pct"/>
            <w:vAlign w:val="center"/>
          </w:tcPr>
          <w:p w14:paraId="14676BE8">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0.009</w:t>
            </w:r>
          </w:p>
        </w:tc>
        <w:tc>
          <w:tcPr>
            <w:tcW w:w="1039" w:type="pct"/>
            <w:vAlign w:val="center"/>
          </w:tcPr>
          <w:p w14:paraId="5EA34DD7">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0.008</w:t>
            </w:r>
          </w:p>
        </w:tc>
        <w:tc>
          <w:tcPr>
            <w:tcW w:w="1097" w:type="pct"/>
            <w:vAlign w:val="center"/>
          </w:tcPr>
          <w:p w14:paraId="39EE118A">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0.006</w:t>
            </w:r>
          </w:p>
        </w:tc>
        <w:tc>
          <w:tcPr>
            <w:tcW w:w="1065" w:type="pct"/>
            <w:vAlign w:val="center"/>
          </w:tcPr>
          <w:p w14:paraId="7D23AC34">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0.008</w:t>
            </w:r>
          </w:p>
        </w:tc>
      </w:tr>
      <w:tr w14:paraId="7C2C3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7012143E">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镍</w:t>
            </w:r>
          </w:p>
        </w:tc>
        <w:tc>
          <w:tcPr>
            <w:tcW w:w="1070" w:type="pct"/>
            <w:vAlign w:val="center"/>
          </w:tcPr>
          <w:p w14:paraId="009F849D">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0.08</w:t>
            </w:r>
          </w:p>
        </w:tc>
        <w:tc>
          <w:tcPr>
            <w:tcW w:w="1039" w:type="pct"/>
            <w:vAlign w:val="center"/>
          </w:tcPr>
          <w:p w14:paraId="02AF38B5">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0.06</w:t>
            </w:r>
          </w:p>
        </w:tc>
        <w:tc>
          <w:tcPr>
            <w:tcW w:w="1097" w:type="pct"/>
            <w:vAlign w:val="center"/>
          </w:tcPr>
          <w:p w14:paraId="171F17AD">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0.07</w:t>
            </w:r>
          </w:p>
        </w:tc>
        <w:tc>
          <w:tcPr>
            <w:tcW w:w="1065" w:type="pct"/>
            <w:vAlign w:val="center"/>
          </w:tcPr>
          <w:p w14:paraId="1EDC155C">
            <w:pPr>
              <w:widowControl/>
              <w:tabs>
                <w:tab w:val="left" w:pos="597"/>
              </w:tabs>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0.09</w:t>
            </w:r>
          </w:p>
        </w:tc>
      </w:tr>
      <w:tr w14:paraId="463F9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48286CC0">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锌</w:t>
            </w:r>
          </w:p>
        </w:tc>
        <w:tc>
          <w:tcPr>
            <w:tcW w:w="1070" w:type="pct"/>
            <w:vAlign w:val="center"/>
          </w:tcPr>
          <w:p w14:paraId="51E0DE49">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0.09</w:t>
            </w:r>
          </w:p>
        </w:tc>
        <w:tc>
          <w:tcPr>
            <w:tcW w:w="1039" w:type="pct"/>
            <w:vAlign w:val="center"/>
          </w:tcPr>
          <w:p w14:paraId="3ABC7CDF">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0.07</w:t>
            </w:r>
          </w:p>
        </w:tc>
        <w:tc>
          <w:tcPr>
            <w:tcW w:w="1097" w:type="pct"/>
            <w:vAlign w:val="center"/>
          </w:tcPr>
          <w:p w14:paraId="6C0F557E">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0.08</w:t>
            </w:r>
          </w:p>
        </w:tc>
        <w:tc>
          <w:tcPr>
            <w:tcW w:w="1065" w:type="pct"/>
            <w:vAlign w:val="center"/>
          </w:tcPr>
          <w:p w14:paraId="234FC4DA">
            <w:pPr>
              <w:widowControl/>
              <w:tabs>
                <w:tab w:val="left" w:pos="500"/>
              </w:tabs>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0.09</w:t>
            </w:r>
          </w:p>
        </w:tc>
      </w:tr>
      <w:tr w14:paraId="334B9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Merge w:val="restart"/>
            <w:vAlign w:val="center"/>
          </w:tcPr>
          <w:p w14:paraId="11CD8C6F">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监测项目</w:t>
            </w:r>
          </w:p>
        </w:tc>
        <w:tc>
          <w:tcPr>
            <w:tcW w:w="2109" w:type="pct"/>
            <w:gridSpan w:val="2"/>
            <w:vAlign w:val="center"/>
          </w:tcPr>
          <w:p w14:paraId="15912F8E">
            <w:pPr>
              <w:widowControl/>
              <w:autoSpaceDE/>
              <w:autoSpaceDN/>
              <w:snapToGrid w:val="0"/>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17号拉油点</w:t>
            </w:r>
          </w:p>
        </w:tc>
        <w:tc>
          <w:tcPr>
            <w:tcW w:w="2162" w:type="pct"/>
            <w:gridSpan w:val="2"/>
            <w:vAlign w:val="center"/>
          </w:tcPr>
          <w:p w14:paraId="7DDA1B05">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17号拉油点西北侧100m耕地</w:t>
            </w:r>
          </w:p>
        </w:tc>
      </w:tr>
      <w:tr w14:paraId="17C10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Merge w:val="continue"/>
            <w:vAlign w:val="center"/>
          </w:tcPr>
          <w:p w14:paraId="75F0F698">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070" w:type="pct"/>
            <w:vAlign w:val="center"/>
          </w:tcPr>
          <w:p w14:paraId="383114DD">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0～20cm</w:t>
            </w:r>
          </w:p>
        </w:tc>
        <w:tc>
          <w:tcPr>
            <w:tcW w:w="1039" w:type="pct"/>
            <w:vAlign w:val="center"/>
          </w:tcPr>
          <w:p w14:paraId="4DFA2EA3">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20～40cm</w:t>
            </w:r>
          </w:p>
        </w:tc>
        <w:tc>
          <w:tcPr>
            <w:tcW w:w="1097" w:type="pct"/>
            <w:vAlign w:val="center"/>
          </w:tcPr>
          <w:p w14:paraId="11DC0094">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0～20cm</w:t>
            </w:r>
          </w:p>
        </w:tc>
        <w:tc>
          <w:tcPr>
            <w:tcW w:w="1065" w:type="pct"/>
            <w:vAlign w:val="center"/>
          </w:tcPr>
          <w:p w14:paraId="400EEDAE">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20～40cm</w:t>
            </w:r>
          </w:p>
        </w:tc>
      </w:tr>
      <w:tr w14:paraId="6BD4E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62B8D667">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pH</w:t>
            </w:r>
          </w:p>
        </w:tc>
        <w:tc>
          <w:tcPr>
            <w:tcW w:w="1070" w:type="pct"/>
            <w:vAlign w:val="center"/>
          </w:tcPr>
          <w:p w14:paraId="68061378">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8.4</w:t>
            </w:r>
          </w:p>
        </w:tc>
        <w:tc>
          <w:tcPr>
            <w:tcW w:w="1039" w:type="pct"/>
            <w:vAlign w:val="center"/>
          </w:tcPr>
          <w:p w14:paraId="4C25CB91">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8.3</w:t>
            </w:r>
          </w:p>
        </w:tc>
        <w:tc>
          <w:tcPr>
            <w:tcW w:w="1097" w:type="pct"/>
            <w:vAlign w:val="center"/>
          </w:tcPr>
          <w:p w14:paraId="60FF65DF">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8.0</w:t>
            </w:r>
          </w:p>
        </w:tc>
        <w:tc>
          <w:tcPr>
            <w:tcW w:w="1065" w:type="pct"/>
            <w:vAlign w:val="center"/>
          </w:tcPr>
          <w:p w14:paraId="40F400F1">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8.1</w:t>
            </w:r>
          </w:p>
        </w:tc>
      </w:tr>
      <w:tr w14:paraId="39826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623DBEDB">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铅</w:t>
            </w:r>
          </w:p>
        </w:tc>
        <w:tc>
          <w:tcPr>
            <w:tcW w:w="1070" w:type="pct"/>
            <w:vAlign w:val="center"/>
          </w:tcPr>
          <w:p w14:paraId="75CFB6F0">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5.8</w:t>
            </w:r>
          </w:p>
        </w:tc>
        <w:tc>
          <w:tcPr>
            <w:tcW w:w="1039" w:type="pct"/>
            <w:vAlign w:val="center"/>
          </w:tcPr>
          <w:p w14:paraId="3CAA1E28">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5.5</w:t>
            </w:r>
          </w:p>
        </w:tc>
        <w:tc>
          <w:tcPr>
            <w:tcW w:w="1097" w:type="pct"/>
            <w:vAlign w:val="center"/>
          </w:tcPr>
          <w:p w14:paraId="6553BFDE">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5.7</w:t>
            </w:r>
          </w:p>
        </w:tc>
        <w:tc>
          <w:tcPr>
            <w:tcW w:w="1065" w:type="pct"/>
            <w:vAlign w:val="center"/>
          </w:tcPr>
          <w:p w14:paraId="58F49199">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5.3</w:t>
            </w:r>
          </w:p>
        </w:tc>
      </w:tr>
      <w:tr w14:paraId="442B6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5BCD6F82">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镉</w:t>
            </w:r>
          </w:p>
        </w:tc>
        <w:tc>
          <w:tcPr>
            <w:tcW w:w="1070" w:type="pct"/>
            <w:vAlign w:val="center"/>
          </w:tcPr>
          <w:p w14:paraId="733BC6A2">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0.20</w:t>
            </w:r>
          </w:p>
        </w:tc>
        <w:tc>
          <w:tcPr>
            <w:tcW w:w="1039" w:type="pct"/>
            <w:vAlign w:val="center"/>
          </w:tcPr>
          <w:p w14:paraId="57403115">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0.14</w:t>
            </w:r>
          </w:p>
        </w:tc>
        <w:tc>
          <w:tcPr>
            <w:tcW w:w="1097" w:type="pct"/>
            <w:vAlign w:val="center"/>
          </w:tcPr>
          <w:p w14:paraId="54A7D2C3">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0.17</w:t>
            </w:r>
          </w:p>
        </w:tc>
        <w:tc>
          <w:tcPr>
            <w:tcW w:w="1065" w:type="pct"/>
            <w:vAlign w:val="center"/>
          </w:tcPr>
          <w:p w14:paraId="454D5E67">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0.13</w:t>
            </w:r>
          </w:p>
        </w:tc>
      </w:tr>
      <w:tr w14:paraId="38D7D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51244AFA">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汞</w:t>
            </w:r>
          </w:p>
        </w:tc>
        <w:tc>
          <w:tcPr>
            <w:tcW w:w="1070" w:type="pct"/>
            <w:vAlign w:val="center"/>
          </w:tcPr>
          <w:p w14:paraId="785D2FA9">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0.04L</w:t>
            </w:r>
          </w:p>
        </w:tc>
        <w:tc>
          <w:tcPr>
            <w:tcW w:w="1039" w:type="pct"/>
            <w:vAlign w:val="center"/>
          </w:tcPr>
          <w:p w14:paraId="29FA543E">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0.04L</w:t>
            </w:r>
          </w:p>
        </w:tc>
        <w:tc>
          <w:tcPr>
            <w:tcW w:w="1097" w:type="pct"/>
            <w:vAlign w:val="center"/>
          </w:tcPr>
          <w:p w14:paraId="037E8D18">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0.04L</w:t>
            </w:r>
          </w:p>
        </w:tc>
        <w:tc>
          <w:tcPr>
            <w:tcW w:w="1065" w:type="pct"/>
            <w:vAlign w:val="center"/>
          </w:tcPr>
          <w:p w14:paraId="28F77889">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0.04L</w:t>
            </w:r>
          </w:p>
        </w:tc>
      </w:tr>
      <w:tr w14:paraId="028C3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4B54239C">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总铬</w:t>
            </w:r>
          </w:p>
        </w:tc>
        <w:tc>
          <w:tcPr>
            <w:tcW w:w="1070" w:type="pct"/>
            <w:vAlign w:val="center"/>
          </w:tcPr>
          <w:p w14:paraId="75E6F34E">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0.19</w:t>
            </w:r>
          </w:p>
        </w:tc>
        <w:tc>
          <w:tcPr>
            <w:tcW w:w="1039" w:type="pct"/>
            <w:vAlign w:val="center"/>
          </w:tcPr>
          <w:p w14:paraId="3810FD29">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0.15</w:t>
            </w:r>
          </w:p>
        </w:tc>
        <w:tc>
          <w:tcPr>
            <w:tcW w:w="1097" w:type="pct"/>
            <w:vAlign w:val="center"/>
          </w:tcPr>
          <w:p w14:paraId="7ECCD140">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0.18</w:t>
            </w:r>
          </w:p>
        </w:tc>
        <w:tc>
          <w:tcPr>
            <w:tcW w:w="1065" w:type="pct"/>
            <w:vAlign w:val="center"/>
          </w:tcPr>
          <w:p w14:paraId="12848FC5">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0.12</w:t>
            </w:r>
          </w:p>
        </w:tc>
      </w:tr>
      <w:tr w14:paraId="429B8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57C4652F">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石油类</w:t>
            </w:r>
          </w:p>
        </w:tc>
        <w:tc>
          <w:tcPr>
            <w:tcW w:w="1070" w:type="pct"/>
            <w:vAlign w:val="center"/>
          </w:tcPr>
          <w:p w14:paraId="246A9445">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0.20</w:t>
            </w:r>
          </w:p>
        </w:tc>
        <w:tc>
          <w:tcPr>
            <w:tcW w:w="1039" w:type="pct"/>
            <w:vAlign w:val="center"/>
          </w:tcPr>
          <w:p w14:paraId="27C6DD88">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0.17</w:t>
            </w:r>
          </w:p>
        </w:tc>
        <w:tc>
          <w:tcPr>
            <w:tcW w:w="1097" w:type="pct"/>
            <w:vAlign w:val="center"/>
          </w:tcPr>
          <w:p w14:paraId="132D624E">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0.18</w:t>
            </w:r>
          </w:p>
        </w:tc>
        <w:tc>
          <w:tcPr>
            <w:tcW w:w="1065" w:type="pct"/>
            <w:vAlign w:val="center"/>
          </w:tcPr>
          <w:p w14:paraId="4F211124">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0.14</w:t>
            </w:r>
          </w:p>
        </w:tc>
      </w:tr>
      <w:tr w14:paraId="520AD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63451CFA">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砷</w:t>
            </w:r>
          </w:p>
        </w:tc>
        <w:tc>
          <w:tcPr>
            <w:tcW w:w="1070" w:type="pct"/>
            <w:vAlign w:val="center"/>
          </w:tcPr>
          <w:p w14:paraId="6D7584F9">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0.3L</w:t>
            </w:r>
          </w:p>
        </w:tc>
        <w:tc>
          <w:tcPr>
            <w:tcW w:w="1039" w:type="pct"/>
            <w:vAlign w:val="center"/>
          </w:tcPr>
          <w:p w14:paraId="507B42B6">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0.3L</w:t>
            </w:r>
          </w:p>
        </w:tc>
        <w:tc>
          <w:tcPr>
            <w:tcW w:w="1097" w:type="pct"/>
            <w:vAlign w:val="center"/>
          </w:tcPr>
          <w:p w14:paraId="23BB1C81">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0.3L</w:t>
            </w:r>
          </w:p>
        </w:tc>
        <w:tc>
          <w:tcPr>
            <w:tcW w:w="1065" w:type="pct"/>
            <w:vAlign w:val="center"/>
          </w:tcPr>
          <w:p w14:paraId="5C415947">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0.3L</w:t>
            </w:r>
          </w:p>
        </w:tc>
      </w:tr>
      <w:tr w14:paraId="32205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062DCC49">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挥发酚</w:t>
            </w:r>
          </w:p>
        </w:tc>
        <w:tc>
          <w:tcPr>
            <w:tcW w:w="1070" w:type="pct"/>
            <w:vAlign w:val="center"/>
          </w:tcPr>
          <w:p w14:paraId="2602AD44">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0.0034</w:t>
            </w:r>
          </w:p>
        </w:tc>
        <w:tc>
          <w:tcPr>
            <w:tcW w:w="1039" w:type="pct"/>
            <w:vAlign w:val="center"/>
          </w:tcPr>
          <w:p w14:paraId="4FBDCBA4">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0.0021</w:t>
            </w:r>
          </w:p>
        </w:tc>
        <w:tc>
          <w:tcPr>
            <w:tcW w:w="1097" w:type="pct"/>
            <w:vAlign w:val="center"/>
          </w:tcPr>
          <w:p w14:paraId="3F3A266C">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0.0029</w:t>
            </w:r>
          </w:p>
        </w:tc>
        <w:tc>
          <w:tcPr>
            <w:tcW w:w="1065" w:type="pct"/>
            <w:vAlign w:val="center"/>
          </w:tcPr>
          <w:p w14:paraId="34E0E0E4">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0.0031</w:t>
            </w:r>
          </w:p>
        </w:tc>
      </w:tr>
      <w:tr w14:paraId="10462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1D5BA179">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铜</w:t>
            </w:r>
          </w:p>
        </w:tc>
        <w:tc>
          <w:tcPr>
            <w:tcW w:w="1070" w:type="pct"/>
            <w:vAlign w:val="center"/>
          </w:tcPr>
          <w:p w14:paraId="5F4E5188">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0.009</w:t>
            </w:r>
          </w:p>
        </w:tc>
        <w:tc>
          <w:tcPr>
            <w:tcW w:w="1039" w:type="pct"/>
            <w:vAlign w:val="center"/>
          </w:tcPr>
          <w:p w14:paraId="5A9ABF8C">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0.007</w:t>
            </w:r>
          </w:p>
        </w:tc>
        <w:tc>
          <w:tcPr>
            <w:tcW w:w="1097" w:type="pct"/>
            <w:vAlign w:val="center"/>
          </w:tcPr>
          <w:p w14:paraId="7DB34256">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0.009</w:t>
            </w:r>
          </w:p>
        </w:tc>
        <w:tc>
          <w:tcPr>
            <w:tcW w:w="1065" w:type="pct"/>
            <w:vAlign w:val="center"/>
          </w:tcPr>
          <w:p w14:paraId="6104CD55">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0.008</w:t>
            </w:r>
          </w:p>
        </w:tc>
      </w:tr>
      <w:tr w14:paraId="43CE9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6F0EA6E3">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镍</w:t>
            </w:r>
          </w:p>
        </w:tc>
        <w:tc>
          <w:tcPr>
            <w:tcW w:w="1070" w:type="pct"/>
            <w:vAlign w:val="center"/>
          </w:tcPr>
          <w:p w14:paraId="2025433C">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0.10</w:t>
            </w:r>
          </w:p>
        </w:tc>
        <w:tc>
          <w:tcPr>
            <w:tcW w:w="1039" w:type="pct"/>
            <w:vAlign w:val="center"/>
          </w:tcPr>
          <w:p w14:paraId="50911682">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0.08</w:t>
            </w:r>
          </w:p>
        </w:tc>
        <w:tc>
          <w:tcPr>
            <w:tcW w:w="1097" w:type="pct"/>
            <w:vAlign w:val="center"/>
          </w:tcPr>
          <w:p w14:paraId="69195E87">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0.07</w:t>
            </w:r>
          </w:p>
        </w:tc>
        <w:tc>
          <w:tcPr>
            <w:tcW w:w="1065" w:type="pct"/>
            <w:vAlign w:val="center"/>
          </w:tcPr>
          <w:p w14:paraId="0D4C5110">
            <w:pPr>
              <w:widowControl/>
              <w:tabs>
                <w:tab w:val="left" w:pos="597"/>
              </w:tabs>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0.08</w:t>
            </w:r>
          </w:p>
        </w:tc>
      </w:tr>
      <w:tr w14:paraId="647CB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683011F4">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锌</w:t>
            </w:r>
          </w:p>
        </w:tc>
        <w:tc>
          <w:tcPr>
            <w:tcW w:w="1070" w:type="pct"/>
            <w:vAlign w:val="center"/>
          </w:tcPr>
          <w:p w14:paraId="172DAE09">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0.08</w:t>
            </w:r>
          </w:p>
        </w:tc>
        <w:tc>
          <w:tcPr>
            <w:tcW w:w="1039" w:type="pct"/>
            <w:vAlign w:val="center"/>
          </w:tcPr>
          <w:p w14:paraId="4E7A546E">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0.06</w:t>
            </w:r>
          </w:p>
        </w:tc>
        <w:tc>
          <w:tcPr>
            <w:tcW w:w="1097" w:type="pct"/>
            <w:vAlign w:val="center"/>
          </w:tcPr>
          <w:p w14:paraId="4605CC8A">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0.08</w:t>
            </w:r>
          </w:p>
        </w:tc>
        <w:tc>
          <w:tcPr>
            <w:tcW w:w="1065" w:type="pct"/>
            <w:vAlign w:val="center"/>
          </w:tcPr>
          <w:p w14:paraId="67849608">
            <w:pPr>
              <w:widowControl/>
              <w:tabs>
                <w:tab w:val="left" w:pos="500"/>
              </w:tabs>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0.07</w:t>
            </w:r>
          </w:p>
        </w:tc>
      </w:tr>
      <w:tr w14:paraId="2D840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Merge w:val="restart"/>
            <w:vAlign w:val="center"/>
          </w:tcPr>
          <w:p w14:paraId="1EA630B7">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监测项目</w:t>
            </w:r>
          </w:p>
        </w:tc>
        <w:tc>
          <w:tcPr>
            <w:tcW w:w="2109" w:type="pct"/>
            <w:gridSpan w:val="2"/>
            <w:vAlign w:val="center"/>
          </w:tcPr>
          <w:p w14:paraId="68A7B1BF">
            <w:pPr>
              <w:widowControl/>
              <w:autoSpaceDE/>
              <w:autoSpaceDN/>
              <w:snapToGrid w:val="0"/>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9号拉油点</w:t>
            </w:r>
          </w:p>
        </w:tc>
        <w:tc>
          <w:tcPr>
            <w:tcW w:w="2162" w:type="pct"/>
            <w:gridSpan w:val="2"/>
            <w:vAlign w:val="center"/>
          </w:tcPr>
          <w:p w14:paraId="045AE15B">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9号拉油点南侧200m草地</w:t>
            </w:r>
          </w:p>
        </w:tc>
      </w:tr>
      <w:tr w14:paraId="43B8D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Merge w:val="continue"/>
            <w:vAlign w:val="center"/>
          </w:tcPr>
          <w:p w14:paraId="3C4ABED5">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070" w:type="pct"/>
            <w:vAlign w:val="center"/>
          </w:tcPr>
          <w:p w14:paraId="1A87D423">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0～20cm</w:t>
            </w:r>
          </w:p>
        </w:tc>
        <w:tc>
          <w:tcPr>
            <w:tcW w:w="1039" w:type="pct"/>
            <w:vAlign w:val="center"/>
          </w:tcPr>
          <w:p w14:paraId="67E205A0">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20～40cm</w:t>
            </w:r>
          </w:p>
        </w:tc>
        <w:tc>
          <w:tcPr>
            <w:tcW w:w="1097" w:type="pct"/>
            <w:vAlign w:val="center"/>
          </w:tcPr>
          <w:p w14:paraId="64FEACD4">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0～20cm</w:t>
            </w:r>
          </w:p>
        </w:tc>
        <w:tc>
          <w:tcPr>
            <w:tcW w:w="1065" w:type="pct"/>
            <w:vAlign w:val="center"/>
          </w:tcPr>
          <w:p w14:paraId="19393BD3">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20～40cm</w:t>
            </w:r>
          </w:p>
        </w:tc>
      </w:tr>
      <w:tr w14:paraId="11CCA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25E951B7">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pH</w:t>
            </w:r>
          </w:p>
        </w:tc>
        <w:tc>
          <w:tcPr>
            <w:tcW w:w="1070" w:type="pct"/>
            <w:vAlign w:val="center"/>
          </w:tcPr>
          <w:p w14:paraId="02F0B319">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8.3</w:t>
            </w:r>
          </w:p>
        </w:tc>
        <w:tc>
          <w:tcPr>
            <w:tcW w:w="1039" w:type="pct"/>
            <w:vAlign w:val="center"/>
          </w:tcPr>
          <w:p w14:paraId="671382D9">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8.4</w:t>
            </w:r>
          </w:p>
        </w:tc>
        <w:tc>
          <w:tcPr>
            <w:tcW w:w="1097" w:type="pct"/>
            <w:vAlign w:val="center"/>
          </w:tcPr>
          <w:p w14:paraId="728FA496">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8.1</w:t>
            </w:r>
          </w:p>
        </w:tc>
        <w:tc>
          <w:tcPr>
            <w:tcW w:w="1065" w:type="pct"/>
            <w:vAlign w:val="center"/>
          </w:tcPr>
          <w:p w14:paraId="0BA9F29A">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8.2</w:t>
            </w:r>
          </w:p>
        </w:tc>
      </w:tr>
      <w:tr w14:paraId="33C25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72DC63A1">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铅</w:t>
            </w:r>
          </w:p>
        </w:tc>
        <w:tc>
          <w:tcPr>
            <w:tcW w:w="1070" w:type="pct"/>
            <w:vAlign w:val="center"/>
          </w:tcPr>
          <w:p w14:paraId="0BE7190B">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5.7</w:t>
            </w:r>
          </w:p>
        </w:tc>
        <w:tc>
          <w:tcPr>
            <w:tcW w:w="1039" w:type="pct"/>
            <w:vAlign w:val="center"/>
          </w:tcPr>
          <w:p w14:paraId="3BB870B8">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5.8</w:t>
            </w:r>
          </w:p>
        </w:tc>
        <w:tc>
          <w:tcPr>
            <w:tcW w:w="1097" w:type="pct"/>
            <w:vAlign w:val="center"/>
          </w:tcPr>
          <w:p w14:paraId="2DC925C0">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5.4</w:t>
            </w:r>
          </w:p>
        </w:tc>
        <w:tc>
          <w:tcPr>
            <w:tcW w:w="1065" w:type="pct"/>
            <w:vAlign w:val="center"/>
          </w:tcPr>
          <w:p w14:paraId="18BA079A">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5.6</w:t>
            </w:r>
          </w:p>
        </w:tc>
      </w:tr>
      <w:tr w14:paraId="17791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40D26B8E">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镉</w:t>
            </w:r>
          </w:p>
        </w:tc>
        <w:tc>
          <w:tcPr>
            <w:tcW w:w="1070" w:type="pct"/>
            <w:vAlign w:val="center"/>
          </w:tcPr>
          <w:p w14:paraId="6374EE37">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0.17</w:t>
            </w:r>
          </w:p>
        </w:tc>
        <w:tc>
          <w:tcPr>
            <w:tcW w:w="1039" w:type="pct"/>
            <w:vAlign w:val="center"/>
          </w:tcPr>
          <w:p w14:paraId="17E3A6B3">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0.13</w:t>
            </w:r>
          </w:p>
        </w:tc>
        <w:tc>
          <w:tcPr>
            <w:tcW w:w="1097" w:type="pct"/>
            <w:vAlign w:val="center"/>
          </w:tcPr>
          <w:p w14:paraId="137ED807">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0.16</w:t>
            </w:r>
          </w:p>
        </w:tc>
        <w:tc>
          <w:tcPr>
            <w:tcW w:w="1065" w:type="pct"/>
            <w:vAlign w:val="center"/>
          </w:tcPr>
          <w:p w14:paraId="04324476">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0.12</w:t>
            </w:r>
          </w:p>
        </w:tc>
      </w:tr>
      <w:tr w14:paraId="2D027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1B01E3A7">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汞</w:t>
            </w:r>
          </w:p>
        </w:tc>
        <w:tc>
          <w:tcPr>
            <w:tcW w:w="1070" w:type="pct"/>
            <w:vAlign w:val="center"/>
          </w:tcPr>
          <w:p w14:paraId="32873D5C">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0.04L</w:t>
            </w:r>
          </w:p>
        </w:tc>
        <w:tc>
          <w:tcPr>
            <w:tcW w:w="1039" w:type="pct"/>
            <w:vAlign w:val="center"/>
          </w:tcPr>
          <w:p w14:paraId="0949B509">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0.04L</w:t>
            </w:r>
          </w:p>
        </w:tc>
        <w:tc>
          <w:tcPr>
            <w:tcW w:w="1097" w:type="pct"/>
            <w:vAlign w:val="center"/>
          </w:tcPr>
          <w:p w14:paraId="6BB2E01A">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0.04L</w:t>
            </w:r>
          </w:p>
        </w:tc>
        <w:tc>
          <w:tcPr>
            <w:tcW w:w="1065" w:type="pct"/>
            <w:vAlign w:val="center"/>
          </w:tcPr>
          <w:p w14:paraId="484C2A60">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0.04L</w:t>
            </w:r>
          </w:p>
        </w:tc>
      </w:tr>
      <w:tr w14:paraId="7B7AF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51E119E1">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总铬</w:t>
            </w:r>
          </w:p>
        </w:tc>
        <w:tc>
          <w:tcPr>
            <w:tcW w:w="1070" w:type="pct"/>
            <w:vAlign w:val="center"/>
          </w:tcPr>
          <w:p w14:paraId="43AAA7ED">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0.17</w:t>
            </w:r>
          </w:p>
        </w:tc>
        <w:tc>
          <w:tcPr>
            <w:tcW w:w="1039" w:type="pct"/>
            <w:vAlign w:val="center"/>
          </w:tcPr>
          <w:p w14:paraId="04F90B1D">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0.19</w:t>
            </w:r>
          </w:p>
        </w:tc>
        <w:tc>
          <w:tcPr>
            <w:tcW w:w="1097" w:type="pct"/>
            <w:vAlign w:val="center"/>
          </w:tcPr>
          <w:p w14:paraId="612C0D1B">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0.16</w:t>
            </w:r>
          </w:p>
        </w:tc>
        <w:tc>
          <w:tcPr>
            <w:tcW w:w="1065" w:type="pct"/>
            <w:vAlign w:val="center"/>
          </w:tcPr>
          <w:p w14:paraId="71FFC023">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0.14</w:t>
            </w:r>
          </w:p>
        </w:tc>
      </w:tr>
      <w:tr w14:paraId="5E437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38759069">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石油类</w:t>
            </w:r>
          </w:p>
        </w:tc>
        <w:tc>
          <w:tcPr>
            <w:tcW w:w="1070" w:type="pct"/>
            <w:vAlign w:val="center"/>
          </w:tcPr>
          <w:p w14:paraId="1131EF6D">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0.18</w:t>
            </w:r>
          </w:p>
        </w:tc>
        <w:tc>
          <w:tcPr>
            <w:tcW w:w="1039" w:type="pct"/>
            <w:vAlign w:val="center"/>
          </w:tcPr>
          <w:p w14:paraId="43BAF5EC">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0.20</w:t>
            </w:r>
          </w:p>
        </w:tc>
        <w:tc>
          <w:tcPr>
            <w:tcW w:w="1097" w:type="pct"/>
            <w:vAlign w:val="center"/>
          </w:tcPr>
          <w:p w14:paraId="767949F4">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0.15</w:t>
            </w:r>
          </w:p>
        </w:tc>
        <w:tc>
          <w:tcPr>
            <w:tcW w:w="1065" w:type="pct"/>
            <w:vAlign w:val="center"/>
          </w:tcPr>
          <w:p w14:paraId="26171313">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0.11</w:t>
            </w:r>
          </w:p>
        </w:tc>
      </w:tr>
      <w:tr w14:paraId="3A7B0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5D159D41">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砷</w:t>
            </w:r>
          </w:p>
        </w:tc>
        <w:tc>
          <w:tcPr>
            <w:tcW w:w="1070" w:type="pct"/>
            <w:vAlign w:val="center"/>
          </w:tcPr>
          <w:p w14:paraId="213EA51A">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0.3L</w:t>
            </w:r>
          </w:p>
        </w:tc>
        <w:tc>
          <w:tcPr>
            <w:tcW w:w="1039" w:type="pct"/>
            <w:vAlign w:val="center"/>
          </w:tcPr>
          <w:p w14:paraId="7B508BCA">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0.3L</w:t>
            </w:r>
          </w:p>
        </w:tc>
        <w:tc>
          <w:tcPr>
            <w:tcW w:w="1097" w:type="pct"/>
            <w:vAlign w:val="center"/>
          </w:tcPr>
          <w:p w14:paraId="5C0FD12C">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0.3L</w:t>
            </w:r>
          </w:p>
        </w:tc>
        <w:tc>
          <w:tcPr>
            <w:tcW w:w="1065" w:type="pct"/>
            <w:vAlign w:val="center"/>
          </w:tcPr>
          <w:p w14:paraId="65D86A83">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0.3L</w:t>
            </w:r>
          </w:p>
        </w:tc>
      </w:tr>
      <w:tr w14:paraId="5A46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1C0E4E7D">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挥发酚</w:t>
            </w:r>
          </w:p>
        </w:tc>
        <w:tc>
          <w:tcPr>
            <w:tcW w:w="1070" w:type="pct"/>
            <w:vAlign w:val="center"/>
          </w:tcPr>
          <w:p w14:paraId="6BE5CD5A">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0.0029</w:t>
            </w:r>
          </w:p>
        </w:tc>
        <w:tc>
          <w:tcPr>
            <w:tcW w:w="1039" w:type="pct"/>
            <w:vAlign w:val="center"/>
          </w:tcPr>
          <w:p w14:paraId="6A03DB85">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0.0032</w:t>
            </w:r>
          </w:p>
        </w:tc>
        <w:tc>
          <w:tcPr>
            <w:tcW w:w="1097" w:type="pct"/>
            <w:vAlign w:val="center"/>
          </w:tcPr>
          <w:p w14:paraId="310977D3">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0.0025</w:t>
            </w:r>
          </w:p>
        </w:tc>
        <w:tc>
          <w:tcPr>
            <w:tcW w:w="1065" w:type="pct"/>
            <w:vAlign w:val="center"/>
          </w:tcPr>
          <w:p w14:paraId="5346B2D1">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0.0028</w:t>
            </w:r>
          </w:p>
        </w:tc>
      </w:tr>
      <w:tr w14:paraId="3B266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6B63C7C9">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铜</w:t>
            </w:r>
          </w:p>
        </w:tc>
        <w:tc>
          <w:tcPr>
            <w:tcW w:w="1070" w:type="pct"/>
            <w:vAlign w:val="center"/>
          </w:tcPr>
          <w:p w14:paraId="6DF45B3C">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0.010</w:t>
            </w:r>
          </w:p>
        </w:tc>
        <w:tc>
          <w:tcPr>
            <w:tcW w:w="1039" w:type="pct"/>
            <w:vAlign w:val="center"/>
          </w:tcPr>
          <w:p w14:paraId="525CF851">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0.008</w:t>
            </w:r>
          </w:p>
        </w:tc>
        <w:tc>
          <w:tcPr>
            <w:tcW w:w="1097" w:type="pct"/>
            <w:vAlign w:val="center"/>
          </w:tcPr>
          <w:p w14:paraId="53AF2E71">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0.009</w:t>
            </w:r>
          </w:p>
        </w:tc>
        <w:tc>
          <w:tcPr>
            <w:tcW w:w="1065" w:type="pct"/>
            <w:vAlign w:val="center"/>
          </w:tcPr>
          <w:p w14:paraId="029577ED">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0.007</w:t>
            </w:r>
          </w:p>
        </w:tc>
      </w:tr>
      <w:tr w14:paraId="568C6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4C6B0A0F">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镍</w:t>
            </w:r>
          </w:p>
        </w:tc>
        <w:tc>
          <w:tcPr>
            <w:tcW w:w="1070" w:type="pct"/>
            <w:vAlign w:val="center"/>
          </w:tcPr>
          <w:p w14:paraId="416DCA33">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0.08</w:t>
            </w:r>
          </w:p>
        </w:tc>
        <w:tc>
          <w:tcPr>
            <w:tcW w:w="1039" w:type="pct"/>
            <w:vAlign w:val="center"/>
          </w:tcPr>
          <w:p w14:paraId="2BF2DDD2">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0.10</w:t>
            </w:r>
          </w:p>
        </w:tc>
        <w:tc>
          <w:tcPr>
            <w:tcW w:w="1097" w:type="pct"/>
            <w:vAlign w:val="center"/>
          </w:tcPr>
          <w:p w14:paraId="1F348C38">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0.06</w:t>
            </w:r>
          </w:p>
        </w:tc>
        <w:tc>
          <w:tcPr>
            <w:tcW w:w="1065" w:type="pct"/>
            <w:vAlign w:val="center"/>
          </w:tcPr>
          <w:p w14:paraId="3DF40C65">
            <w:pPr>
              <w:widowControl/>
              <w:tabs>
                <w:tab w:val="left" w:pos="597"/>
              </w:tabs>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0.08</w:t>
            </w:r>
          </w:p>
        </w:tc>
      </w:tr>
      <w:tr w14:paraId="6E4C4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6346B2E4">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锌</w:t>
            </w:r>
          </w:p>
        </w:tc>
        <w:tc>
          <w:tcPr>
            <w:tcW w:w="1070" w:type="pct"/>
            <w:vAlign w:val="center"/>
          </w:tcPr>
          <w:p w14:paraId="2A49D136">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0.09</w:t>
            </w:r>
          </w:p>
        </w:tc>
        <w:tc>
          <w:tcPr>
            <w:tcW w:w="1039" w:type="pct"/>
            <w:vAlign w:val="center"/>
          </w:tcPr>
          <w:p w14:paraId="6CEBCC2C">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0.07</w:t>
            </w:r>
          </w:p>
        </w:tc>
        <w:tc>
          <w:tcPr>
            <w:tcW w:w="1097" w:type="pct"/>
            <w:vAlign w:val="center"/>
          </w:tcPr>
          <w:p w14:paraId="2D049FBC">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0.08</w:t>
            </w:r>
          </w:p>
        </w:tc>
        <w:tc>
          <w:tcPr>
            <w:tcW w:w="1065" w:type="pct"/>
            <w:vAlign w:val="center"/>
          </w:tcPr>
          <w:p w14:paraId="2570AA91">
            <w:pPr>
              <w:widowControl/>
              <w:tabs>
                <w:tab w:val="left" w:pos="500"/>
              </w:tabs>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0.06</w:t>
            </w:r>
          </w:p>
        </w:tc>
      </w:tr>
      <w:tr w14:paraId="7FE13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vAlign w:val="center"/>
          </w:tcPr>
          <w:p w14:paraId="7FC58CF6">
            <w:pPr>
              <w:widowControl/>
              <w:autoSpaceDE/>
              <w:autoSpaceDN/>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1、实测值数值后面的“L”，表示此检测项目实测值为“未检出”；</w:t>
            </w:r>
          </w:p>
          <w:p w14:paraId="58BDAEA1">
            <w:pPr>
              <w:widowControl/>
              <w:tabs>
                <w:tab w:val="left" w:pos="500"/>
              </w:tabs>
              <w:autoSpaceDE/>
              <w:autoSpaceDN/>
              <w:adjustRightInd w:val="0"/>
              <w:spacing w:line="320" w:lineRule="atLeas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2、计量单位：pH无量纲，铅、镉、汞和砷μg/L，总铬和石油类、铜、镍、锌、挥发酚为mg/L。</w:t>
            </w:r>
          </w:p>
        </w:tc>
      </w:tr>
    </w:tbl>
    <w:p w14:paraId="7E948656">
      <w:pPr>
        <w:autoSpaceDE/>
        <w:autoSpaceDN/>
        <w:spacing w:line="440" w:lineRule="exact"/>
        <w:ind w:firstLine="474" w:firstLineChars="200"/>
        <w:jc w:val="both"/>
        <w:rPr>
          <w:rFonts w:ascii="Times New Roman" w:hAnsi="Times New Roman" w:cs="Times New Roman" w:eastAsiaTheme="minorEastAsia"/>
          <w:bCs/>
          <w:color w:val="000000" w:themeColor="text1"/>
          <w:w w:val="99"/>
          <w:kern w:val="21"/>
          <w:sz w:val="24"/>
          <w:szCs w:val="20"/>
          <w:lang w:val="en-US" w:bidi="ar-SA"/>
          <w14:textFill>
            <w14:solidFill>
              <w14:schemeClr w14:val="tx1"/>
            </w14:solidFill>
          </w14:textFill>
        </w:rPr>
      </w:pPr>
      <w:r>
        <w:rPr>
          <w:rFonts w:ascii="Times New Roman" w:hAnsi="Times New Roman" w:cs="Times New Roman" w:eastAsiaTheme="minorEastAsia"/>
          <w:bCs/>
          <w:color w:val="000000" w:themeColor="text1"/>
          <w:w w:val="99"/>
          <w:kern w:val="21"/>
          <w:sz w:val="24"/>
          <w:szCs w:val="20"/>
          <w:lang w:val="en-US" w:bidi="ar-SA"/>
          <w14:textFill>
            <w14:solidFill>
              <w14:schemeClr w14:val="tx1"/>
            </w14:solidFill>
          </w14:textFill>
        </w:rPr>
        <w:t>从调查结果可知，评价区域内包气带中汞、砷均未检出，且污染控制点与清洁对照点油田特征污染物石油类、挥发酚所测数值相差不大，评价区域内包气带未被污染。</w:t>
      </w:r>
    </w:p>
    <w:bookmarkEnd w:id="292"/>
    <w:p w14:paraId="66044E76">
      <w:pPr>
        <w:autoSpaceDE/>
        <w:autoSpaceDN/>
        <w:spacing w:line="440" w:lineRule="exact"/>
        <w:outlineLvl w:val="3"/>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t>4.3.2.5地下水环境质量现状评价结论</w:t>
      </w:r>
    </w:p>
    <w:p w14:paraId="4E42EFDD">
      <w:pPr>
        <w:autoSpaceDE/>
        <w:autoSpaceDN/>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0"/>
          <w:lang w:val="en-US" w:bidi="ar-SA"/>
          <w14:textFill>
            <w14:solidFill>
              <w14:schemeClr w14:val="tx1"/>
            </w14:solidFill>
          </w14:textFill>
        </w:rPr>
        <w:t>由以上分析可知，评价区域潜水及</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承压水</w:t>
      </w:r>
      <w:r>
        <w:rPr>
          <w:rFonts w:ascii="Times New Roman" w:hAnsi="Times New Roman" w:cs="Times New Roman" w:eastAsiaTheme="minorEastAsia"/>
          <w:color w:val="000000" w:themeColor="text1"/>
          <w:w w:val="99"/>
          <w:sz w:val="24"/>
          <w:szCs w:val="20"/>
          <w:lang w:val="en-US" w:bidi="ar-SA"/>
          <w14:textFill>
            <w14:solidFill>
              <w14:schemeClr w14:val="tx1"/>
            </w14:solidFill>
          </w14:textFill>
        </w:rPr>
        <w:t>水质均满足</w:t>
      </w: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《地下水质量标准》（GB/T14848-2017）III类标准，石油类能够满足《地表水环境质量标准》（GB3838-2002）表1中的III类标准限值要求</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。评价区域</w:t>
      </w:r>
      <w:r>
        <w:rPr>
          <w:rFonts w:ascii="Times New Roman" w:hAnsi="Times New Roman" w:cs="Times New Roman" w:eastAsiaTheme="minorEastAsia"/>
          <w:color w:val="000000" w:themeColor="text1"/>
          <w:w w:val="99"/>
          <w:sz w:val="24"/>
          <w:szCs w:val="20"/>
          <w:lang w:val="en-US" w:bidi="ar-SA"/>
          <w14:textFill>
            <w14:solidFill>
              <w14:schemeClr w14:val="tx1"/>
            </w14:solidFill>
          </w14:textFill>
        </w:rPr>
        <w:t>地下水化学类型主要为4-A型HCO</w:t>
      </w:r>
      <w:r>
        <w:rPr>
          <w:rFonts w:ascii="Times New Roman" w:hAnsi="Times New Roman" w:cs="Times New Roman" w:eastAsiaTheme="minorEastAsia"/>
          <w:color w:val="000000" w:themeColor="text1"/>
          <w:w w:val="99"/>
          <w:sz w:val="24"/>
          <w:szCs w:val="20"/>
          <w:vertAlign w:val="subscript"/>
          <w:lang w:val="en-US" w:bidi="ar-SA"/>
          <w14:textFill>
            <w14:solidFill>
              <w14:schemeClr w14:val="tx1"/>
            </w14:solidFill>
          </w14:textFill>
        </w:rPr>
        <w:t>3</w:t>
      </w:r>
      <w:r>
        <w:rPr>
          <w:rFonts w:ascii="Times New Roman" w:hAnsi="Times New Roman" w:cs="Times New Roman" w:eastAsiaTheme="minorEastAsia"/>
          <w:color w:val="000000" w:themeColor="text1"/>
          <w:w w:val="99"/>
          <w:sz w:val="24"/>
          <w:szCs w:val="20"/>
          <w:lang w:val="en-US" w:bidi="ar-SA"/>
          <w14:textFill>
            <w14:solidFill>
              <w14:schemeClr w14:val="tx1"/>
            </w14:solidFill>
          </w14:textFill>
        </w:rPr>
        <w:t>-Na+Ca淡水。</w:t>
      </w:r>
      <w:r>
        <w:rPr>
          <w:rFonts w:ascii="Times New Roman" w:hAnsi="Times New Roman" w:cs="Times New Roman" w:eastAsiaTheme="minorEastAsia"/>
          <w:bCs/>
          <w:color w:val="000000" w:themeColor="text1"/>
          <w:w w:val="99"/>
          <w:sz w:val="24"/>
          <w:szCs w:val="20"/>
          <w:lang w:val="en-US" w:bidi="ar-SA"/>
          <w14:textFill>
            <w14:solidFill>
              <w14:schemeClr w14:val="tx1"/>
            </w14:solidFill>
          </w14:textFill>
        </w:rPr>
        <w:t>评价区域内包气带中汞、砷均未检出，且污染控制点与清洁对照点油田特征污染物石油类、挥发酚所测数值相差不大，评价区域内包气带未被污染。</w:t>
      </w:r>
    </w:p>
    <w:p w14:paraId="484BD25F">
      <w:pPr>
        <w:autoSpaceDE/>
        <w:autoSpaceDN/>
        <w:spacing w:before="60" w:after="60" w:line="440" w:lineRule="exact"/>
        <w:jc w:val="both"/>
        <w:outlineLvl w:val="2"/>
        <w:rPr>
          <w:rFonts w:ascii="Times New Roman" w:hAnsi="Times New Roman" w:cs="Times New Roman" w:eastAsiaTheme="minorEastAsia"/>
          <w:b/>
          <w:bCs/>
          <w:color w:val="000000" w:themeColor="text1"/>
          <w:w w:val="99"/>
          <w:kern w:val="2"/>
          <w:sz w:val="24"/>
          <w:szCs w:val="24"/>
          <w:lang w:val="en-US" w:bidi="ar-SA"/>
          <w14:textFill>
            <w14:solidFill>
              <w14:schemeClr w14:val="tx1"/>
            </w14:solidFill>
          </w14:textFill>
        </w:rPr>
      </w:pPr>
      <w:bookmarkStart w:id="293" w:name="_Toc67860173"/>
      <w:bookmarkStart w:id="294" w:name="_Toc80588296"/>
      <w:bookmarkStart w:id="295" w:name="_Toc100822152"/>
      <w:bookmarkStart w:id="296" w:name="_Toc85640797"/>
      <w:bookmarkStart w:id="297" w:name="_Toc106810338"/>
      <w:bookmarkStart w:id="298" w:name="_Toc70050222"/>
      <w:bookmarkStart w:id="299" w:name="_Toc80971418"/>
      <w:bookmarkStart w:id="300" w:name="_Toc57203286"/>
      <w:bookmarkStart w:id="301" w:name="_Toc83209518"/>
      <w:bookmarkStart w:id="302" w:name="_Toc117794580"/>
      <w:bookmarkStart w:id="303" w:name="_Toc61597272"/>
      <w:bookmarkStart w:id="304" w:name="_Toc103610911"/>
      <w:bookmarkStart w:id="305" w:name="_Toc76976287"/>
      <w:bookmarkStart w:id="306" w:name="_Toc84929273"/>
      <w:bookmarkStart w:id="307" w:name="_Toc29643951"/>
      <w:bookmarkStart w:id="308" w:name="_Toc29642919"/>
      <w:bookmarkStart w:id="309" w:name="_Toc38296424"/>
      <w:bookmarkStart w:id="310" w:name="_Toc57976708"/>
      <w:bookmarkStart w:id="311" w:name="_Toc86141972"/>
      <w:bookmarkStart w:id="312" w:name="_Toc29644703"/>
      <w:bookmarkStart w:id="313" w:name="_Toc77067699"/>
      <w:bookmarkStart w:id="314" w:name="_Toc38545057"/>
      <w:bookmarkStart w:id="315" w:name="_Toc34124485"/>
      <w:bookmarkStart w:id="316" w:name="_Toc57707956"/>
      <w:bookmarkStart w:id="317" w:name="_Toc78816501"/>
      <w:bookmarkStart w:id="318" w:name="_Toc21648"/>
      <w:bookmarkStart w:id="319" w:name="_Toc41655201"/>
      <w:r>
        <w:rPr>
          <w:rFonts w:ascii="Times New Roman" w:hAnsi="Times New Roman" w:cs="Times New Roman" w:eastAsiaTheme="minorEastAsia"/>
          <w:b/>
          <w:bCs/>
          <w:color w:val="000000" w:themeColor="text1"/>
          <w:w w:val="99"/>
          <w:kern w:val="2"/>
          <w:sz w:val="24"/>
          <w:szCs w:val="24"/>
          <w:lang w:val="en-US" w:bidi="ar-SA"/>
          <w14:textFill>
            <w14:solidFill>
              <w14:schemeClr w14:val="tx1"/>
            </w14:solidFill>
          </w14:textFill>
        </w:rPr>
        <w:t>4.3.3地表水环境质量现状</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1FD25F9B">
      <w:pPr>
        <w:autoSpaceDE/>
        <w:autoSpaceDN/>
        <w:spacing w:line="440" w:lineRule="exact"/>
        <w:ind w:firstLine="480"/>
        <w:jc w:val="both"/>
        <w:rPr>
          <w:rFonts w:ascii="Times New Roman" w:hAnsi="Times New Roman" w:cs="Times New Roman" w:eastAsiaTheme="minorEastAsia"/>
          <w:color w:val="000000" w:themeColor="text1"/>
          <w:w w:val="99"/>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0"/>
          <w:lang w:val="en-US" w:bidi="ar-SA"/>
          <w14:textFill>
            <w14:solidFill>
              <w14:schemeClr w14:val="tx1"/>
            </w14:solidFill>
          </w14:textFill>
        </w:rPr>
        <w:t>本项目不排放废水，属于水污染影响型三级B评价，可不开展区域污染源调查，为了解区域内地表水现状，</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大庆中环评价检测有限公司于</w:t>
      </w:r>
      <w:r>
        <w:rPr>
          <w:rFonts w:ascii="Times New Roman" w:hAnsi="Times New Roman" w:cs="Times New Roman" w:eastAsiaTheme="minorEastAsia"/>
          <w:color w:val="000000" w:themeColor="text1"/>
          <w:w w:val="99"/>
          <w:sz w:val="24"/>
          <w:szCs w:val="20"/>
          <w:lang w:val="en-US" w:bidi="ar-SA"/>
          <w14:textFill>
            <w14:solidFill>
              <w14:schemeClr w14:val="tx1"/>
            </w14:solidFill>
          </w14:textFill>
        </w:rPr>
        <w:t>2022年10月16日~2022年10月17日对本项目周边的地表水体古努泡子进行了监测，根据《大庆市人民政府关于印发大庆市声环境功能区划分、大庆市环境空气质量功能区划分、大庆市地表水环境功能区划分的通知》（庆政发〔2019〕11号），古努泡子未划分水体功能，不执行《地表水环境质量标准》（GB3838-2002）中的标准限值要求，因此本项目仅对古努泡子现状进行监测，不对环境质量进行评价。</w:t>
      </w:r>
    </w:p>
    <w:p w14:paraId="64AA6FA9">
      <w:pPr>
        <w:autoSpaceDE/>
        <w:autoSpaceDN/>
        <w:spacing w:line="440" w:lineRule="exact"/>
        <w:ind w:firstLine="480"/>
        <w:rPr>
          <w:rFonts w:ascii="Times New Roman" w:hAnsi="Times New Roman" w:cs="Times New Roman" w:eastAsiaTheme="minorEastAsia"/>
          <w:color w:val="000000" w:themeColor="text1"/>
          <w:w w:val="99"/>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0"/>
          <w:lang w:val="en-US" w:bidi="ar-SA"/>
          <w14:textFill>
            <w14:solidFill>
              <w14:schemeClr w14:val="tx1"/>
            </w14:solidFill>
          </w14:textFill>
        </w:rPr>
        <w:t>（1）监测点位</w:t>
      </w:r>
    </w:p>
    <w:p w14:paraId="798A82A1">
      <w:pPr>
        <w:autoSpaceDE/>
        <w:autoSpaceDN/>
        <w:spacing w:line="440" w:lineRule="exact"/>
        <w:ind w:firstLine="480"/>
        <w:rPr>
          <w:rFonts w:ascii="Times New Roman" w:hAnsi="Times New Roman" w:cs="Times New Roman" w:eastAsiaTheme="minorEastAsia"/>
          <w:color w:val="000000" w:themeColor="text1"/>
          <w:w w:val="99"/>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0"/>
          <w:lang w:val="en-US" w:bidi="ar-SA"/>
          <w14:textFill>
            <w14:solidFill>
              <w14:schemeClr w14:val="tx1"/>
            </w14:solidFill>
          </w14:textFill>
        </w:rPr>
        <w:t>本次评价共布设1个地表水监测点，监测点布设情况见</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表4.3-</w:t>
      </w:r>
      <w:r>
        <w:rPr>
          <w:rFonts w:ascii="Times New Roman" w:hAnsi="Times New Roman" w:cs="Times New Roman" w:eastAsiaTheme="minorEastAsia"/>
          <w:color w:val="000000" w:themeColor="text1"/>
          <w:w w:val="99"/>
          <w:sz w:val="24"/>
          <w:szCs w:val="20"/>
          <w:lang w:val="en-US" w:bidi="ar-SA"/>
          <w14:textFill>
            <w14:solidFill>
              <w14:schemeClr w14:val="tx1"/>
            </w14:solidFill>
          </w14:textFill>
        </w:rPr>
        <w:t>14。</w:t>
      </w:r>
    </w:p>
    <w:p w14:paraId="51C24B54">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表4.3-14    监测点布设情况</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69"/>
        <w:gridCol w:w="2031"/>
        <w:gridCol w:w="3773"/>
        <w:gridCol w:w="2614"/>
      </w:tblGrid>
      <w:tr w14:paraId="71900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468" w:type="pct"/>
            <w:vAlign w:val="center"/>
          </w:tcPr>
          <w:p w14:paraId="25D0C4A3">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序号</w:t>
            </w:r>
          </w:p>
        </w:tc>
        <w:tc>
          <w:tcPr>
            <w:tcW w:w="1093" w:type="pct"/>
            <w:vAlign w:val="center"/>
          </w:tcPr>
          <w:p w14:paraId="55146300">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监测点</w:t>
            </w:r>
          </w:p>
        </w:tc>
        <w:tc>
          <w:tcPr>
            <w:tcW w:w="2031" w:type="pct"/>
            <w:vAlign w:val="center"/>
          </w:tcPr>
          <w:p w14:paraId="0A26E346">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与本项目位置关系</w:t>
            </w:r>
          </w:p>
        </w:tc>
        <w:tc>
          <w:tcPr>
            <w:tcW w:w="1407" w:type="pct"/>
            <w:vAlign w:val="center"/>
          </w:tcPr>
          <w:p w14:paraId="10E9B9F7">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坐标</w:t>
            </w:r>
          </w:p>
        </w:tc>
      </w:tr>
      <w:tr w14:paraId="2BBA7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468" w:type="pct"/>
            <w:vAlign w:val="center"/>
          </w:tcPr>
          <w:p w14:paraId="3CA159AE">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w:t>
            </w:r>
          </w:p>
        </w:tc>
        <w:tc>
          <w:tcPr>
            <w:tcW w:w="1093" w:type="pct"/>
            <w:vAlign w:val="center"/>
          </w:tcPr>
          <w:p w14:paraId="14FA4427">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古努泡子</w:t>
            </w:r>
          </w:p>
        </w:tc>
        <w:tc>
          <w:tcPr>
            <w:tcW w:w="2031" w:type="pct"/>
            <w:vAlign w:val="center"/>
          </w:tcPr>
          <w:p w14:paraId="60153AC6">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11号平台至龙一联合站集油管道北侧219m</w:t>
            </w:r>
          </w:p>
        </w:tc>
        <w:tc>
          <w:tcPr>
            <w:tcW w:w="1407" w:type="pct"/>
            <w:vAlign w:val="center"/>
          </w:tcPr>
          <w:p w14:paraId="297C9705">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124.39879，46.34226</w:t>
            </w:r>
          </w:p>
        </w:tc>
      </w:tr>
    </w:tbl>
    <w:p w14:paraId="2AEF04A5">
      <w:pPr>
        <w:autoSpaceDE/>
        <w:autoSpaceDN/>
        <w:spacing w:line="440" w:lineRule="exact"/>
        <w:ind w:firstLine="480"/>
        <w:rPr>
          <w:rFonts w:ascii="Times New Roman" w:hAnsi="Times New Roman" w:cs="Times New Roman" w:eastAsiaTheme="minorEastAsia"/>
          <w:color w:val="000000" w:themeColor="text1"/>
          <w:w w:val="99"/>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0"/>
          <w:lang w:val="en-US" w:bidi="ar-SA"/>
          <w14:textFill>
            <w14:solidFill>
              <w14:schemeClr w14:val="tx1"/>
            </w14:solidFill>
          </w14:textFill>
        </w:rPr>
        <w:t>（2）监测因子</w:t>
      </w:r>
    </w:p>
    <w:p w14:paraId="2E91F86C">
      <w:pPr>
        <w:autoSpaceDE/>
        <w:autoSpaceDN/>
        <w:spacing w:line="440" w:lineRule="exact"/>
        <w:ind w:firstLine="480"/>
        <w:rPr>
          <w:rFonts w:ascii="Times New Roman" w:hAnsi="Times New Roman" w:cs="Times New Roman" w:eastAsiaTheme="minorEastAsia"/>
          <w:color w:val="000000" w:themeColor="text1"/>
          <w:w w:val="99"/>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0"/>
          <w:lang w:val="en-US" w:bidi="ar-SA"/>
          <w14:textFill>
            <w14:solidFill>
              <w14:schemeClr w14:val="tx1"/>
            </w14:solidFill>
          </w14:textFill>
        </w:rPr>
        <w:t>pH、COD、高锰酸盐指数、氨氮、BOD</w:t>
      </w:r>
      <w:r>
        <w:rPr>
          <w:rFonts w:ascii="Times New Roman" w:hAnsi="Times New Roman" w:cs="Times New Roman" w:eastAsiaTheme="minorEastAsia"/>
          <w:color w:val="000000" w:themeColor="text1"/>
          <w:w w:val="99"/>
          <w:sz w:val="24"/>
          <w:szCs w:val="20"/>
          <w:vertAlign w:val="subscript"/>
          <w:lang w:val="en-US" w:bidi="ar-SA"/>
          <w14:textFill>
            <w14:solidFill>
              <w14:schemeClr w14:val="tx1"/>
            </w14:solidFill>
          </w14:textFill>
        </w:rPr>
        <w:t>5</w:t>
      </w:r>
      <w:r>
        <w:rPr>
          <w:rFonts w:ascii="Times New Roman" w:hAnsi="Times New Roman" w:cs="Times New Roman" w:eastAsiaTheme="minorEastAsia"/>
          <w:color w:val="000000" w:themeColor="text1"/>
          <w:w w:val="99"/>
          <w:sz w:val="24"/>
          <w:szCs w:val="20"/>
          <w:lang w:val="en-US" w:bidi="ar-SA"/>
          <w14:textFill>
            <w14:solidFill>
              <w14:schemeClr w14:val="tx1"/>
            </w14:solidFill>
          </w14:textFill>
        </w:rPr>
        <w:t>、总磷、总氮、石油类、溶解氧、水温。</w:t>
      </w:r>
    </w:p>
    <w:p w14:paraId="30F40FD7">
      <w:pPr>
        <w:autoSpaceDE/>
        <w:autoSpaceDN/>
        <w:spacing w:line="440" w:lineRule="exact"/>
        <w:ind w:firstLine="474" w:firstLineChars="200"/>
        <w:rPr>
          <w:rFonts w:ascii="Times New Roman" w:hAnsi="Times New Roman" w:cs="Times New Roman" w:eastAsiaTheme="minorEastAsia"/>
          <w:color w:val="000000" w:themeColor="text1"/>
          <w:w w:val="99"/>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0"/>
          <w:lang w:val="en-US" w:bidi="ar-SA"/>
          <w14:textFill>
            <w14:solidFill>
              <w14:schemeClr w14:val="tx1"/>
            </w14:solidFill>
          </w14:textFill>
        </w:rPr>
        <w:t>（3）监测频率</w:t>
      </w:r>
    </w:p>
    <w:p w14:paraId="1E108552">
      <w:pPr>
        <w:autoSpaceDE/>
        <w:autoSpaceDN/>
        <w:spacing w:line="440" w:lineRule="exact"/>
        <w:ind w:firstLine="474" w:firstLineChars="200"/>
        <w:rPr>
          <w:rFonts w:ascii="Times New Roman" w:hAnsi="Times New Roman" w:cs="Times New Roman" w:eastAsiaTheme="minorEastAsia"/>
          <w:color w:val="000000" w:themeColor="text1"/>
          <w:w w:val="99"/>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0"/>
          <w:lang w:val="en-US" w:bidi="ar-SA"/>
          <w14:textFill>
            <w14:solidFill>
              <w14:schemeClr w14:val="tx1"/>
            </w14:solidFill>
          </w14:textFill>
        </w:rPr>
        <w:t>pH、COD、高锰酸盐指数、氨氮、BOD</w:t>
      </w:r>
      <w:r>
        <w:rPr>
          <w:rFonts w:ascii="Times New Roman" w:hAnsi="Times New Roman" w:cs="Times New Roman" w:eastAsiaTheme="minorEastAsia"/>
          <w:color w:val="000000" w:themeColor="text1"/>
          <w:w w:val="99"/>
          <w:sz w:val="24"/>
          <w:szCs w:val="20"/>
          <w:vertAlign w:val="subscript"/>
          <w:lang w:val="en-US" w:bidi="ar-SA"/>
          <w14:textFill>
            <w14:solidFill>
              <w14:schemeClr w14:val="tx1"/>
            </w14:solidFill>
          </w14:textFill>
        </w:rPr>
        <w:t>5</w:t>
      </w:r>
      <w:r>
        <w:rPr>
          <w:rFonts w:ascii="Times New Roman" w:hAnsi="Times New Roman" w:cs="Times New Roman" w:eastAsiaTheme="minorEastAsia"/>
          <w:color w:val="000000" w:themeColor="text1"/>
          <w:w w:val="99"/>
          <w:sz w:val="24"/>
          <w:szCs w:val="20"/>
          <w:lang w:val="en-US" w:bidi="ar-SA"/>
          <w14:textFill>
            <w14:solidFill>
              <w14:schemeClr w14:val="tx1"/>
            </w14:solidFill>
          </w14:textFill>
        </w:rPr>
        <w:t>、总磷、总氮、石油类连续取样2天，每天1次；溶解氧和水温每间隔6h取样监测一次。</w:t>
      </w:r>
    </w:p>
    <w:p w14:paraId="7AD768F0">
      <w:pPr>
        <w:autoSpaceDE/>
        <w:autoSpaceDN/>
        <w:spacing w:line="440" w:lineRule="exact"/>
        <w:ind w:firstLine="482"/>
        <w:rPr>
          <w:rFonts w:ascii="Times New Roman" w:hAnsi="Times New Roman" w:cs="Times New Roman" w:eastAsiaTheme="minorEastAsia"/>
          <w:color w:val="000000" w:themeColor="text1"/>
          <w:w w:val="99"/>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0"/>
          <w:lang w:val="en-US" w:bidi="ar-SA"/>
          <w14:textFill>
            <w14:solidFill>
              <w14:schemeClr w14:val="tx1"/>
            </w14:solidFill>
          </w14:textFill>
        </w:rPr>
        <w:t>（4）监测结果</w:t>
      </w:r>
    </w:p>
    <w:p w14:paraId="34E1AA56">
      <w:pPr>
        <w:autoSpaceDE/>
        <w:autoSpaceDN/>
        <w:spacing w:line="440" w:lineRule="exact"/>
        <w:ind w:firstLine="482"/>
        <w:rPr>
          <w:rFonts w:ascii="Times New Roman" w:hAnsi="Times New Roman" w:cs="Times New Roman" w:eastAsiaTheme="minorEastAsia"/>
          <w:color w:val="000000" w:themeColor="text1"/>
          <w:w w:val="99"/>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0"/>
          <w:lang w:val="en-US" w:bidi="ar-SA"/>
          <w14:textFill>
            <w14:solidFill>
              <w14:schemeClr w14:val="tx1"/>
            </w14:solidFill>
          </w14:textFill>
        </w:rPr>
        <w:t>水质监测数据见</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表4.3-15。</w:t>
      </w:r>
    </w:p>
    <w:p w14:paraId="5050757D">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表4.3-15    地表水监测数据表    单位：mg/L（pH无量纲）</w:t>
      </w:r>
    </w:p>
    <w:tbl>
      <w:tblPr>
        <w:tblStyle w:val="8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09"/>
        <w:gridCol w:w="1310"/>
        <w:gridCol w:w="3238"/>
        <w:gridCol w:w="3238"/>
      </w:tblGrid>
      <w:tr w14:paraId="29E1D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40" w:type="pct"/>
            <w:gridSpan w:val="2"/>
            <w:tcMar>
              <w:top w:w="12" w:type="dxa"/>
              <w:left w:w="12" w:type="dxa"/>
              <w:right w:w="12" w:type="dxa"/>
            </w:tcMar>
            <w:vAlign w:val="center"/>
          </w:tcPr>
          <w:p w14:paraId="39B82ADB">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监测时间</w:t>
            </w:r>
          </w:p>
        </w:tc>
        <w:tc>
          <w:tcPr>
            <w:tcW w:w="1780" w:type="pct"/>
            <w:tcMar>
              <w:top w:w="12" w:type="dxa"/>
              <w:left w:w="12" w:type="dxa"/>
              <w:right w:w="12" w:type="dxa"/>
            </w:tcMar>
            <w:vAlign w:val="center"/>
          </w:tcPr>
          <w:p w14:paraId="6950E35B">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2022.10.16</w:t>
            </w:r>
          </w:p>
        </w:tc>
        <w:tc>
          <w:tcPr>
            <w:tcW w:w="1780" w:type="pct"/>
            <w:tcMar>
              <w:top w:w="12" w:type="dxa"/>
              <w:left w:w="12" w:type="dxa"/>
              <w:right w:w="12" w:type="dxa"/>
            </w:tcMar>
            <w:vAlign w:val="center"/>
          </w:tcPr>
          <w:p w14:paraId="5F2F050E">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2022.10.17</w:t>
            </w:r>
          </w:p>
        </w:tc>
      </w:tr>
      <w:tr w14:paraId="276B9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40" w:type="pct"/>
            <w:gridSpan w:val="2"/>
            <w:tcMar>
              <w:top w:w="12" w:type="dxa"/>
              <w:left w:w="12" w:type="dxa"/>
              <w:right w:w="12" w:type="dxa"/>
            </w:tcMar>
            <w:vAlign w:val="center"/>
          </w:tcPr>
          <w:p w14:paraId="5759936C">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监测点位</w:t>
            </w:r>
          </w:p>
        </w:tc>
        <w:tc>
          <w:tcPr>
            <w:tcW w:w="3560" w:type="pct"/>
            <w:gridSpan w:val="2"/>
            <w:tcMar>
              <w:top w:w="12" w:type="dxa"/>
              <w:left w:w="12" w:type="dxa"/>
              <w:right w:w="12" w:type="dxa"/>
            </w:tcMar>
            <w:vAlign w:val="center"/>
          </w:tcPr>
          <w:p w14:paraId="22796D87">
            <w:pPr>
              <w:widowControl/>
              <w:tabs>
                <w:tab w:val="left" w:pos="2622"/>
              </w:tabs>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古努泡子</w:t>
            </w:r>
          </w:p>
        </w:tc>
      </w:tr>
      <w:tr w14:paraId="586B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40" w:type="pct"/>
            <w:gridSpan w:val="2"/>
            <w:tcMar>
              <w:top w:w="12" w:type="dxa"/>
              <w:left w:w="12" w:type="dxa"/>
              <w:right w:w="12" w:type="dxa"/>
            </w:tcMar>
            <w:vAlign w:val="center"/>
          </w:tcPr>
          <w:p w14:paraId="66BE8282">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pH</w:t>
            </w:r>
          </w:p>
        </w:tc>
        <w:tc>
          <w:tcPr>
            <w:tcW w:w="1780" w:type="pct"/>
            <w:tcMar>
              <w:top w:w="12" w:type="dxa"/>
              <w:left w:w="12" w:type="dxa"/>
              <w:right w:w="12" w:type="dxa"/>
            </w:tcMar>
            <w:vAlign w:val="center"/>
          </w:tcPr>
          <w:p w14:paraId="35A19D14">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8.0</w:t>
            </w:r>
          </w:p>
        </w:tc>
        <w:tc>
          <w:tcPr>
            <w:tcW w:w="1780" w:type="pct"/>
            <w:tcMar>
              <w:top w:w="12" w:type="dxa"/>
              <w:left w:w="12" w:type="dxa"/>
              <w:right w:w="12" w:type="dxa"/>
            </w:tcMar>
            <w:vAlign w:val="center"/>
          </w:tcPr>
          <w:p w14:paraId="1413D8AB">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7.9</w:t>
            </w:r>
          </w:p>
        </w:tc>
      </w:tr>
      <w:tr w14:paraId="74D52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40" w:type="pct"/>
            <w:gridSpan w:val="2"/>
            <w:tcMar>
              <w:top w:w="12" w:type="dxa"/>
              <w:left w:w="12" w:type="dxa"/>
              <w:right w:w="12" w:type="dxa"/>
            </w:tcMar>
            <w:vAlign w:val="center"/>
          </w:tcPr>
          <w:p w14:paraId="39DBE4DA">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COD</w:t>
            </w:r>
            <w:r>
              <w:rPr>
                <w:rFonts w:ascii="Times New Roman" w:hAnsi="Times New Roman" w:cs="Times New Roman" w:eastAsiaTheme="minorEastAsia"/>
                <w:color w:val="000000" w:themeColor="text1"/>
                <w:w w:val="99"/>
                <w:sz w:val="21"/>
                <w:szCs w:val="21"/>
                <w:vertAlign w:val="subscript"/>
                <w:lang w:val="en-US" w:bidi="ar-SA"/>
                <w14:textFill>
                  <w14:solidFill>
                    <w14:schemeClr w14:val="tx1"/>
                  </w14:solidFill>
                </w14:textFill>
              </w:rPr>
              <w:t>Cr</w:t>
            </w:r>
          </w:p>
        </w:tc>
        <w:tc>
          <w:tcPr>
            <w:tcW w:w="1780" w:type="pct"/>
            <w:tcMar>
              <w:top w:w="12" w:type="dxa"/>
              <w:left w:w="12" w:type="dxa"/>
              <w:right w:w="12" w:type="dxa"/>
            </w:tcMar>
            <w:vAlign w:val="center"/>
          </w:tcPr>
          <w:p w14:paraId="43E74494">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103</w:t>
            </w:r>
          </w:p>
        </w:tc>
        <w:tc>
          <w:tcPr>
            <w:tcW w:w="1780" w:type="pct"/>
            <w:tcMar>
              <w:top w:w="12" w:type="dxa"/>
              <w:left w:w="12" w:type="dxa"/>
              <w:right w:w="12" w:type="dxa"/>
            </w:tcMar>
            <w:vAlign w:val="center"/>
          </w:tcPr>
          <w:p w14:paraId="1A3EC340">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101</w:t>
            </w:r>
          </w:p>
        </w:tc>
      </w:tr>
      <w:tr w14:paraId="60948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40" w:type="pct"/>
            <w:gridSpan w:val="2"/>
            <w:tcMar>
              <w:top w:w="12" w:type="dxa"/>
              <w:left w:w="12" w:type="dxa"/>
              <w:right w:w="12" w:type="dxa"/>
            </w:tcMar>
            <w:vAlign w:val="center"/>
          </w:tcPr>
          <w:p w14:paraId="314A796C">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氨氮</w:t>
            </w:r>
          </w:p>
        </w:tc>
        <w:tc>
          <w:tcPr>
            <w:tcW w:w="1780" w:type="pct"/>
            <w:tcMar>
              <w:top w:w="12" w:type="dxa"/>
              <w:left w:w="12" w:type="dxa"/>
              <w:right w:w="12" w:type="dxa"/>
            </w:tcMar>
            <w:vAlign w:val="center"/>
          </w:tcPr>
          <w:p w14:paraId="1120F263">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0.715</w:t>
            </w:r>
          </w:p>
        </w:tc>
        <w:tc>
          <w:tcPr>
            <w:tcW w:w="1780" w:type="pct"/>
            <w:tcMar>
              <w:top w:w="12" w:type="dxa"/>
              <w:left w:w="12" w:type="dxa"/>
              <w:right w:w="12" w:type="dxa"/>
            </w:tcMar>
            <w:vAlign w:val="center"/>
          </w:tcPr>
          <w:p w14:paraId="37FF84C0">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0.708</w:t>
            </w:r>
          </w:p>
        </w:tc>
      </w:tr>
      <w:tr w14:paraId="49B53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40" w:type="pct"/>
            <w:gridSpan w:val="2"/>
            <w:tcMar>
              <w:top w:w="12" w:type="dxa"/>
              <w:left w:w="12" w:type="dxa"/>
              <w:right w:w="12" w:type="dxa"/>
            </w:tcMar>
            <w:vAlign w:val="center"/>
          </w:tcPr>
          <w:p w14:paraId="3D792A57">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石油类</w:t>
            </w:r>
          </w:p>
        </w:tc>
        <w:tc>
          <w:tcPr>
            <w:tcW w:w="1780" w:type="pct"/>
            <w:tcMar>
              <w:top w:w="12" w:type="dxa"/>
              <w:left w:w="12" w:type="dxa"/>
              <w:right w:w="12" w:type="dxa"/>
            </w:tcMar>
            <w:vAlign w:val="center"/>
          </w:tcPr>
          <w:p w14:paraId="6C5A23A5">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0.01L</w:t>
            </w:r>
          </w:p>
        </w:tc>
        <w:tc>
          <w:tcPr>
            <w:tcW w:w="1780" w:type="pct"/>
            <w:tcMar>
              <w:top w:w="12" w:type="dxa"/>
              <w:left w:w="12" w:type="dxa"/>
              <w:right w:w="12" w:type="dxa"/>
            </w:tcMar>
            <w:vAlign w:val="center"/>
          </w:tcPr>
          <w:p w14:paraId="59165B30">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0.01L</w:t>
            </w:r>
          </w:p>
        </w:tc>
      </w:tr>
      <w:tr w14:paraId="4E96F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40" w:type="pct"/>
            <w:gridSpan w:val="2"/>
            <w:tcMar>
              <w:top w:w="12" w:type="dxa"/>
              <w:left w:w="12" w:type="dxa"/>
              <w:right w:w="12" w:type="dxa"/>
            </w:tcMar>
            <w:vAlign w:val="center"/>
          </w:tcPr>
          <w:p w14:paraId="470541B4">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高锰酸盐指数</w:t>
            </w:r>
          </w:p>
        </w:tc>
        <w:tc>
          <w:tcPr>
            <w:tcW w:w="1780" w:type="pct"/>
            <w:tcMar>
              <w:top w:w="12" w:type="dxa"/>
              <w:left w:w="12" w:type="dxa"/>
              <w:right w:w="12" w:type="dxa"/>
            </w:tcMar>
            <w:vAlign w:val="center"/>
          </w:tcPr>
          <w:p w14:paraId="2FB661B2">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4.9</w:t>
            </w:r>
          </w:p>
        </w:tc>
        <w:tc>
          <w:tcPr>
            <w:tcW w:w="1780" w:type="pct"/>
            <w:tcMar>
              <w:top w:w="12" w:type="dxa"/>
              <w:left w:w="12" w:type="dxa"/>
              <w:right w:w="12" w:type="dxa"/>
            </w:tcMar>
            <w:vAlign w:val="center"/>
          </w:tcPr>
          <w:p w14:paraId="02CEB233">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4.7</w:t>
            </w:r>
          </w:p>
        </w:tc>
      </w:tr>
      <w:tr w14:paraId="5B32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40" w:type="pct"/>
            <w:gridSpan w:val="2"/>
            <w:tcMar>
              <w:top w:w="12" w:type="dxa"/>
              <w:left w:w="12" w:type="dxa"/>
              <w:right w:w="12" w:type="dxa"/>
            </w:tcMar>
            <w:vAlign w:val="center"/>
          </w:tcPr>
          <w:p w14:paraId="1137BD6C">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BOD</w:t>
            </w:r>
            <w:r>
              <w:rPr>
                <w:rFonts w:ascii="Times New Roman" w:hAnsi="Times New Roman" w:cs="Times New Roman" w:eastAsiaTheme="minorEastAsia"/>
                <w:color w:val="000000" w:themeColor="text1"/>
                <w:w w:val="99"/>
                <w:sz w:val="21"/>
                <w:szCs w:val="21"/>
                <w:vertAlign w:val="subscript"/>
                <w:lang w:val="en-US" w:bidi="ar-SA"/>
                <w14:textFill>
                  <w14:solidFill>
                    <w14:schemeClr w14:val="tx1"/>
                  </w14:solidFill>
                </w14:textFill>
              </w:rPr>
              <w:t>5</w:t>
            </w:r>
          </w:p>
        </w:tc>
        <w:tc>
          <w:tcPr>
            <w:tcW w:w="1780" w:type="pct"/>
            <w:tcMar>
              <w:top w:w="12" w:type="dxa"/>
              <w:left w:w="12" w:type="dxa"/>
              <w:right w:w="12" w:type="dxa"/>
            </w:tcMar>
            <w:vAlign w:val="center"/>
          </w:tcPr>
          <w:p w14:paraId="226A8D49">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20.6</w:t>
            </w:r>
          </w:p>
        </w:tc>
        <w:tc>
          <w:tcPr>
            <w:tcW w:w="1780" w:type="pct"/>
            <w:tcMar>
              <w:top w:w="12" w:type="dxa"/>
              <w:left w:w="12" w:type="dxa"/>
              <w:right w:w="12" w:type="dxa"/>
            </w:tcMar>
            <w:vAlign w:val="center"/>
          </w:tcPr>
          <w:p w14:paraId="6CBAF412">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20.2</w:t>
            </w:r>
          </w:p>
        </w:tc>
      </w:tr>
      <w:tr w14:paraId="5698F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40" w:type="pct"/>
            <w:gridSpan w:val="2"/>
            <w:tcMar>
              <w:top w:w="12" w:type="dxa"/>
              <w:left w:w="12" w:type="dxa"/>
              <w:right w:w="12" w:type="dxa"/>
            </w:tcMar>
            <w:vAlign w:val="center"/>
          </w:tcPr>
          <w:p w14:paraId="33ACBA90">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总磷</w:t>
            </w:r>
          </w:p>
        </w:tc>
        <w:tc>
          <w:tcPr>
            <w:tcW w:w="1780" w:type="pct"/>
            <w:tcMar>
              <w:top w:w="12" w:type="dxa"/>
              <w:left w:w="12" w:type="dxa"/>
              <w:right w:w="12" w:type="dxa"/>
            </w:tcMar>
            <w:vAlign w:val="center"/>
          </w:tcPr>
          <w:p w14:paraId="047E02C7">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0.17</w:t>
            </w:r>
          </w:p>
        </w:tc>
        <w:tc>
          <w:tcPr>
            <w:tcW w:w="1780" w:type="pct"/>
            <w:tcMar>
              <w:top w:w="12" w:type="dxa"/>
              <w:left w:w="12" w:type="dxa"/>
              <w:right w:w="12" w:type="dxa"/>
            </w:tcMar>
            <w:vAlign w:val="center"/>
          </w:tcPr>
          <w:p w14:paraId="713D4550">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0.15</w:t>
            </w:r>
          </w:p>
        </w:tc>
      </w:tr>
      <w:tr w14:paraId="785A0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40" w:type="pct"/>
            <w:gridSpan w:val="2"/>
            <w:tcMar>
              <w:top w:w="12" w:type="dxa"/>
              <w:left w:w="12" w:type="dxa"/>
              <w:right w:w="12" w:type="dxa"/>
            </w:tcMar>
            <w:vAlign w:val="center"/>
          </w:tcPr>
          <w:p w14:paraId="4455AB75">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总氮</w:t>
            </w:r>
          </w:p>
        </w:tc>
        <w:tc>
          <w:tcPr>
            <w:tcW w:w="1780" w:type="pct"/>
            <w:tcMar>
              <w:top w:w="12" w:type="dxa"/>
              <w:left w:w="12" w:type="dxa"/>
              <w:right w:w="12" w:type="dxa"/>
            </w:tcMar>
            <w:vAlign w:val="center"/>
          </w:tcPr>
          <w:p w14:paraId="259F9174">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1.87</w:t>
            </w:r>
          </w:p>
        </w:tc>
        <w:tc>
          <w:tcPr>
            <w:tcW w:w="1780" w:type="pct"/>
            <w:tcMar>
              <w:top w:w="12" w:type="dxa"/>
              <w:left w:w="12" w:type="dxa"/>
              <w:right w:w="12" w:type="dxa"/>
            </w:tcMar>
            <w:vAlign w:val="center"/>
          </w:tcPr>
          <w:p w14:paraId="759BE2D5">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1.91</w:t>
            </w:r>
          </w:p>
        </w:tc>
      </w:tr>
      <w:tr w14:paraId="7A667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20" w:type="pct"/>
            <w:vMerge w:val="restart"/>
            <w:tcMar>
              <w:top w:w="12" w:type="dxa"/>
              <w:left w:w="12" w:type="dxa"/>
              <w:right w:w="12" w:type="dxa"/>
            </w:tcMar>
            <w:vAlign w:val="center"/>
          </w:tcPr>
          <w:p w14:paraId="2FF6DDEA">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溶解氧</w:t>
            </w:r>
          </w:p>
        </w:tc>
        <w:tc>
          <w:tcPr>
            <w:tcW w:w="720" w:type="pct"/>
            <w:tcMar>
              <w:top w:w="12" w:type="dxa"/>
              <w:left w:w="12" w:type="dxa"/>
              <w:right w:w="12" w:type="dxa"/>
            </w:tcMar>
            <w:vAlign w:val="center"/>
          </w:tcPr>
          <w:p w14:paraId="2CAC2FF4">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02:00</w:t>
            </w:r>
          </w:p>
        </w:tc>
        <w:tc>
          <w:tcPr>
            <w:tcW w:w="1780" w:type="pct"/>
            <w:tcMar>
              <w:top w:w="12" w:type="dxa"/>
              <w:left w:w="12" w:type="dxa"/>
              <w:right w:w="12" w:type="dxa"/>
            </w:tcMar>
            <w:vAlign w:val="center"/>
          </w:tcPr>
          <w:p w14:paraId="64B8643A">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8.3</w:t>
            </w:r>
          </w:p>
        </w:tc>
        <w:tc>
          <w:tcPr>
            <w:tcW w:w="1780" w:type="pct"/>
            <w:tcMar>
              <w:top w:w="12" w:type="dxa"/>
              <w:left w:w="12" w:type="dxa"/>
              <w:right w:w="12" w:type="dxa"/>
            </w:tcMar>
            <w:vAlign w:val="center"/>
          </w:tcPr>
          <w:p w14:paraId="10E9F4F1">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8.8</w:t>
            </w:r>
          </w:p>
        </w:tc>
      </w:tr>
      <w:tr w14:paraId="2FF51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20" w:type="pct"/>
            <w:vMerge w:val="continue"/>
            <w:tcMar>
              <w:top w:w="12" w:type="dxa"/>
              <w:left w:w="12" w:type="dxa"/>
              <w:right w:w="12" w:type="dxa"/>
            </w:tcMar>
            <w:vAlign w:val="center"/>
          </w:tcPr>
          <w:p w14:paraId="48BB32AC">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720" w:type="pct"/>
            <w:tcMar>
              <w:top w:w="12" w:type="dxa"/>
              <w:left w:w="12" w:type="dxa"/>
              <w:right w:w="12" w:type="dxa"/>
            </w:tcMar>
            <w:vAlign w:val="center"/>
          </w:tcPr>
          <w:p w14:paraId="5093B9D7">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08:00</w:t>
            </w:r>
          </w:p>
        </w:tc>
        <w:tc>
          <w:tcPr>
            <w:tcW w:w="1780" w:type="pct"/>
            <w:tcMar>
              <w:top w:w="12" w:type="dxa"/>
              <w:left w:w="12" w:type="dxa"/>
              <w:right w:w="12" w:type="dxa"/>
            </w:tcMar>
            <w:vAlign w:val="center"/>
          </w:tcPr>
          <w:p w14:paraId="4E4D4046">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7.8</w:t>
            </w:r>
          </w:p>
        </w:tc>
        <w:tc>
          <w:tcPr>
            <w:tcW w:w="1780" w:type="pct"/>
            <w:tcMar>
              <w:top w:w="12" w:type="dxa"/>
              <w:left w:w="12" w:type="dxa"/>
              <w:right w:w="12" w:type="dxa"/>
            </w:tcMar>
            <w:vAlign w:val="center"/>
          </w:tcPr>
          <w:p w14:paraId="04A7AF1A">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7.5</w:t>
            </w:r>
          </w:p>
        </w:tc>
      </w:tr>
      <w:tr w14:paraId="41B88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20" w:type="pct"/>
            <w:vMerge w:val="continue"/>
            <w:tcMar>
              <w:top w:w="12" w:type="dxa"/>
              <w:left w:w="12" w:type="dxa"/>
              <w:right w:w="12" w:type="dxa"/>
            </w:tcMar>
            <w:vAlign w:val="center"/>
          </w:tcPr>
          <w:p w14:paraId="690ACC47">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720" w:type="pct"/>
            <w:tcMar>
              <w:top w:w="12" w:type="dxa"/>
              <w:left w:w="12" w:type="dxa"/>
              <w:right w:w="12" w:type="dxa"/>
            </w:tcMar>
            <w:vAlign w:val="center"/>
          </w:tcPr>
          <w:p w14:paraId="5E4BB86D">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14:00</w:t>
            </w:r>
          </w:p>
        </w:tc>
        <w:tc>
          <w:tcPr>
            <w:tcW w:w="1780" w:type="pct"/>
            <w:tcMar>
              <w:top w:w="12" w:type="dxa"/>
              <w:left w:w="12" w:type="dxa"/>
              <w:right w:w="12" w:type="dxa"/>
            </w:tcMar>
            <w:vAlign w:val="center"/>
          </w:tcPr>
          <w:p w14:paraId="19EF1860">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7.4</w:t>
            </w:r>
          </w:p>
        </w:tc>
        <w:tc>
          <w:tcPr>
            <w:tcW w:w="1780" w:type="pct"/>
            <w:tcMar>
              <w:top w:w="12" w:type="dxa"/>
              <w:left w:w="12" w:type="dxa"/>
              <w:right w:w="12" w:type="dxa"/>
            </w:tcMar>
            <w:vAlign w:val="center"/>
          </w:tcPr>
          <w:p w14:paraId="0486C823">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7.9</w:t>
            </w:r>
          </w:p>
        </w:tc>
      </w:tr>
      <w:tr w14:paraId="29AE0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20" w:type="pct"/>
            <w:vMerge w:val="continue"/>
            <w:tcMar>
              <w:top w:w="12" w:type="dxa"/>
              <w:left w:w="12" w:type="dxa"/>
              <w:right w:w="12" w:type="dxa"/>
            </w:tcMar>
            <w:vAlign w:val="center"/>
          </w:tcPr>
          <w:p w14:paraId="6056AE9C">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720" w:type="pct"/>
            <w:tcMar>
              <w:top w:w="12" w:type="dxa"/>
              <w:left w:w="12" w:type="dxa"/>
              <w:right w:w="12" w:type="dxa"/>
            </w:tcMar>
            <w:vAlign w:val="center"/>
          </w:tcPr>
          <w:p w14:paraId="78759286">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20:00</w:t>
            </w:r>
          </w:p>
        </w:tc>
        <w:tc>
          <w:tcPr>
            <w:tcW w:w="1780" w:type="pct"/>
            <w:tcMar>
              <w:top w:w="12" w:type="dxa"/>
              <w:left w:w="12" w:type="dxa"/>
              <w:right w:w="12" w:type="dxa"/>
            </w:tcMar>
            <w:vAlign w:val="center"/>
          </w:tcPr>
          <w:p w14:paraId="5183288C">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8.9</w:t>
            </w:r>
          </w:p>
        </w:tc>
        <w:tc>
          <w:tcPr>
            <w:tcW w:w="1780" w:type="pct"/>
            <w:tcMar>
              <w:top w:w="12" w:type="dxa"/>
              <w:left w:w="12" w:type="dxa"/>
              <w:right w:w="12" w:type="dxa"/>
            </w:tcMar>
            <w:vAlign w:val="center"/>
          </w:tcPr>
          <w:p w14:paraId="2FB76517">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8.6</w:t>
            </w:r>
          </w:p>
        </w:tc>
      </w:tr>
      <w:tr w14:paraId="761F9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20" w:type="pct"/>
            <w:vMerge w:val="restart"/>
            <w:tcMar>
              <w:top w:w="12" w:type="dxa"/>
              <w:left w:w="12" w:type="dxa"/>
              <w:right w:w="12" w:type="dxa"/>
            </w:tcMar>
            <w:vAlign w:val="center"/>
          </w:tcPr>
          <w:p w14:paraId="1397D02D">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水温（℃）</w:t>
            </w:r>
          </w:p>
        </w:tc>
        <w:tc>
          <w:tcPr>
            <w:tcW w:w="720" w:type="pct"/>
            <w:tcMar>
              <w:top w:w="12" w:type="dxa"/>
              <w:left w:w="12" w:type="dxa"/>
              <w:right w:w="12" w:type="dxa"/>
            </w:tcMar>
            <w:vAlign w:val="center"/>
          </w:tcPr>
          <w:p w14:paraId="4219F9CE">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02:00</w:t>
            </w:r>
          </w:p>
        </w:tc>
        <w:tc>
          <w:tcPr>
            <w:tcW w:w="1780" w:type="pct"/>
            <w:tcMar>
              <w:top w:w="12" w:type="dxa"/>
              <w:left w:w="12" w:type="dxa"/>
              <w:right w:w="12" w:type="dxa"/>
            </w:tcMar>
            <w:vAlign w:val="center"/>
          </w:tcPr>
          <w:p w14:paraId="79913B29">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5.4</w:t>
            </w:r>
          </w:p>
        </w:tc>
        <w:tc>
          <w:tcPr>
            <w:tcW w:w="1780" w:type="pct"/>
            <w:tcMar>
              <w:top w:w="12" w:type="dxa"/>
              <w:left w:w="12" w:type="dxa"/>
              <w:right w:w="12" w:type="dxa"/>
            </w:tcMar>
            <w:vAlign w:val="center"/>
          </w:tcPr>
          <w:p w14:paraId="5397803D">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5.5</w:t>
            </w:r>
          </w:p>
        </w:tc>
      </w:tr>
      <w:tr w14:paraId="09DC0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20" w:type="pct"/>
            <w:vMerge w:val="continue"/>
            <w:tcMar>
              <w:top w:w="12" w:type="dxa"/>
              <w:left w:w="12" w:type="dxa"/>
              <w:right w:w="12" w:type="dxa"/>
            </w:tcMar>
            <w:vAlign w:val="center"/>
          </w:tcPr>
          <w:p w14:paraId="34F76C38">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720" w:type="pct"/>
            <w:tcMar>
              <w:top w:w="12" w:type="dxa"/>
              <w:left w:w="12" w:type="dxa"/>
              <w:right w:w="12" w:type="dxa"/>
            </w:tcMar>
            <w:vAlign w:val="center"/>
          </w:tcPr>
          <w:p w14:paraId="12FF764A">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08:00</w:t>
            </w:r>
          </w:p>
        </w:tc>
        <w:tc>
          <w:tcPr>
            <w:tcW w:w="1780" w:type="pct"/>
            <w:tcMar>
              <w:top w:w="12" w:type="dxa"/>
              <w:left w:w="12" w:type="dxa"/>
              <w:right w:w="12" w:type="dxa"/>
            </w:tcMar>
            <w:vAlign w:val="center"/>
          </w:tcPr>
          <w:p w14:paraId="6D69B578">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5.7</w:t>
            </w:r>
          </w:p>
        </w:tc>
        <w:tc>
          <w:tcPr>
            <w:tcW w:w="1780" w:type="pct"/>
            <w:tcMar>
              <w:top w:w="12" w:type="dxa"/>
              <w:left w:w="12" w:type="dxa"/>
              <w:right w:w="12" w:type="dxa"/>
            </w:tcMar>
            <w:vAlign w:val="center"/>
          </w:tcPr>
          <w:p w14:paraId="0B63AC77">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5.9</w:t>
            </w:r>
          </w:p>
        </w:tc>
      </w:tr>
      <w:tr w14:paraId="70ACD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20" w:type="pct"/>
            <w:vMerge w:val="continue"/>
            <w:tcMar>
              <w:top w:w="12" w:type="dxa"/>
              <w:left w:w="12" w:type="dxa"/>
              <w:right w:w="12" w:type="dxa"/>
            </w:tcMar>
            <w:vAlign w:val="center"/>
          </w:tcPr>
          <w:p w14:paraId="59C718C0">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720" w:type="pct"/>
            <w:tcMar>
              <w:top w:w="12" w:type="dxa"/>
              <w:left w:w="12" w:type="dxa"/>
              <w:right w:w="12" w:type="dxa"/>
            </w:tcMar>
            <w:vAlign w:val="center"/>
          </w:tcPr>
          <w:p w14:paraId="460D6946">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14:00</w:t>
            </w:r>
          </w:p>
        </w:tc>
        <w:tc>
          <w:tcPr>
            <w:tcW w:w="1780" w:type="pct"/>
            <w:tcMar>
              <w:top w:w="12" w:type="dxa"/>
              <w:left w:w="12" w:type="dxa"/>
              <w:right w:w="12" w:type="dxa"/>
            </w:tcMar>
            <w:vAlign w:val="center"/>
          </w:tcPr>
          <w:p w14:paraId="0B8C6F03">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6.8</w:t>
            </w:r>
          </w:p>
        </w:tc>
        <w:tc>
          <w:tcPr>
            <w:tcW w:w="1780" w:type="pct"/>
            <w:tcMar>
              <w:top w:w="12" w:type="dxa"/>
              <w:left w:w="12" w:type="dxa"/>
              <w:right w:w="12" w:type="dxa"/>
            </w:tcMar>
            <w:vAlign w:val="center"/>
          </w:tcPr>
          <w:p w14:paraId="258B6BA2">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7.0</w:t>
            </w:r>
          </w:p>
        </w:tc>
      </w:tr>
      <w:tr w14:paraId="73C56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20" w:type="pct"/>
            <w:vMerge w:val="continue"/>
            <w:tcMar>
              <w:top w:w="12" w:type="dxa"/>
              <w:left w:w="12" w:type="dxa"/>
              <w:right w:w="12" w:type="dxa"/>
            </w:tcMar>
            <w:vAlign w:val="center"/>
          </w:tcPr>
          <w:p w14:paraId="321D1D0F">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720" w:type="pct"/>
            <w:tcMar>
              <w:top w:w="12" w:type="dxa"/>
              <w:left w:w="12" w:type="dxa"/>
              <w:right w:w="12" w:type="dxa"/>
            </w:tcMar>
            <w:vAlign w:val="center"/>
          </w:tcPr>
          <w:p w14:paraId="21F09DCB">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20:00</w:t>
            </w:r>
          </w:p>
        </w:tc>
        <w:tc>
          <w:tcPr>
            <w:tcW w:w="1780" w:type="pct"/>
            <w:tcMar>
              <w:top w:w="12" w:type="dxa"/>
              <w:left w:w="12" w:type="dxa"/>
              <w:right w:w="12" w:type="dxa"/>
            </w:tcMar>
            <w:vAlign w:val="center"/>
          </w:tcPr>
          <w:p w14:paraId="26E24A51">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6.1</w:t>
            </w:r>
          </w:p>
        </w:tc>
        <w:tc>
          <w:tcPr>
            <w:tcW w:w="1780" w:type="pct"/>
            <w:tcMar>
              <w:top w:w="12" w:type="dxa"/>
              <w:left w:w="12" w:type="dxa"/>
              <w:right w:w="12" w:type="dxa"/>
            </w:tcMar>
            <w:vAlign w:val="center"/>
          </w:tcPr>
          <w:p w14:paraId="5249C989">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6.4</w:t>
            </w:r>
          </w:p>
        </w:tc>
      </w:tr>
    </w:tbl>
    <w:p w14:paraId="77A218F8">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由监测结果可知，</w:t>
      </w:r>
      <w:r>
        <w:rPr>
          <w:rFonts w:ascii="Times New Roman" w:hAnsi="Times New Roman" w:cs="Times New Roman" w:eastAsiaTheme="minorEastAsia"/>
          <w:color w:val="000000" w:themeColor="text1"/>
          <w:w w:val="99"/>
          <w:sz w:val="24"/>
          <w:szCs w:val="20"/>
          <w:lang w:val="en-US" w:bidi="ar-SA"/>
          <w14:textFill>
            <w14:solidFill>
              <w14:schemeClr w14:val="tx1"/>
            </w14:solidFill>
          </w14:textFill>
        </w:rPr>
        <w:t>本项目特征因子石油类未检出</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w:t>
      </w:r>
    </w:p>
    <w:p w14:paraId="20A4DD34">
      <w:pPr>
        <w:autoSpaceDE/>
        <w:autoSpaceDN/>
        <w:spacing w:line="440" w:lineRule="exact"/>
        <w:jc w:val="both"/>
        <w:outlineLvl w:val="2"/>
        <w:rPr>
          <w:rFonts w:ascii="Times New Roman" w:hAnsi="Times New Roman" w:cs="Times New Roman" w:eastAsiaTheme="minorEastAsia"/>
          <w:b/>
          <w:bCs/>
          <w:color w:val="000000" w:themeColor="text1"/>
          <w:w w:val="99"/>
          <w:kern w:val="2"/>
          <w:sz w:val="24"/>
          <w:szCs w:val="24"/>
          <w:lang w:val="en-US" w:bidi="ar-SA"/>
          <w14:textFill>
            <w14:solidFill>
              <w14:schemeClr w14:val="tx1"/>
            </w14:solidFill>
          </w14:textFill>
        </w:rPr>
      </w:pPr>
      <w:bookmarkStart w:id="320" w:name="_Toc57707957"/>
      <w:bookmarkStart w:id="321" w:name="_Toc34124486"/>
      <w:bookmarkStart w:id="322" w:name="_Toc80971419"/>
      <w:bookmarkStart w:id="323" w:name="_Toc76976288"/>
      <w:bookmarkStart w:id="324" w:name="_Toc77067700"/>
      <w:bookmarkStart w:id="325" w:name="_Toc67860174"/>
      <w:bookmarkStart w:id="326" w:name="_Toc61597273"/>
      <w:bookmarkStart w:id="327" w:name="_Toc117794581"/>
      <w:bookmarkStart w:id="328" w:name="_Toc86141973"/>
      <w:bookmarkStart w:id="329" w:name="_Toc83209519"/>
      <w:bookmarkStart w:id="330" w:name="_Toc38545058"/>
      <w:bookmarkStart w:id="331" w:name="_Toc29644704"/>
      <w:bookmarkStart w:id="332" w:name="_Toc38296425"/>
      <w:bookmarkStart w:id="333" w:name="_Toc26653"/>
      <w:bookmarkStart w:id="334" w:name="_Toc57976709"/>
      <w:bookmarkStart w:id="335" w:name="_Toc29642920"/>
      <w:bookmarkStart w:id="336" w:name="_Toc100822153"/>
      <w:bookmarkStart w:id="337" w:name="_Toc70050223"/>
      <w:bookmarkStart w:id="338" w:name="_Toc29643952"/>
      <w:bookmarkStart w:id="339" w:name="_Toc57203287"/>
      <w:bookmarkStart w:id="340" w:name="_Toc41655202"/>
      <w:bookmarkStart w:id="341" w:name="_Toc85640798"/>
      <w:bookmarkStart w:id="342" w:name="_Toc78816502"/>
      <w:bookmarkStart w:id="343" w:name="_Toc103610912"/>
      <w:bookmarkStart w:id="344" w:name="_Toc80588297"/>
      <w:bookmarkStart w:id="345" w:name="_Toc84929274"/>
      <w:bookmarkStart w:id="346" w:name="_Toc106810339"/>
      <w:r>
        <w:rPr>
          <w:rFonts w:ascii="Times New Roman" w:hAnsi="Times New Roman" w:cs="Times New Roman" w:eastAsiaTheme="minorEastAsia"/>
          <w:b/>
          <w:bCs/>
          <w:color w:val="000000" w:themeColor="text1"/>
          <w:w w:val="99"/>
          <w:kern w:val="2"/>
          <w:sz w:val="24"/>
          <w:szCs w:val="24"/>
          <w:lang w:val="en-US" w:bidi="ar-SA"/>
          <w14:textFill>
            <w14:solidFill>
              <w14:schemeClr w14:val="tx1"/>
            </w14:solidFill>
          </w14:textFill>
        </w:rPr>
        <w:t>4.3.4声环境质量现状监测与评价</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6FC6D826">
      <w:pPr>
        <w:autoSpaceDE/>
        <w:autoSpaceDN/>
        <w:spacing w:line="440" w:lineRule="exact"/>
        <w:jc w:val="both"/>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t>4.3.4.1声环境质量现状监测</w:t>
      </w:r>
    </w:p>
    <w:p w14:paraId="3A5F15DA">
      <w:pPr>
        <w:tabs>
          <w:tab w:val="left" w:pos="5262"/>
        </w:tabs>
        <w:autoSpaceDE/>
        <w:autoSpaceDN/>
        <w:spacing w:line="440" w:lineRule="exact"/>
        <w:ind w:firstLine="474" w:firstLineChars="200"/>
        <w:jc w:val="both"/>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（1）监测点布设</w:t>
      </w:r>
    </w:p>
    <w:p w14:paraId="6CD62356">
      <w:pPr>
        <w:tabs>
          <w:tab w:val="left" w:pos="5262"/>
        </w:tabs>
        <w:autoSpaceDE/>
        <w:autoSpaceDN/>
        <w:spacing w:line="440" w:lineRule="exact"/>
        <w:ind w:firstLine="474" w:firstLineChars="200"/>
        <w:jc w:val="both"/>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根据本项目拟建情况及周边敏感目标分布情况，在本项目所在区域共布设2个监测点，监测点布设见表</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4.3-1</w:t>
      </w: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6，具体监测点位见附图12。</w:t>
      </w:r>
    </w:p>
    <w:p w14:paraId="6E167D98">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表4.3-16    声环境现状监测点位表</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76"/>
        <w:gridCol w:w="1543"/>
        <w:gridCol w:w="2181"/>
        <w:gridCol w:w="2905"/>
        <w:gridCol w:w="1882"/>
      </w:tblGrid>
      <w:tr w14:paraId="5F436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8" w:type="pct"/>
            <w:vAlign w:val="center"/>
          </w:tcPr>
          <w:p w14:paraId="6FDD2B06">
            <w:pPr>
              <w:widowControl/>
              <w:autoSpaceDE/>
              <w:autoSpaceDN/>
              <w:adjustRightInd w:val="0"/>
              <w:snapToGrid w:val="0"/>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序号</w:t>
            </w:r>
          </w:p>
        </w:tc>
        <w:tc>
          <w:tcPr>
            <w:tcW w:w="831" w:type="pct"/>
            <w:vAlign w:val="center"/>
          </w:tcPr>
          <w:p w14:paraId="12C87A4C">
            <w:pPr>
              <w:widowControl/>
              <w:autoSpaceDE/>
              <w:autoSpaceDN/>
              <w:adjustRightInd w:val="0"/>
              <w:snapToGrid w:val="0"/>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监测点</w:t>
            </w:r>
          </w:p>
        </w:tc>
        <w:tc>
          <w:tcPr>
            <w:tcW w:w="1174" w:type="pct"/>
            <w:vAlign w:val="center"/>
          </w:tcPr>
          <w:p w14:paraId="3008657D">
            <w:pPr>
              <w:widowControl/>
              <w:autoSpaceDE/>
              <w:autoSpaceDN/>
              <w:adjustRightInd w:val="0"/>
              <w:snapToGrid w:val="0"/>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监测坐标</w:t>
            </w:r>
          </w:p>
        </w:tc>
        <w:tc>
          <w:tcPr>
            <w:tcW w:w="1564" w:type="pct"/>
            <w:vAlign w:val="center"/>
          </w:tcPr>
          <w:p w14:paraId="4D2A48DF">
            <w:pPr>
              <w:widowControl/>
              <w:autoSpaceDE/>
              <w:autoSpaceDN/>
              <w:adjustRightInd w:val="0"/>
              <w:snapToGrid w:val="0"/>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项目位置关系</w:t>
            </w:r>
          </w:p>
        </w:tc>
        <w:tc>
          <w:tcPr>
            <w:tcW w:w="1013" w:type="pct"/>
            <w:vAlign w:val="center"/>
          </w:tcPr>
          <w:p w14:paraId="6A3A7265">
            <w:pPr>
              <w:widowControl/>
              <w:autoSpaceDE/>
              <w:autoSpaceDN/>
              <w:adjustRightInd w:val="0"/>
              <w:snapToGrid w:val="0"/>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备注</w:t>
            </w:r>
          </w:p>
        </w:tc>
      </w:tr>
      <w:tr w14:paraId="1020C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8" w:type="pct"/>
            <w:vAlign w:val="center"/>
          </w:tcPr>
          <w:p w14:paraId="391191F3">
            <w:pPr>
              <w:widowControl/>
              <w:autoSpaceDE/>
              <w:autoSpaceDN/>
              <w:adjustRightInd w:val="0"/>
              <w:snapToGrid w:val="0"/>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1</w:t>
            </w:r>
          </w:p>
        </w:tc>
        <w:tc>
          <w:tcPr>
            <w:tcW w:w="831" w:type="pct"/>
            <w:vAlign w:val="center"/>
          </w:tcPr>
          <w:p w14:paraId="7218DADC">
            <w:pPr>
              <w:widowControl/>
              <w:autoSpaceDE/>
              <w:autoSpaceDN/>
              <w:adjustRightInd w:val="0"/>
              <w:snapToGrid w:val="0"/>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拟建混输增压间</w:t>
            </w:r>
          </w:p>
        </w:tc>
        <w:tc>
          <w:tcPr>
            <w:tcW w:w="1174" w:type="pct"/>
            <w:vAlign w:val="center"/>
          </w:tcPr>
          <w:p w14:paraId="3E9123FB">
            <w:pPr>
              <w:widowControl/>
              <w:autoSpaceDE/>
              <w:autoSpaceDN/>
              <w:adjustRightInd w:val="0"/>
              <w:snapToGrid w:val="0"/>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124.95878，46.70550</w:t>
            </w:r>
          </w:p>
        </w:tc>
        <w:tc>
          <w:tcPr>
            <w:tcW w:w="1564" w:type="pct"/>
            <w:vAlign w:val="center"/>
          </w:tcPr>
          <w:p w14:paraId="611E29FA">
            <w:pPr>
              <w:widowControl/>
              <w:autoSpaceDE/>
              <w:autoSpaceDN/>
              <w:adjustRightInd w:val="0"/>
              <w:snapToGrid w:val="0"/>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拟建</w:t>
            </w:r>
          </w:p>
        </w:tc>
        <w:tc>
          <w:tcPr>
            <w:tcW w:w="1013" w:type="pct"/>
            <w:vAlign w:val="center"/>
          </w:tcPr>
          <w:p w14:paraId="5D3D34D5">
            <w:pPr>
              <w:widowControl/>
              <w:autoSpaceDE/>
              <w:autoSpaceDN/>
              <w:adjustRightInd w:val="0"/>
              <w:snapToGrid w:val="0"/>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东南西北厂界各测1个点</w:t>
            </w:r>
          </w:p>
        </w:tc>
      </w:tr>
      <w:tr w14:paraId="350D0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18" w:type="pct"/>
            <w:vAlign w:val="center"/>
          </w:tcPr>
          <w:p w14:paraId="37D9A5D3">
            <w:pPr>
              <w:widowControl/>
              <w:autoSpaceDE/>
              <w:autoSpaceDN/>
              <w:adjustRightInd w:val="0"/>
              <w:snapToGrid w:val="0"/>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2</w:t>
            </w:r>
          </w:p>
        </w:tc>
        <w:tc>
          <w:tcPr>
            <w:tcW w:w="831" w:type="pct"/>
            <w:vAlign w:val="center"/>
          </w:tcPr>
          <w:p w14:paraId="33BB672B">
            <w:pPr>
              <w:widowControl/>
              <w:autoSpaceDE/>
              <w:autoSpaceDN/>
              <w:adjustRightInd w:val="0"/>
              <w:snapToGrid w:val="0"/>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杏树岗村</w:t>
            </w:r>
          </w:p>
        </w:tc>
        <w:tc>
          <w:tcPr>
            <w:tcW w:w="1174" w:type="pct"/>
            <w:vAlign w:val="center"/>
          </w:tcPr>
          <w:p w14:paraId="3771BC75">
            <w:pPr>
              <w:widowControl/>
              <w:autoSpaceDE/>
              <w:autoSpaceDN/>
              <w:adjustRightInd w:val="0"/>
              <w:snapToGrid w:val="0"/>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124.97845，46.68930</w:t>
            </w:r>
          </w:p>
        </w:tc>
        <w:tc>
          <w:tcPr>
            <w:tcW w:w="1564" w:type="pct"/>
            <w:vAlign w:val="center"/>
          </w:tcPr>
          <w:p w14:paraId="21579432">
            <w:pPr>
              <w:widowControl/>
              <w:autoSpaceDE/>
              <w:autoSpaceDN/>
              <w:adjustRightInd w:val="0"/>
              <w:snapToGrid w:val="0"/>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龙27-斜6拉油点至新建混输阀组间集油管道南侧70m</w:t>
            </w:r>
          </w:p>
        </w:tc>
        <w:tc>
          <w:tcPr>
            <w:tcW w:w="1013" w:type="pct"/>
            <w:vAlign w:val="center"/>
          </w:tcPr>
          <w:p w14:paraId="37DD04C7">
            <w:pPr>
              <w:widowControl/>
              <w:autoSpaceDE/>
              <w:autoSpaceDN/>
              <w:adjustRightInd w:val="0"/>
              <w:snapToGrid w:val="0"/>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测1各点</w:t>
            </w:r>
          </w:p>
        </w:tc>
      </w:tr>
    </w:tbl>
    <w:p w14:paraId="50970C8D">
      <w:pPr>
        <w:tabs>
          <w:tab w:val="left" w:pos="5262"/>
        </w:tabs>
        <w:autoSpaceDE/>
        <w:autoSpaceDN/>
        <w:spacing w:line="440" w:lineRule="exact"/>
        <w:ind w:firstLine="474" w:firstLineChars="200"/>
        <w:jc w:val="both"/>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（2）监测时间及频次</w:t>
      </w:r>
    </w:p>
    <w:p w14:paraId="4DC970C3">
      <w:pPr>
        <w:tabs>
          <w:tab w:val="left" w:pos="5262"/>
        </w:tabs>
        <w:autoSpaceDE/>
        <w:autoSpaceDN/>
        <w:spacing w:line="440" w:lineRule="exact"/>
        <w:ind w:firstLine="474" w:firstLineChars="200"/>
        <w:jc w:val="both"/>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监测时间：</w:t>
      </w:r>
      <w:r>
        <w:rPr>
          <w:rFonts w:ascii="Times New Roman" w:hAnsi="Times New Roman" w:cs="Times New Roman" w:eastAsiaTheme="minorEastAsia"/>
          <w:color w:val="000000" w:themeColor="text1"/>
          <w:w w:val="99"/>
          <w:sz w:val="24"/>
          <w:szCs w:val="20"/>
          <w:lang w:val="en-US" w:bidi="ar-SA"/>
          <w14:textFill>
            <w14:solidFill>
              <w14:schemeClr w14:val="tx1"/>
            </w14:solidFill>
          </w14:textFill>
        </w:rPr>
        <w:t>2022年10月16日~2022年10月17日</w:t>
      </w: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w:t>
      </w:r>
    </w:p>
    <w:p w14:paraId="43F7C620">
      <w:pPr>
        <w:tabs>
          <w:tab w:val="left" w:pos="5262"/>
        </w:tabs>
        <w:autoSpaceDE/>
        <w:autoSpaceDN/>
        <w:spacing w:line="440" w:lineRule="exact"/>
        <w:ind w:firstLine="474" w:firstLineChars="200"/>
        <w:jc w:val="both"/>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监测频次：连续监测2天，昼夜各1次。</w:t>
      </w:r>
    </w:p>
    <w:p w14:paraId="137898F0">
      <w:pPr>
        <w:tabs>
          <w:tab w:val="left" w:pos="5262"/>
        </w:tabs>
        <w:autoSpaceDE/>
        <w:autoSpaceDN/>
        <w:spacing w:line="440" w:lineRule="exact"/>
        <w:ind w:firstLine="474" w:firstLineChars="200"/>
        <w:jc w:val="both"/>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（3）监测结果</w:t>
      </w:r>
    </w:p>
    <w:p w14:paraId="148FE477">
      <w:pPr>
        <w:tabs>
          <w:tab w:val="left" w:pos="5262"/>
        </w:tabs>
        <w:autoSpaceDE/>
        <w:autoSpaceDN/>
        <w:spacing w:line="440" w:lineRule="exact"/>
        <w:ind w:firstLine="474" w:firstLineChars="200"/>
        <w:jc w:val="both"/>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声环境现状监测结果见表</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4.3-17</w:t>
      </w: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w:t>
      </w:r>
    </w:p>
    <w:p w14:paraId="6F3C6253">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表4.3-17    声环境现状监测结果表    单位：dB（A）</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5"/>
        <w:gridCol w:w="1887"/>
        <w:gridCol w:w="1889"/>
        <w:gridCol w:w="2034"/>
        <w:gridCol w:w="1882"/>
      </w:tblGrid>
      <w:tr w14:paraId="02713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pct"/>
            <w:vAlign w:val="center"/>
          </w:tcPr>
          <w:p w14:paraId="7A94F3B9">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监测点位</w:t>
            </w:r>
          </w:p>
        </w:tc>
        <w:tc>
          <w:tcPr>
            <w:tcW w:w="2033" w:type="pct"/>
            <w:gridSpan w:val="2"/>
            <w:vAlign w:val="center"/>
          </w:tcPr>
          <w:p w14:paraId="3F56FDDD">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2022.10.16</w:t>
            </w:r>
          </w:p>
        </w:tc>
        <w:tc>
          <w:tcPr>
            <w:tcW w:w="2108" w:type="pct"/>
            <w:gridSpan w:val="2"/>
            <w:vAlign w:val="center"/>
          </w:tcPr>
          <w:p w14:paraId="0755D24B">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2022.10.17</w:t>
            </w:r>
          </w:p>
        </w:tc>
      </w:tr>
      <w:tr w14:paraId="0935B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pct"/>
            <w:vMerge w:val="restart"/>
            <w:vAlign w:val="center"/>
          </w:tcPr>
          <w:p w14:paraId="4BE108A6">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拟建混输</w:t>
            </w:r>
            <w:r>
              <w:rPr>
                <w:rFonts w:hint="eastAsia" w:ascii="Times New Roman" w:hAnsi="Times New Roman" w:cs="Times New Roman" w:eastAsiaTheme="minorEastAsia"/>
                <w:color w:val="000000" w:themeColor="text1"/>
                <w:w w:val="99"/>
                <w:kern w:val="21"/>
                <w:sz w:val="21"/>
                <w:szCs w:val="21"/>
                <w:lang w:val="en-US" w:bidi="ar-SA"/>
                <w14:textFill>
                  <w14:solidFill>
                    <w14:schemeClr w14:val="tx1"/>
                  </w14:solidFill>
                </w14:textFill>
              </w:rPr>
              <w:t>阀组间</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厂界东侧外1m</w:t>
            </w:r>
          </w:p>
        </w:tc>
        <w:tc>
          <w:tcPr>
            <w:tcW w:w="1016" w:type="pct"/>
            <w:vAlign w:val="center"/>
          </w:tcPr>
          <w:p w14:paraId="13159915">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昼间</w:t>
            </w:r>
          </w:p>
          <w:p w14:paraId="3E9E7DC4">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(08:00～08:20)</w:t>
            </w:r>
          </w:p>
        </w:tc>
        <w:tc>
          <w:tcPr>
            <w:tcW w:w="1017" w:type="pct"/>
            <w:vAlign w:val="center"/>
          </w:tcPr>
          <w:p w14:paraId="614B9873">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夜间</w:t>
            </w:r>
          </w:p>
          <w:p w14:paraId="2C246239">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(22:00～22:20)</w:t>
            </w:r>
          </w:p>
        </w:tc>
        <w:tc>
          <w:tcPr>
            <w:tcW w:w="1095" w:type="pct"/>
            <w:vAlign w:val="center"/>
          </w:tcPr>
          <w:p w14:paraId="0AD8F482">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昼间</w:t>
            </w:r>
          </w:p>
          <w:p w14:paraId="4028E3DC">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(08:00～08:20)</w:t>
            </w:r>
          </w:p>
        </w:tc>
        <w:tc>
          <w:tcPr>
            <w:tcW w:w="1013" w:type="pct"/>
            <w:vAlign w:val="center"/>
          </w:tcPr>
          <w:p w14:paraId="7BBA5772">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夜间</w:t>
            </w:r>
          </w:p>
          <w:p w14:paraId="36B9992A">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(22:00～22:20)</w:t>
            </w:r>
          </w:p>
        </w:tc>
      </w:tr>
      <w:tr w14:paraId="74F7C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pct"/>
            <w:vMerge w:val="continue"/>
            <w:vAlign w:val="center"/>
          </w:tcPr>
          <w:p w14:paraId="6CD526E4">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016" w:type="pct"/>
            <w:vAlign w:val="center"/>
          </w:tcPr>
          <w:p w14:paraId="4841E300">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45.4</w:t>
            </w:r>
          </w:p>
        </w:tc>
        <w:tc>
          <w:tcPr>
            <w:tcW w:w="1017" w:type="pct"/>
            <w:vAlign w:val="center"/>
          </w:tcPr>
          <w:p w14:paraId="22AE5FAD">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42.9</w:t>
            </w:r>
          </w:p>
        </w:tc>
        <w:tc>
          <w:tcPr>
            <w:tcW w:w="1095" w:type="pct"/>
            <w:vAlign w:val="center"/>
          </w:tcPr>
          <w:p w14:paraId="1699402C">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45.1</w:t>
            </w:r>
          </w:p>
        </w:tc>
        <w:tc>
          <w:tcPr>
            <w:tcW w:w="1013" w:type="pct"/>
            <w:vAlign w:val="center"/>
          </w:tcPr>
          <w:p w14:paraId="103FA709">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42.8</w:t>
            </w:r>
          </w:p>
        </w:tc>
      </w:tr>
      <w:tr w14:paraId="2A36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pct"/>
            <w:vMerge w:val="restart"/>
            <w:vAlign w:val="center"/>
          </w:tcPr>
          <w:p w14:paraId="61F16249">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拟建混输阀组间厂界南侧外1m</w:t>
            </w:r>
          </w:p>
        </w:tc>
        <w:tc>
          <w:tcPr>
            <w:tcW w:w="1016" w:type="pct"/>
            <w:vAlign w:val="center"/>
          </w:tcPr>
          <w:p w14:paraId="04546F9A">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昼间</w:t>
            </w:r>
          </w:p>
          <w:p w14:paraId="364A1BB2">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(08:30～08:50)</w:t>
            </w:r>
          </w:p>
        </w:tc>
        <w:tc>
          <w:tcPr>
            <w:tcW w:w="1017" w:type="pct"/>
            <w:vAlign w:val="center"/>
          </w:tcPr>
          <w:p w14:paraId="541550B5">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夜间</w:t>
            </w:r>
          </w:p>
          <w:p w14:paraId="50C60FD0">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(22:30～22:50)</w:t>
            </w:r>
          </w:p>
        </w:tc>
        <w:tc>
          <w:tcPr>
            <w:tcW w:w="1095" w:type="pct"/>
            <w:vAlign w:val="center"/>
          </w:tcPr>
          <w:p w14:paraId="59597328">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昼间</w:t>
            </w:r>
          </w:p>
          <w:p w14:paraId="57A3A224">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(08:30～08:50)</w:t>
            </w:r>
          </w:p>
        </w:tc>
        <w:tc>
          <w:tcPr>
            <w:tcW w:w="1013" w:type="pct"/>
            <w:vAlign w:val="center"/>
          </w:tcPr>
          <w:p w14:paraId="3B902C66">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夜间</w:t>
            </w:r>
          </w:p>
          <w:p w14:paraId="25041F6C">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(22:30～22:50)</w:t>
            </w:r>
          </w:p>
        </w:tc>
      </w:tr>
      <w:tr w14:paraId="590F2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pct"/>
            <w:vMerge w:val="continue"/>
            <w:vAlign w:val="center"/>
          </w:tcPr>
          <w:p w14:paraId="7AA7C4E8">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016" w:type="pct"/>
            <w:vAlign w:val="center"/>
          </w:tcPr>
          <w:p w14:paraId="1139EF7F">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46.3</w:t>
            </w:r>
          </w:p>
        </w:tc>
        <w:tc>
          <w:tcPr>
            <w:tcW w:w="1017" w:type="pct"/>
            <w:vAlign w:val="center"/>
          </w:tcPr>
          <w:p w14:paraId="76A58E4F">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43.5</w:t>
            </w:r>
          </w:p>
        </w:tc>
        <w:tc>
          <w:tcPr>
            <w:tcW w:w="1095" w:type="pct"/>
            <w:vAlign w:val="center"/>
          </w:tcPr>
          <w:p w14:paraId="48516F39">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46.4</w:t>
            </w:r>
          </w:p>
        </w:tc>
        <w:tc>
          <w:tcPr>
            <w:tcW w:w="1013" w:type="pct"/>
            <w:vAlign w:val="center"/>
          </w:tcPr>
          <w:p w14:paraId="7724C7BA">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43.7</w:t>
            </w:r>
          </w:p>
        </w:tc>
      </w:tr>
      <w:tr w14:paraId="61B3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pct"/>
            <w:vMerge w:val="restart"/>
            <w:vAlign w:val="center"/>
          </w:tcPr>
          <w:p w14:paraId="36085E54">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拟建混输阀组间厂界西侧外1m</w:t>
            </w:r>
          </w:p>
        </w:tc>
        <w:tc>
          <w:tcPr>
            <w:tcW w:w="1016" w:type="pct"/>
            <w:vAlign w:val="center"/>
          </w:tcPr>
          <w:p w14:paraId="7A179CDF">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昼间</w:t>
            </w:r>
          </w:p>
          <w:p w14:paraId="76EA077A">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(09:00～09:20)</w:t>
            </w:r>
          </w:p>
        </w:tc>
        <w:tc>
          <w:tcPr>
            <w:tcW w:w="1017" w:type="pct"/>
            <w:vAlign w:val="center"/>
          </w:tcPr>
          <w:p w14:paraId="0B2DC5E4">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夜间</w:t>
            </w:r>
          </w:p>
          <w:p w14:paraId="760D64F6">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(23:00～23:20)</w:t>
            </w:r>
          </w:p>
        </w:tc>
        <w:tc>
          <w:tcPr>
            <w:tcW w:w="1095" w:type="pct"/>
            <w:vAlign w:val="center"/>
          </w:tcPr>
          <w:p w14:paraId="7AE726DA">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昼间</w:t>
            </w:r>
          </w:p>
          <w:p w14:paraId="10CA7235">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(09:00～09:20)</w:t>
            </w:r>
          </w:p>
        </w:tc>
        <w:tc>
          <w:tcPr>
            <w:tcW w:w="1013" w:type="pct"/>
            <w:vAlign w:val="center"/>
          </w:tcPr>
          <w:p w14:paraId="418C1C38">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夜间</w:t>
            </w:r>
          </w:p>
          <w:p w14:paraId="37235654">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(23:00～23:20)</w:t>
            </w:r>
          </w:p>
        </w:tc>
      </w:tr>
      <w:tr w14:paraId="38E26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pct"/>
            <w:vMerge w:val="continue"/>
            <w:vAlign w:val="center"/>
          </w:tcPr>
          <w:p w14:paraId="433501C0">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016" w:type="pct"/>
            <w:vAlign w:val="center"/>
          </w:tcPr>
          <w:p w14:paraId="639100C8">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46.1</w:t>
            </w:r>
          </w:p>
        </w:tc>
        <w:tc>
          <w:tcPr>
            <w:tcW w:w="1017" w:type="pct"/>
            <w:vAlign w:val="center"/>
          </w:tcPr>
          <w:p w14:paraId="4CD7F749">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43.8</w:t>
            </w:r>
          </w:p>
        </w:tc>
        <w:tc>
          <w:tcPr>
            <w:tcW w:w="1095" w:type="pct"/>
            <w:vAlign w:val="center"/>
          </w:tcPr>
          <w:p w14:paraId="14368450">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46.0</w:t>
            </w:r>
          </w:p>
        </w:tc>
        <w:tc>
          <w:tcPr>
            <w:tcW w:w="1013" w:type="pct"/>
            <w:vAlign w:val="center"/>
          </w:tcPr>
          <w:p w14:paraId="0A7EADE8">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43.6</w:t>
            </w:r>
          </w:p>
        </w:tc>
      </w:tr>
      <w:tr w14:paraId="3BDA2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pct"/>
            <w:vMerge w:val="restart"/>
            <w:vAlign w:val="center"/>
          </w:tcPr>
          <w:p w14:paraId="6015538F">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拟建混输阀组间厂界北侧外1m</w:t>
            </w:r>
          </w:p>
        </w:tc>
        <w:tc>
          <w:tcPr>
            <w:tcW w:w="1016" w:type="pct"/>
            <w:vAlign w:val="center"/>
          </w:tcPr>
          <w:p w14:paraId="2D336BA5">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昼间</w:t>
            </w:r>
          </w:p>
          <w:p w14:paraId="28B5527D">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(09:30～09:50)</w:t>
            </w:r>
          </w:p>
        </w:tc>
        <w:tc>
          <w:tcPr>
            <w:tcW w:w="1017" w:type="pct"/>
            <w:vAlign w:val="center"/>
          </w:tcPr>
          <w:p w14:paraId="4F2A4C11">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夜间</w:t>
            </w:r>
          </w:p>
          <w:p w14:paraId="24B50D08">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(23:30～23:50)</w:t>
            </w:r>
          </w:p>
        </w:tc>
        <w:tc>
          <w:tcPr>
            <w:tcW w:w="1095" w:type="pct"/>
            <w:vAlign w:val="center"/>
          </w:tcPr>
          <w:p w14:paraId="5221FBB6">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昼间</w:t>
            </w:r>
          </w:p>
          <w:p w14:paraId="31DAE3F1">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(09:30～09:50)</w:t>
            </w:r>
          </w:p>
        </w:tc>
        <w:tc>
          <w:tcPr>
            <w:tcW w:w="1013" w:type="pct"/>
            <w:vAlign w:val="center"/>
          </w:tcPr>
          <w:p w14:paraId="1F18B6C7">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夜间</w:t>
            </w:r>
          </w:p>
          <w:p w14:paraId="5CC63B34">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(23:30～23:50)</w:t>
            </w:r>
          </w:p>
        </w:tc>
      </w:tr>
      <w:tr w14:paraId="1B396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pct"/>
            <w:vMerge w:val="continue"/>
            <w:vAlign w:val="center"/>
          </w:tcPr>
          <w:p w14:paraId="3C21D158">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016" w:type="pct"/>
            <w:vAlign w:val="center"/>
          </w:tcPr>
          <w:p w14:paraId="7868DF6D">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45.7</w:t>
            </w:r>
          </w:p>
        </w:tc>
        <w:tc>
          <w:tcPr>
            <w:tcW w:w="1017" w:type="pct"/>
            <w:vAlign w:val="center"/>
          </w:tcPr>
          <w:p w14:paraId="6A505D38">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42.7</w:t>
            </w:r>
          </w:p>
        </w:tc>
        <w:tc>
          <w:tcPr>
            <w:tcW w:w="1095" w:type="pct"/>
            <w:vAlign w:val="center"/>
          </w:tcPr>
          <w:p w14:paraId="28151AAA">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45.5</w:t>
            </w:r>
          </w:p>
        </w:tc>
        <w:tc>
          <w:tcPr>
            <w:tcW w:w="1013" w:type="pct"/>
            <w:vAlign w:val="center"/>
          </w:tcPr>
          <w:p w14:paraId="4CACC61F">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42.1</w:t>
            </w:r>
          </w:p>
        </w:tc>
      </w:tr>
      <w:tr w14:paraId="03E17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pct"/>
            <w:vMerge w:val="restart"/>
            <w:vAlign w:val="center"/>
          </w:tcPr>
          <w:p w14:paraId="57BF7E7B">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杏树岗村</w:t>
            </w:r>
          </w:p>
        </w:tc>
        <w:tc>
          <w:tcPr>
            <w:tcW w:w="1016" w:type="pct"/>
            <w:vAlign w:val="center"/>
          </w:tcPr>
          <w:p w14:paraId="68642B71">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昼间</w:t>
            </w:r>
          </w:p>
          <w:p w14:paraId="65E38A6E">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(10:00～10:20)</w:t>
            </w:r>
          </w:p>
        </w:tc>
        <w:tc>
          <w:tcPr>
            <w:tcW w:w="1017" w:type="pct"/>
            <w:vAlign w:val="center"/>
          </w:tcPr>
          <w:p w14:paraId="65428BE1">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夜间</w:t>
            </w:r>
          </w:p>
          <w:p w14:paraId="44FD227C">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(00:00～00:20)</w:t>
            </w:r>
          </w:p>
        </w:tc>
        <w:tc>
          <w:tcPr>
            <w:tcW w:w="1095" w:type="pct"/>
            <w:vAlign w:val="center"/>
          </w:tcPr>
          <w:p w14:paraId="68849734">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昼间</w:t>
            </w:r>
          </w:p>
          <w:p w14:paraId="0BECB0F3">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(10:00～10:20)</w:t>
            </w:r>
          </w:p>
        </w:tc>
        <w:tc>
          <w:tcPr>
            <w:tcW w:w="1013" w:type="pct"/>
            <w:vAlign w:val="center"/>
          </w:tcPr>
          <w:p w14:paraId="02769311">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夜间</w:t>
            </w:r>
          </w:p>
          <w:p w14:paraId="314374B8">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(00:00～00:20)</w:t>
            </w:r>
          </w:p>
        </w:tc>
      </w:tr>
      <w:tr w14:paraId="244EE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pct"/>
            <w:vMerge w:val="continue"/>
            <w:vAlign w:val="center"/>
          </w:tcPr>
          <w:p w14:paraId="7B454B9C">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016" w:type="pct"/>
            <w:vAlign w:val="center"/>
          </w:tcPr>
          <w:p w14:paraId="2C72A62B">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48.2</w:t>
            </w:r>
          </w:p>
        </w:tc>
        <w:tc>
          <w:tcPr>
            <w:tcW w:w="1017" w:type="pct"/>
            <w:vAlign w:val="center"/>
          </w:tcPr>
          <w:p w14:paraId="455D9B42">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43.6</w:t>
            </w:r>
          </w:p>
        </w:tc>
        <w:tc>
          <w:tcPr>
            <w:tcW w:w="1095" w:type="pct"/>
            <w:vAlign w:val="center"/>
          </w:tcPr>
          <w:p w14:paraId="331A1270">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47.9</w:t>
            </w:r>
          </w:p>
        </w:tc>
        <w:tc>
          <w:tcPr>
            <w:tcW w:w="1013" w:type="pct"/>
            <w:vAlign w:val="center"/>
          </w:tcPr>
          <w:p w14:paraId="0A4215E7">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43.9</w:t>
            </w:r>
          </w:p>
        </w:tc>
      </w:tr>
    </w:tbl>
    <w:p w14:paraId="035142E5">
      <w:pPr>
        <w:autoSpaceDE/>
        <w:autoSpaceDN/>
        <w:spacing w:line="440" w:lineRule="exact"/>
        <w:jc w:val="both"/>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t>4.3.4.2声环境质量现状评价</w:t>
      </w:r>
    </w:p>
    <w:p w14:paraId="5F7FF500">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0"/>
          <w:lang w:val="en-US" w:bidi="ar-SA"/>
          <w14:textFill>
            <w14:solidFill>
              <w14:schemeClr w14:val="tx1"/>
            </w14:solidFill>
          </w14:textFill>
        </w:rPr>
        <w:t>本项目评价范围内噪声源主要来自抽油机及场站，抽油机噪声源强为65~80dB(A)，为连续稳态声源，</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场站噪声主要为各类机泵噪声，</w:t>
      </w:r>
      <w:r>
        <w:rPr>
          <w:rFonts w:ascii="Times New Roman" w:hAnsi="Times New Roman" w:cs="Times New Roman" w:eastAsiaTheme="minorEastAsia"/>
          <w:bCs/>
          <w:color w:val="000000" w:themeColor="text1"/>
          <w:w w:val="99"/>
          <w:sz w:val="24"/>
          <w:szCs w:val="20"/>
          <w:lang w:val="en-US" w:bidi="ar-SA"/>
          <w14:textFill>
            <w14:solidFill>
              <w14:schemeClr w14:val="tx1"/>
            </w14:solidFill>
          </w14:textFill>
        </w:rPr>
        <w:t>源强</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约在80～85dB(A)之间，</w:t>
      </w:r>
      <w:r>
        <w:rPr>
          <w:rFonts w:ascii="Times New Roman" w:hAnsi="Times New Roman" w:cs="Times New Roman" w:eastAsiaTheme="minorEastAsia"/>
          <w:bCs/>
          <w:color w:val="000000" w:themeColor="text1"/>
          <w:w w:val="99"/>
          <w:sz w:val="24"/>
          <w:szCs w:val="20"/>
          <w:lang w:val="en-US" w:bidi="ar-SA"/>
          <w14:textFill>
            <w14:solidFill>
              <w14:schemeClr w14:val="tx1"/>
            </w14:solidFill>
          </w14:textFill>
        </w:rPr>
        <w:t>为连续稳态声源。</w:t>
      </w:r>
    </w:p>
    <w:p w14:paraId="4AE6E87A">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（1）评价标准</w:t>
      </w:r>
    </w:p>
    <w:p w14:paraId="17717B3F">
      <w:pPr>
        <w:autoSpaceDE/>
        <w:autoSpaceDN/>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根据项目区域声环境功能区划，本项目拟建混输</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阀组间</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区域声环境执行《声环境质量标准》（GB3096-2008）2类标准，</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项目区域周边声环境敏感点杏树岗村</w:t>
      </w:r>
      <w:r>
        <w:rPr>
          <w:rFonts w:ascii="Times New Roman" w:hAnsi="Times New Roman" w:cs="Times New Roman" w:eastAsiaTheme="minorEastAsia"/>
          <w:color w:val="000000" w:themeColor="text1"/>
          <w:w w:val="99"/>
          <w:kern w:val="2"/>
          <w:sz w:val="24"/>
          <w:szCs w:val="24"/>
          <w:lang w:val="en-US"/>
          <w14:textFill>
            <w14:solidFill>
              <w14:schemeClr w14:val="tx1"/>
            </w14:solidFill>
          </w14:textFill>
        </w:rPr>
        <w:t>声环境执行《声环境质量标准》（GB3096-2008）中1类标准</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w:t>
      </w:r>
    </w:p>
    <w:p w14:paraId="7791DB14">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（2）评价方法</w:t>
      </w:r>
    </w:p>
    <w:p w14:paraId="318E7B23">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声环境质量现状评价采用对标法进行评价。</w:t>
      </w:r>
    </w:p>
    <w:p w14:paraId="4216C4B5">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（3）评价结论</w:t>
      </w:r>
    </w:p>
    <w:p w14:paraId="7E85292B">
      <w:pPr>
        <w:autoSpaceDE/>
        <w:autoSpaceDN/>
        <w:spacing w:line="440" w:lineRule="exact"/>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由本项目区域声环境质量现状监测结果与执行评价标准限值对比分析可知，本项目拟建</w:t>
      </w:r>
      <w:r>
        <w:rPr>
          <w:rFonts w:hint="eastAsia" w:ascii="Times New Roman" w:hAnsi="Times New Roman" w:cs="Times New Roman" w:eastAsiaTheme="minorEastAsia"/>
          <w:color w:val="000000" w:themeColor="text1"/>
          <w:w w:val="99"/>
          <w:sz w:val="24"/>
          <w:szCs w:val="24"/>
          <w:lang w:val="en-US" w:bidi="ar-SA"/>
          <w14:textFill>
            <w14:solidFill>
              <w14:schemeClr w14:val="tx1"/>
            </w14:solidFill>
          </w14:textFill>
        </w:rPr>
        <w:t>混输阀组间</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区域声环境满足《声环境质量标准》（GB3096-2008）2类标准，</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项目区域周边声环境敏感点杏树岗村</w:t>
      </w:r>
      <w:r>
        <w:rPr>
          <w:rFonts w:ascii="Times New Roman" w:hAnsi="Times New Roman" w:cs="Times New Roman" w:eastAsiaTheme="minorEastAsia"/>
          <w:color w:val="000000" w:themeColor="text1"/>
          <w:w w:val="99"/>
          <w:kern w:val="2"/>
          <w:sz w:val="24"/>
          <w:szCs w:val="24"/>
          <w:lang w:val="en-US"/>
          <w14:textFill>
            <w14:solidFill>
              <w14:schemeClr w14:val="tx1"/>
            </w14:solidFill>
          </w14:textFill>
        </w:rPr>
        <w:t>声环境执行《声环境质量标准》（GB3096-2008）中1类标准</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w:t>
      </w:r>
    </w:p>
    <w:p w14:paraId="002898C1">
      <w:pPr>
        <w:pStyle w:val="101"/>
        <w:spacing w:before="120" w:after="48"/>
        <w:rPr>
          <w:color w:val="000000" w:themeColor="text1"/>
          <w14:textFill>
            <w14:solidFill>
              <w14:schemeClr w14:val="tx1"/>
            </w14:solidFill>
          </w14:textFill>
        </w:rPr>
      </w:pPr>
    </w:p>
    <w:p w14:paraId="6B37D73E">
      <w:pPr>
        <w:rPr>
          <w:color w:val="000000" w:themeColor="text1"/>
          <w:lang w:val="en-US" w:bidi="ar-SA"/>
          <w14:textFill>
            <w14:solidFill>
              <w14:schemeClr w14:val="tx1"/>
            </w14:solidFill>
          </w14:textFill>
        </w:rPr>
      </w:pPr>
    </w:p>
    <w:p w14:paraId="55895985">
      <w:pPr>
        <w:autoSpaceDE/>
        <w:autoSpaceDN/>
        <w:spacing w:line="440" w:lineRule="exact"/>
        <w:jc w:val="both"/>
        <w:outlineLvl w:val="2"/>
        <w:rPr>
          <w:rFonts w:ascii="Times New Roman" w:hAnsi="Times New Roman" w:cs="Times New Roman" w:eastAsiaTheme="minorEastAsia"/>
          <w:b/>
          <w:bCs/>
          <w:color w:val="000000" w:themeColor="text1"/>
          <w:w w:val="99"/>
          <w:kern w:val="2"/>
          <w:sz w:val="24"/>
          <w:szCs w:val="24"/>
          <w:lang w:val="en-US" w:bidi="ar-SA"/>
          <w14:textFill>
            <w14:solidFill>
              <w14:schemeClr w14:val="tx1"/>
            </w14:solidFill>
          </w14:textFill>
        </w:rPr>
      </w:pPr>
      <w:bookmarkStart w:id="347" w:name="_Toc41655203"/>
      <w:bookmarkStart w:id="348" w:name="_Toc117794582"/>
      <w:bookmarkStart w:id="349" w:name="_Toc78816503"/>
      <w:bookmarkStart w:id="350" w:name="_Toc57203288"/>
      <w:bookmarkStart w:id="351" w:name="_Toc80588298"/>
      <w:bookmarkStart w:id="352" w:name="_Toc103610913"/>
      <w:bookmarkStart w:id="353" w:name="_Toc1114"/>
      <w:bookmarkStart w:id="354" w:name="_Toc57707958"/>
      <w:bookmarkStart w:id="355" w:name="_Toc77067701"/>
      <w:bookmarkStart w:id="356" w:name="_Toc76976289"/>
      <w:bookmarkStart w:id="357" w:name="_Toc85640799"/>
      <w:bookmarkStart w:id="358" w:name="_Toc80971420"/>
      <w:bookmarkStart w:id="359" w:name="_Toc29642921"/>
      <w:bookmarkStart w:id="360" w:name="_Toc34124487"/>
      <w:bookmarkStart w:id="361" w:name="_Toc83209520"/>
      <w:bookmarkStart w:id="362" w:name="_Toc57976710"/>
      <w:bookmarkStart w:id="363" w:name="_Toc67860175"/>
      <w:bookmarkStart w:id="364" w:name="_Toc84929275"/>
      <w:bookmarkStart w:id="365" w:name="_Toc61597274"/>
      <w:bookmarkStart w:id="366" w:name="_Toc100822154"/>
      <w:bookmarkStart w:id="367" w:name="_Toc70050224"/>
      <w:bookmarkStart w:id="368" w:name="_Toc106810340"/>
      <w:bookmarkStart w:id="369" w:name="_Toc29644705"/>
      <w:bookmarkStart w:id="370" w:name="_Toc38545059"/>
      <w:bookmarkStart w:id="371" w:name="_Toc38296426"/>
      <w:bookmarkStart w:id="372" w:name="_Toc86141974"/>
      <w:bookmarkStart w:id="373" w:name="_Toc29643953"/>
      <w:r>
        <w:rPr>
          <w:rFonts w:ascii="Times New Roman" w:hAnsi="Times New Roman" w:cs="Times New Roman" w:eastAsiaTheme="minorEastAsia"/>
          <w:b/>
          <w:bCs/>
          <w:color w:val="000000" w:themeColor="text1"/>
          <w:w w:val="99"/>
          <w:kern w:val="2"/>
          <w:sz w:val="24"/>
          <w:szCs w:val="24"/>
          <w:lang w:val="en-US" w:bidi="ar-SA"/>
          <w14:textFill>
            <w14:solidFill>
              <w14:schemeClr w14:val="tx1"/>
            </w14:solidFill>
          </w14:textFill>
        </w:rPr>
        <w:t>4.3.5土壤质量现状监测与评价</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113C29BF">
      <w:pPr>
        <w:autoSpaceDE/>
        <w:autoSpaceDN/>
        <w:spacing w:line="440" w:lineRule="exact"/>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t>4.3.5.1土壤理化特性调查</w:t>
      </w:r>
    </w:p>
    <w:p w14:paraId="4C1A437A">
      <w:pPr>
        <w:autoSpaceDE/>
        <w:autoSpaceDN/>
        <w:spacing w:line="440" w:lineRule="exact"/>
        <w:ind w:firstLine="480"/>
        <w:jc w:val="both"/>
        <w:rPr>
          <w:rFonts w:ascii="Times New Roman" w:hAnsi="Times New Roman" w:cs="Times New Roman" w:eastAsiaTheme="minorEastAsia"/>
          <w:color w:val="000000" w:themeColor="text1"/>
          <w:w w:val="99"/>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0"/>
          <w:lang w:val="en-US" w:bidi="ar-SA"/>
          <w14:textFill>
            <w14:solidFill>
              <w14:schemeClr w14:val="tx1"/>
            </w14:solidFill>
          </w14:textFill>
        </w:rPr>
        <w:t>本项目评价范围内有风沙土及草甸土，在充分收集资料的基础上，根据土壤环境影响类型、建设项目特征与评价需要，有针对性地选择土壤理化特性调查内容，具体土壤理化特性调查见表4.3-18，区域内土壤构型（土壤剖面）见表4.3-19。</w:t>
      </w:r>
    </w:p>
    <w:p w14:paraId="269B76EA">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表4.3-18    土壤理化特性调查</w:t>
      </w:r>
    </w:p>
    <w:tbl>
      <w:tblPr>
        <w:tblStyle w:val="80"/>
        <w:tblW w:w="5000" w:type="pct"/>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0" w:type="dxa"/>
          <w:bottom w:w="0" w:type="dxa"/>
          <w:right w:w="0" w:type="dxa"/>
        </w:tblCellMar>
      </w:tblPr>
      <w:tblGrid>
        <w:gridCol w:w="1085"/>
        <w:gridCol w:w="2296"/>
        <w:gridCol w:w="1900"/>
        <w:gridCol w:w="1900"/>
        <w:gridCol w:w="1900"/>
      </w:tblGrid>
      <w:tr w14:paraId="2CC5B35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61" w:type="pct"/>
            <w:gridSpan w:val="2"/>
            <w:tcBorders>
              <w:bottom w:val="single" w:color="000000" w:sz="4" w:space="0"/>
              <w:right w:val="single" w:color="000000" w:sz="4" w:space="0"/>
            </w:tcBorders>
            <w:vAlign w:val="center"/>
          </w:tcPr>
          <w:p w14:paraId="7C4778DC">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时间</w:t>
            </w:r>
          </w:p>
        </w:tc>
        <w:tc>
          <w:tcPr>
            <w:tcW w:w="3139" w:type="pct"/>
            <w:gridSpan w:val="3"/>
            <w:tcBorders>
              <w:left w:val="nil"/>
              <w:bottom w:val="single" w:color="000000" w:sz="4" w:space="0"/>
            </w:tcBorders>
            <w:vAlign w:val="center"/>
          </w:tcPr>
          <w:p w14:paraId="5CF48CAD">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2022.10.16</w:t>
            </w:r>
          </w:p>
        </w:tc>
      </w:tr>
      <w:tr w14:paraId="5060760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61" w:type="pct"/>
            <w:gridSpan w:val="2"/>
            <w:tcBorders>
              <w:top w:val="single" w:color="000000" w:sz="4" w:space="0"/>
              <w:bottom w:val="single" w:color="000000" w:sz="4" w:space="0"/>
              <w:right w:val="single" w:color="000000" w:sz="4" w:space="0"/>
            </w:tcBorders>
            <w:vAlign w:val="center"/>
          </w:tcPr>
          <w:p w14:paraId="377D2EE6">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点号</w:t>
            </w:r>
          </w:p>
        </w:tc>
        <w:tc>
          <w:tcPr>
            <w:tcW w:w="3139" w:type="pct"/>
            <w:gridSpan w:val="3"/>
            <w:tcBorders>
              <w:top w:val="single" w:color="000000" w:sz="4" w:space="0"/>
              <w:left w:val="nil"/>
              <w:bottom w:val="single" w:color="000000" w:sz="4" w:space="0"/>
            </w:tcBorders>
            <w:vAlign w:val="center"/>
          </w:tcPr>
          <w:p w14:paraId="587D0CCA">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拟建混输阀组间占地内</w:t>
            </w:r>
          </w:p>
        </w:tc>
      </w:tr>
      <w:tr w14:paraId="20BD8DB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61" w:type="pct"/>
            <w:gridSpan w:val="2"/>
            <w:tcBorders>
              <w:top w:val="single" w:color="000000" w:sz="4" w:space="0"/>
              <w:bottom w:val="single" w:color="000000" w:sz="4" w:space="0"/>
              <w:right w:val="single" w:color="000000" w:sz="4" w:space="0"/>
            </w:tcBorders>
            <w:vAlign w:val="center"/>
          </w:tcPr>
          <w:p w14:paraId="1F9DB44E">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经纬度</w:t>
            </w:r>
          </w:p>
        </w:tc>
        <w:tc>
          <w:tcPr>
            <w:tcW w:w="3139" w:type="pct"/>
            <w:gridSpan w:val="3"/>
            <w:tcBorders>
              <w:top w:val="single" w:color="000000" w:sz="4" w:space="0"/>
              <w:left w:val="nil"/>
              <w:bottom w:val="single" w:color="000000" w:sz="4" w:space="0"/>
            </w:tcBorders>
            <w:vAlign w:val="center"/>
          </w:tcPr>
          <w:p w14:paraId="001AD72D">
            <w:pPr>
              <w:widowControl/>
              <w:autoSpaceDE/>
              <w:autoSpaceDN/>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124.407760 46.318029</w:t>
            </w:r>
          </w:p>
        </w:tc>
      </w:tr>
      <w:tr w14:paraId="08B3922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61" w:type="pct"/>
            <w:gridSpan w:val="2"/>
            <w:tcBorders>
              <w:top w:val="single" w:color="000000" w:sz="4" w:space="0"/>
              <w:bottom w:val="single" w:color="000000" w:sz="4" w:space="0"/>
              <w:right w:val="single" w:color="000000" w:sz="4" w:space="0"/>
            </w:tcBorders>
            <w:vAlign w:val="center"/>
          </w:tcPr>
          <w:p w14:paraId="22F2CAC7">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层次</w:t>
            </w:r>
          </w:p>
        </w:tc>
        <w:tc>
          <w:tcPr>
            <w:tcW w:w="1046" w:type="pct"/>
            <w:tcBorders>
              <w:top w:val="single" w:color="000000" w:sz="4" w:space="0"/>
              <w:left w:val="nil"/>
              <w:bottom w:val="single" w:color="000000" w:sz="4" w:space="0"/>
              <w:right w:val="single" w:color="000000" w:sz="4" w:space="0"/>
            </w:tcBorders>
            <w:vAlign w:val="center"/>
          </w:tcPr>
          <w:p w14:paraId="5759EA9D">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0-50cm</w:t>
            </w:r>
          </w:p>
        </w:tc>
        <w:tc>
          <w:tcPr>
            <w:tcW w:w="1046" w:type="pct"/>
            <w:tcBorders>
              <w:top w:val="single" w:color="000000" w:sz="4" w:space="0"/>
              <w:left w:val="nil"/>
              <w:bottom w:val="single" w:color="000000" w:sz="4" w:space="0"/>
            </w:tcBorders>
            <w:vAlign w:val="center"/>
          </w:tcPr>
          <w:p w14:paraId="2F8A7D53">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50-150cm</w:t>
            </w:r>
          </w:p>
        </w:tc>
        <w:tc>
          <w:tcPr>
            <w:tcW w:w="1046" w:type="pct"/>
            <w:tcBorders>
              <w:top w:val="single" w:color="000000" w:sz="4" w:space="0"/>
              <w:left w:val="nil"/>
              <w:bottom w:val="single" w:color="000000" w:sz="4" w:space="0"/>
            </w:tcBorders>
            <w:vAlign w:val="center"/>
          </w:tcPr>
          <w:p w14:paraId="6EF6AF64">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150-300cm</w:t>
            </w:r>
          </w:p>
        </w:tc>
      </w:tr>
      <w:tr w14:paraId="4C85BEE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8" w:type="pct"/>
            <w:vMerge w:val="restart"/>
            <w:tcBorders>
              <w:top w:val="nil"/>
              <w:bottom w:val="single" w:color="000000" w:sz="4" w:space="0"/>
              <w:right w:val="single" w:color="000000" w:sz="4" w:space="0"/>
            </w:tcBorders>
            <w:vAlign w:val="center"/>
          </w:tcPr>
          <w:p w14:paraId="6BFAC1B3">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p w14:paraId="0DE5E093">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现场记录</w:t>
            </w:r>
          </w:p>
        </w:tc>
        <w:tc>
          <w:tcPr>
            <w:tcW w:w="1264" w:type="pct"/>
            <w:tcBorders>
              <w:top w:val="single" w:color="000000" w:sz="4" w:space="0"/>
              <w:left w:val="nil"/>
              <w:bottom w:val="single" w:color="000000" w:sz="4" w:space="0"/>
              <w:right w:val="single" w:color="000000" w:sz="4" w:space="0"/>
            </w:tcBorders>
            <w:vAlign w:val="center"/>
          </w:tcPr>
          <w:p w14:paraId="46E51449">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颜色</w:t>
            </w:r>
          </w:p>
        </w:tc>
        <w:tc>
          <w:tcPr>
            <w:tcW w:w="1046" w:type="pct"/>
            <w:tcBorders>
              <w:top w:val="single" w:color="000000" w:sz="4" w:space="0"/>
              <w:left w:val="nil"/>
              <w:bottom w:val="single" w:color="000000" w:sz="4" w:space="0"/>
              <w:right w:val="single" w:color="000000" w:sz="4" w:space="0"/>
            </w:tcBorders>
            <w:vAlign w:val="center"/>
          </w:tcPr>
          <w:p w14:paraId="5D4806CA">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褐色</w:t>
            </w:r>
          </w:p>
        </w:tc>
        <w:tc>
          <w:tcPr>
            <w:tcW w:w="1046" w:type="pct"/>
            <w:tcBorders>
              <w:top w:val="single" w:color="000000" w:sz="4" w:space="0"/>
              <w:left w:val="nil"/>
              <w:bottom w:val="single" w:color="000000" w:sz="4" w:space="0"/>
            </w:tcBorders>
            <w:vAlign w:val="center"/>
          </w:tcPr>
          <w:p w14:paraId="2F395E28">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褐色</w:t>
            </w:r>
          </w:p>
        </w:tc>
        <w:tc>
          <w:tcPr>
            <w:tcW w:w="1046" w:type="pct"/>
            <w:tcBorders>
              <w:top w:val="single" w:color="000000" w:sz="4" w:space="0"/>
              <w:left w:val="nil"/>
              <w:bottom w:val="single" w:color="000000" w:sz="4" w:space="0"/>
            </w:tcBorders>
            <w:vAlign w:val="center"/>
          </w:tcPr>
          <w:p w14:paraId="46DDF827">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褐色</w:t>
            </w:r>
          </w:p>
        </w:tc>
      </w:tr>
      <w:tr w14:paraId="3C104B9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8" w:type="pct"/>
            <w:vMerge w:val="continue"/>
            <w:tcBorders>
              <w:top w:val="nil"/>
              <w:bottom w:val="single" w:color="000000" w:sz="4" w:space="0"/>
              <w:right w:val="single" w:color="000000" w:sz="4" w:space="0"/>
            </w:tcBorders>
            <w:vAlign w:val="center"/>
          </w:tcPr>
          <w:p w14:paraId="41FA138A">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264" w:type="pct"/>
            <w:tcBorders>
              <w:top w:val="single" w:color="000000" w:sz="4" w:space="0"/>
              <w:left w:val="nil"/>
              <w:bottom w:val="single" w:color="000000" w:sz="4" w:space="0"/>
              <w:right w:val="single" w:color="000000" w:sz="4" w:space="0"/>
            </w:tcBorders>
            <w:vAlign w:val="center"/>
          </w:tcPr>
          <w:p w14:paraId="31CC6AA1">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结构</w:t>
            </w:r>
          </w:p>
        </w:tc>
        <w:tc>
          <w:tcPr>
            <w:tcW w:w="1046" w:type="pct"/>
            <w:tcBorders>
              <w:top w:val="single" w:color="000000" w:sz="4" w:space="0"/>
              <w:left w:val="nil"/>
              <w:bottom w:val="single" w:color="000000" w:sz="4" w:space="0"/>
              <w:right w:val="single" w:color="000000" w:sz="4" w:space="0"/>
            </w:tcBorders>
            <w:vAlign w:val="center"/>
          </w:tcPr>
          <w:p w14:paraId="0A235FA2">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面状</w:t>
            </w:r>
          </w:p>
        </w:tc>
        <w:tc>
          <w:tcPr>
            <w:tcW w:w="1046" w:type="pct"/>
            <w:tcBorders>
              <w:top w:val="single" w:color="000000" w:sz="4" w:space="0"/>
              <w:left w:val="nil"/>
              <w:bottom w:val="single" w:color="000000" w:sz="4" w:space="0"/>
            </w:tcBorders>
            <w:vAlign w:val="center"/>
          </w:tcPr>
          <w:p w14:paraId="0A1885B9">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面状</w:t>
            </w:r>
          </w:p>
        </w:tc>
        <w:tc>
          <w:tcPr>
            <w:tcW w:w="1046" w:type="pct"/>
            <w:tcBorders>
              <w:top w:val="single" w:color="000000" w:sz="4" w:space="0"/>
              <w:left w:val="nil"/>
              <w:bottom w:val="single" w:color="000000" w:sz="4" w:space="0"/>
            </w:tcBorders>
            <w:vAlign w:val="center"/>
          </w:tcPr>
          <w:p w14:paraId="69CEC2B3">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面状</w:t>
            </w:r>
          </w:p>
        </w:tc>
      </w:tr>
      <w:tr w14:paraId="5808FF9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8" w:type="pct"/>
            <w:vMerge w:val="continue"/>
            <w:tcBorders>
              <w:top w:val="nil"/>
              <w:bottom w:val="single" w:color="000000" w:sz="4" w:space="0"/>
              <w:right w:val="single" w:color="000000" w:sz="4" w:space="0"/>
            </w:tcBorders>
            <w:vAlign w:val="center"/>
          </w:tcPr>
          <w:p w14:paraId="583064F3">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264" w:type="pct"/>
            <w:tcBorders>
              <w:top w:val="single" w:color="000000" w:sz="4" w:space="0"/>
              <w:left w:val="nil"/>
              <w:bottom w:val="single" w:color="000000" w:sz="4" w:space="0"/>
              <w:right w:val="single" w:color="000000" w:sz="4" w:space="0"/>
            </w:tcBorders>
            <w:vAlign w:val="center"/>
          </w:tcPr>
          <w:p w14:paraId="539DA59A">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质地</w:t>
            </w:r>
          </w:p>
        </w:tc>
        <w:tc>
          <w:tcPr>
            <w:tcW w:w="1046" w:type="pct"/>
            <w:tcBorders>
              <w:top w:val="single" w:color="000000" w:sz="4" w:space="0"/>
              <w:left w:val="nil"/>
              <w:bottom w:val="single" w:color="000000" w:sz="4" w:space="0"/>
              <w:right w:val="single" w:color="000000" w:sz="4" w:space="0"/>
            </w:tcBorders>
            <w:vAlign w:val="center"/>
          </w:tcPr>
          <w:p w14:paraId="61E6F14A">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壤土</w:t>
            </w:r>
          </w:p>
        </w:tc>
        <w:tc>
          <w:tcPr>
            <w:tcW w:w="1046" w:type="pct"/>
            <w:tcBorders>
              <w:top w:val="single" w:color="000000" w:sz="4" w:space="0"/>
              <w:left w:val="nil"/>
              <w:bottom w:val="single" w:color="000000" w:sz="4" w:space="0"/>
            </w:tcBorders>
            <w:vAlign w:val="center"/>
          </w:tcPr>
          <w:p w14:paraId="73C396BF">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壤土</w:t>
            </w:r>
          </w:p>
        </w:tc>
        <w:tc>
          <w:tcPr>
            <w:tcW w:w="1046" w:type="pct"/>
            <w:tcBorders>
              <w:top w:val="single" w:color="000000" w:sz="4" w:space="0"/>
              <w:left w:val="nil"/>
              <w:bottom w:val="single" w:color="000000" w:sz="4" w:space="0"/>
            </w:tcBorders>
            <w:vAlign w:val="center"/>
          </w:tcPr>
          <w:p w14:paraId="317B08AF">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壤土</w:t>
            </w:r>
          </w:p>
        </w:tc>
      </w:tr>
      <w:tr w14:paraId="16E20E7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8" w:type="pct"/>
            <w:vMerge w:val="continue"/>
            <w:tcBorders>
              <w:top w:val="nil"/>
              <w:bottom w:val="single" w:color="000000" w:sz="4" w:space="0"/>
              <w:right w:val="single" w:color="000000" w:sz="4" w:space="0"/>
            </w:tcBorders>
            <w:vAlign w:val="center"/>
          </w:tcPr>
          <w:p w14:paraId="6C42DBEF">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264" w:type="pct"/>
            <w:tcBorders>
              <w:top w:val="single" w:color="000000" w:sz="4" w:space="0"/>
              <w:left w:val="nil"/>
              <w:bottom w:val="single" w:color="000000" w:sz="4" w:space="0"/>
              <w:right w:val="single" w:color="000000" w:sz="4" w:space="0"/>
            </w:tcBorders>
            <w:vAlign w:val="center"/>
          </w:tcPr>
          <w:p w14:paraId="5BFC5EFA">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砂砾含量</w:t>
            </w:r>
          </w:p>
        </w:tc>
        <w:tc>
          <w:tcPr>
            <w:tcW w:w="1046" w:type="pct"/>
            <w:tcBorders>
              <w:top w:val="single" w:color="000000" w:sz="4" w:space="0"/>
              <w:left w:val="nil"/>
              <w:bottom w:val="single" w:color="000000" w:sz="4" w:space="0"/>
              <w:right w:val="single" w:color="000000" w:sz="4" w:space="0"/>
            </w:tcBorders>
            <w:vAlign w:val="center"/>
          </w:tcPr>
          <w:p w14:paraId="7BD48019">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25～45%</w:t>
            </w:r>
          </w:p>
        </w:tc>
        <w:tc>
          <w:tcPr>
            <w:tcW w:w="1046" w:type="pct"/>
            <w:tcBorders>
              <w:top w:val="single" w:color="000000" w:sz="4" w:space="0"/>
              <w:left w:val="nil"/>
              <w:bottom w:val="single" w:color="000000" w:sz="4" w:space="0"/>
            </w:tcBorders>
            <w:vAlign w:val="center"/>
          </w:tcPr>
          <w:p w14:paraId="224332C6">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25～45%</w:t>
            </w:r>
          </w:p>
        </w:tc>
        <w:tc>
          <w:tcPr>
            <w:tcW w:w="1046" w:type="pct"/>
            <w:tcBorders>
              <w:top w:val="single" w:color="000000" w:sz="4" w:space="0"/>
              <w:left w:val="nil"/>
              <w:bottom w:val="single" w:color="000000" w:sz="4" w:space="0"/>
            </w:tcBorders>
            <w:vAlign w:val="center"/>
          </w:tcPr>
          <w:p w14:paraId="06FF9ACB">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25～45%</w:t>
            </w:r>
          </w:p>
        </w:tc>
      </w:tr>
      <w:tr w14:paraId="2A82411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8" w:type="pct"/>
            <w:vMerge w:val="continue"/>
            <w:tcBorders>
              <w:top w:val="nil"/>
              <w:bottom w:val="single" w:color="000000" w:sz="4" w:space="0"/>
              <w:right w:val="single" w:color="000000" w:sz="4" w:space="0"/>
            </w:tcBorders>
            <w:vAlign w:val="center"/>
          </w:tcPr>
          <w:p w14:paraId="79512E29">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264" w:type="pct"/>
            <w:tcBorders>
              <w:top w:val="single" w:color="000000" w:sz="4" w:space="0"/>
              <w:left w:val="nil"/>
              <w:bottom w:val="single" w:color="000000" w:sz="4" w:space="0"/>
              <w:right w:val="single" w:color="000000" w:sz="4" w:space="0"/>
            </w:tcBorders>
            <w:vAlign w:val="center"/>
          </w:tcPr>
          <w:p w14:paraId="3A64D9AD">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其他异物</w:t>
            </w:r>
          </w:p>
        </w:tc>
        <w:tc>
          <w:tcPr>
            <w:tcW w:w="1046" w:type="pct"/>
            <w:tcBorders>
              <w:top w:val="single" w:color="000000" w:sz="4" w:space="0"/>
              <w:left w:val="nil"/>
              <w:bottom w:val="single" w:color="000000" w:sz="4" w:space="0"/>
              <w:right w:val="single" w:color="000000" w:sz="4" w:space="0"/>
            </w:tcBorders>
            <w:vAlign w:val="center"/>
          </w:tcPr>
          <w:p w14:paraId="49FF8236">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植物根系</w:t>
            </w:r>
          </w:p>
        </w:tc>
        <w:tc>
          <w:tcPr>
            <w:tcW w:w="1046" w:type="pct"/>
            <w:tcBorders>
              <w:top w:val="single" w:color="000000" w:sz="4" w:space="0"/>
              <w:left w:val="nil"/>
              <w:bottom w:val="single" w:color="000000" w:sz="4" w:space="0"/>
            </w:tcBorders>
            <w:vAlign w:val="center"/>
          </w:tcPr>
          <w:p w14:paraId="6A332C94">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1046" w:type="pct"/>
            <w:tcBorders>
              <w:top w:val="single" w:color="000000" w:sz="4" w:space="0"/>
              <w:left w:val="nil"/>
              <w:bottom w:val="single" w:color="000000" w:sz="4" w:space="0"/>
            </w:tcBorders>
            <w:vAlign w:val="center"/>
          </w:tcPr>
          <w:p w14:paraId="4842173C">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0ADC502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8" w:type="pct"/>
            <w:vMerge w:val="restart"/>
            <w:tcBorders>
              <w:top w:val="nil"/>
              <w:bottom w:val="single" w:color="000000" w:sz="4" w:space="0"/>
              <w:right w:val="single" w:color="000000" w:sz="4" w:space="0"/>
            </w:tcBorders>
            <w:vAlign w:val="center"/>
          </w:tcPr>
          <w:p w14:paraId="62082FED">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p w14:paraId="6F237AC0">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实验室测定</w:t>
            </w:r>
          </w:p>
        </w:tc>
        <w:tc>
          <w:tcPr>
            <w:tcW w:w="1264" w:type="pct"/>
            <w:tcBorders>
              <w:top w:val="single" w:color="000000" w:sz="4" w:space="0"/>
              <w:left w:val="nil"/>
              <w:bottom w:val="single" w:color="000000" w:sz="4" w:space="0"/>
              <w:right w:val="single" w:color="000000" w:sz="4" w:space="0"/>
            </w:tcBorders>
            <w:vAlign w:val="center"/>
          </w:tcPr>
          <w:p w14:paraId="3F2907EB">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pH 值</w:t>
            </w:r>
          </w:p>
        </w:tc>
        <w:tc>
          <w:tcPr>
            <w:tcW w:w="1046" w:type="pct"/>
            <w:tcBorders>
              <w:top w:val="single" w:color="000000" w:sz="4" w:space="0"/>
              <w:left w:val="nil"/>
              <w:bottom w:val="single" w:color="000000" w:sz="4" w:space="0"/>
              <w:right w:val="single" w:color="000000" w:sz="4" w:space="0"/>
            </w:tcBorders>
            <w:vAlign w:val="center"/>
          </w:tcPr>
          <w:p w14:paraId="24219911">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8.15</w:t>
            </w:r>
          </w:p>
        </w:tc>
        <w:tc>
          <w:tcPr>
            <w:tcW w:w="1046" w:type="pct"/>
            <w:tcBorders>
              <w:top w:val="single" w:color="000000" w:sz="4" w:space="0"/>
              <w:left w:val="nil"/>
              <w:bottom w:val="single" w:color="000000" w:sz="4" w:space="0"/>
            </w:tcBorders>
            <w:vAlign w:val="center"/>
          </w:tcPr>
          <w:p w14:paraId="37F9DAB9">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8.03</w:t>
            </w:r>
          </w:p>
        </w:tc>
        <w:tc>
          <w:tcPr>
            <w:tcW w:w="1046" w:type="pct"/>
            <w:tcBorders>
              <w:top w:val="single" w:color="000000" w:sz="4" w:space="0"/>
              <w:left w:val="nil"/>
              <w:bottom w:val="single" w:color="000000" w:sz="4" w:space="0"/>
            </w:tcBorders>
            <w:vAlign w:val="center"/>
          </w:tcPr>
          <w:p w14:paraId="0748B1DE">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7.95</w:t>
            </w:r>
          </w:p>
        </w:tc>
      </w:tr>
      <w:tr w14:paraId="4BC3443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8" w:type="pct"/>
            <w:vMerge w:val="continue"/>
            <w:tcBorders>
              <w:top w:val="nil"/>
              <w:bottom w:val="single" w:color="000000" w:sz="4" w:space="0"/>
              <w:right w:val="single" w:color="000000" w:sz="4" w:space="0"/>
            </w:tcBorders>
            <w:vAlign w:val="center"/>
          </w:tcPr>
          <w:p w14:paraId="40FB3B49">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264" w:type="pct"/>
            <w:tcBorders>
              <w:top w:val="single" w:color="000000" w:sz="4" w:space="0"/>
              <w:left w:val="nil"/>
              <w:bottom w:val="single" w:color="000000" w:sz="4" w:space="0"/>
              <w:right w:val="single" w:color="000000" w:sz="4" w:space="0"/>
            </w:tcBorders>
            <w:vAlign w:val="center"/>
          </w:tcPr>
          <w:p w14:paraId="011E40EE">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阳离子交换量(cmol+/kg)</w:t>
            </w:r>
          </w:p>
        </w:tc>
        <w:tc>
          <w:tcPr>
            <w:tcW w:w="1046" w:type="pct"/>
            <w:tcBorders>
              <w:top w:val="single" w:color="000000" w:sz="4" w:space="0"/>
              <w:left w:val="nil"/>
              <w:bottom w:val="single" w:color="000000" w:sz="4" w:space="0"/>
              <w:right w:val="single" w:color="000000" w:sz="4" w:space="0"/>
            </w:tcBorders>
            <w:vAlign w:val="center"/>
          </w:tcPr>
          <w:p w14:paraId="00ADA309">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12.8</w:t>
            </w:r>
          </w:p>
        </w:tc>
        <w:tc>
          <w:tcPr>
            <w:tcW w:w="1046" w:type="pct"/>
            <w:tcBorders>
              <w:top w:val="single" w:color="000000" w:sz="4" w:space="0"/>
              <w:left w:val="nil"/>
              <w:bottom w:val="single" w:color="000000" w:sz="4" w:space="0"/>
            </w:tcBorders>
            <w:vAlign w:val="center"/>
          </w:tcPr>
          <w:p w14:paraId="20544912">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11.9</w:t>
            </w:r>
          </w:p>
        </w:tc>
        <w:tc>
          <w:tcPr>
            <w:tcW w:w="1046" w:type="pct"/>
            <w:tcBorders>
              <w:top w:val="single" w:color="000000" w:sz="4" w:space="0"/>
              <w:left w:val="nil"/>
              <w:bottom w:val="single" w:color="000000" w:sz="4" w:space="0"/>
            </w:tcBorders>
            <w:vAlign w:val="center"/>
          </w:tcPr>
          <w:p w14:paraId="5C83EA60">
            <w:pPr>
              <w:widowControl/>
              <w:spacing w:line="320" w:lineRule="exact"/>
              <w:jc w:val="center"/>
              <w:textAlignment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13.0</w:t>
            </w:r>
          </w:p>
        </w:tc>
      </w:tr>
      <w:tr w14:paraId="189424E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8" w:type="pct"/>
            <w:vMerge w:val="continue"/>
            <w:tcBorders>
              <w:top w:val="nil"/>
              <w:bottom w:val="single" w:color="000000" w:sz="4" w:space="0"/>
              <w:right w:val="single" w:color="000000" w:sz="4" w:space="0"/>
            </w:tcBorders>
            <w:vAlign w:val="center"/>
          </w:tcPr>
          <w:p w14:paraId="1D1D0AB0">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264" w:type="pct"/>
            <w:tcBorders>
              <w:top w:val="single" w:color="000000" w:sz="4" w:space="0"/>
              <w:left w:val="nil"/>
              <w:bottom w:val="single" w:color="000000" w:sz="4" w:space="0"/>
              <w:right w:val="single" w:color="000000" w:sz="4" w:space="0"/>
            </w:tcBorders>
            <w:vAlign w:val="center"/>
          </w:tcPr>
          <w:p w14:paraId="7E2FBC74">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氧化还原电位（mv）</w:t>
            </w:r>
          </w:p>
        </w:tc>
        <w:tc>
          <w:tcPr>
            <w:tcW w:w="1046" w:type="pct"/>
            <w:tcBorders>
              <w:top w:val="single" w:color="000000" w:sz="4" w:space="0"/>
              <w:left w:val="nil"/>
              <w:bottom w:val="single" w:color="000000" w:sz="4" w:space="0"/>
              <w:right w:val="single" w:color="000000" w:sz="4" w:space="0"/>
            </w:tcBorders>
            <w:vAlign w:val="center"/>
          </w:tcPr>
          <w:p w14:paraId="085DA907">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188</w:t>
            </w:r>
          </w:p>
        </w:tc>
        <w:tc>
          <w:tcPr>
            <w:tcW w:w="1046" w:type="pct"/>
            <w:tcBorders>
              <w:top w:val="single" w:color="000000" w:sz="4" w:space="0"/>
              <w:left w:val="nil"/>
              <w:bottom w:val="single" w:color="000000" w:sz="4" w:space="0"/>
            </w:tcBorders>
            <w:vAlign w:val="center"/>
          </w:tcPr>
          <w:p w14:paraId="0C2A20D4">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201</w:t>
            </w:r>
          </w:p>
        </w:tc>
        <w:tc>
          <w:tcPr>
            <w:tcW w:w="1046" w:type="pct"/>
            <w:tcBorders>
              <w:top w:val="single" w:color="000000" w:sz="4" w:space="0"/>
              <w:left w:val="nil"/>
              <w:bottom w:val="single" w:color="000000" w:sz="4" w:space="0"/>
            </w:tcBorders>
            <w:vAlign w:val="center"/>
          </w:tcPr>
          <w:p w14:paraId="473A09BB">
            <w:pPr>
              <w:widowControl/>
              <w:spacing w:line="320" w:lineRule="exact"/>
              <w:jc w:val="center"/>
              <w:textAlignment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192</w:t>
            </w:r>
          </w:p>
        </w:tc>
      </w:tr>
      <w:tr w14:paraId="4932FFE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8" w:type="pct"/>
            <w:vMerge w:val="continue"/>
            <w:tcBorders>
              <w:top w:val="nil"/>
              <w:bottom w:val="single" w:color="000000" w:sz="4" w:space="0"/>
              <w:right w:val="single" w:color="000000" w:sz="4" w:space="0"/>
            </w:tcBorders>
            <w:vAlign w:val="center"/>
          </w:tcPr>
          <w:p w14:paraId="06595159">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264" w:type="pct"/>
            <w:tcBorders>
              <w:top w:val="single" w:color="000000" w:sz="4" w:space="0"/>
              <w:left w:val="nil"/>
              <w:bottom w:val="single" w:color="000000" w:sz="4" w:space="0"/>
              <w:right w:val="single" w:color="000000" w:sz="4" w:space="0"/>
            </w:tcBorders>
            <w:vAlign w:val="center"/>
          </w:tcPr>
          <w:p w14:paraId="2B926E1E">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饱和导水率(mmm/min)</w:t>
            </w:r>
          </w:p>
        </w:tc>
        <w:tc>
          <w:tcPr>
            <w:tcW w:w="1046" w:type="pct"/>
            <w:tcBorders>
              <w:top w:val="single" w:color="000000" w:sz="4" w:space="0"/>
              <w:left w:val="nil"/>
              <w:bottom w:val="single" w:color="000000" w:sz="4" w:space="0"/>
              <w:right w:val="single" w:color="000000" w:sz="4" w:space="0"/>
            </w:tcBorders>
            <w:vAlign w:val="center"/>
          </w:tcPr>
          <w:p w14:paraId="2B9743E0">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1.323</w:t>
            </w:r>
          </w:p>
        </w:tc>
        <w:tc>
          <w:tcPr>
            <w:tcW w:w="1046" w:type="pct"/>
            <w:tcBorders>
              <w:top w:val="single" w:color="000000" w:sz="4" w:space="0"/>
              <w:left w:val="nil"/>
              <w:bottom w:val="single" w:color="000000" w:sz="4" w:space="0"/>
            </w:tcBorders>
            <w:vAlign w:val="center"/>
          </w:tcPr>
          <w:p w14:paraId="6513AD15">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1.281</w:t>
            </w:r>
          </w:p>
        </w:tc>
        <w:tc>
          <w:tcPr>
            <w:tcW w:w="1046" w:type="pct"/>
            <w:tcBorders>
              <w:top w:val="single" w:color="000000" w:sz="4" w:space="0"/>
              <w:left w:val="nil"/>
              <w:bottom w:val="single" w:color="000000" w:sz="4" w:space="0"/>
            </w:tcBorders>
            <w:vAlign w:val="center"/>
          </w:tcPr>
          <w:p w14:paraId="3EE3EE1F">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1.267</w:t>
            </w:r>
          </w:p>
        </w:tc>
      </w:tr>
      <w:tr w14:paraId="03202E0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8" w:type="pct"/>
            <w:vMerge w:val="continue"/>
            <w:tcBorders>
              <w:top w:val="nil"/>
              <w:bottom w:val="single" w:color="000000" w:sz="4" w:space="0"/>
              <w:right w:val="single" w:color="000000" w:sz="4" w:space="0"/>
            </w:tcBorders>
            <w:vAlign w:val="center"/>
          </w:tcPr>
          <w:p w14:paraId="448FA57F">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264" w:type="pct"/>
            <w:tcBorders>
              <w:top w:val="single" w:color="000000" w:sz="4" w:space="0"/>
              <w:left w:val="nil"/>
              <w:bottom w:val="single" w:color="000000" w:sz="4" w:space="0"/>
              <w:right w:val="single" w:color="000000" w:sz="4" w:space="0"/>
            </w:tcBorders>
            <w:vAlign w:val="center"/>
          </w:tcPr>
          <w:p w14:paraId="55CCC08B">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土壤容重 (g/cm</w:t>
            </w:r>
            <w:r>
              <w:rPr>
                <w:rFonts w:ascii="Times New Roman" w:hAnsi="Times New Roman" w:cs="Times New Roman" w:eastAsiaTheme="minorEastAsia"/>
                <w:color w:val="000000" w:themeColor="text1"/>
                <w:w w:val="99"/>
                <w:sz w:val="21"/>
                <w:szCs w:val="21"/>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1046" w:type="pct"/>
            <w:tcBorders>
              <w:top w:val="single" w:color="000000" w:sz="4" w:space="0"/>
              <w:left w:val="nil"/>
              <w:bottom w:val="single" w:color="000000" w:sz="4" w:space="0"/>
              <w:right w:val="single" w:color="000000" w:sz="4" w:space="0"/>
            </w:tcBorders>
            <w:vAlign w:val="center"/>
          </w:tcPr>
          <w:p w14:paraId="2B03724F">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1.32</w:t>
            </w:r>
          </w:p>
        </w:tc>
        <w:tc>
          <w:tcPr>
            <w:tcW w:w="1046" w:type="pct"/>
            <w:tcBorders>
              <w:top w:val="single" w:color="000000" w:sz="4" w:space="0"/>
              <w:left w:val="nil"/>
              <w:bottom w:val="single" w:color="000000" w:sz="4" w:space="0"/>
            </w:tcBorders>
            <w:vAlign w:val="center"/>
          </w:tcPr>
          <w:p w14:paraId="3E45040F">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1.36</w:t>
            </w:r>
          </w:p>
        </w:tc>
        <w:tc>
          <w:tcPr>
            <w:tcW w:w="1046" w:type="pct"/>
            <w:tcBorders>
              <w:top w:val="single" w:color="000000" w:sz="4" w:space="0"/>
              <w:left w:val="nil"/>
              <w:bottom w:val="single" w:color="000000" w:sz="4" w:space="0"/>
            </w:tcBorders>
            <w:vAlign w:val="center"/>
          </w:tcPr>
          <w:p w14:paraId="78B99899">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1.27</w:t>
            </w:r>
          </w:p>
        </w:tc>
      </w:tr>
      <w:tr w14:paraId="3582DD0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8" w:type="pct"/>
            <w:vMerge w:val="continue"/>
            <w:tcBorders>
              <w:top w:val="nil"/>
              <w:right w:val="single" w:color="000000" w:sz="4" w:space="0"/>
            </w:tcBorders>
            <w:vAlign w:val="center"/>
          </w:tcPr>
          <w:p w14:paraId="0492938B">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264" w:type="pct"/>
            <w:tcBorders>
              <w:top w:val="single" w:color="000000" w:sz="4" w:space="0"/>
              <w:left w:val="nil"/>
              <w:right w:val="single" w:color="000000" w:sz="4" w:space="0"/>
            </w:tcBorders>
            <w:vAlign w:val="center"/>
          </w:tcPr>
          <w:p w14:paraId="0632FC8A">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孔隙度(%)</w:t>
            </w:r>
          </w:p>
        </w:tc>
        <w:tc>
          <w:tcPr>
            <w:tcW w:w="1046" w:type="pct"/>
            <w:tcBorders>
              <w:top w:val="single" w:color="000000" w:sz="4" w:space="0"/>
              <w:left w:val="nil"/>
              <w:right w:val="single" w:color="000000" w:sz="4" w:space="0"/>
            </w:tcBorders>
            <w:vAlign w:val="center"/>
          </w:tcPr>
          <w:p w14:paraId="6D0EF7B6">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50.2</w:t>
            </w:r>
          </w:p>
        </w:tc>
        <w:tc>
          <w:tcPr>
            <w:tcW w:w="1046" w:type="pct"/>
            <w:tcBorders>
              <w:top w:val="single" w:color="000000" w:sz="4" w:space="0"/>
              <w:left w:val="nil"/>
            </w:tcBorders>
            <w:vAlign w:val="center"/>
          </w:tcPr>
          <w:p w14:paraId="7241FDE6">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48.7</w:t>
            </w:r>
          </w:p>
        </w:tc>
        <w:tc>
          <w:tcPr>
            <w:tcW w:w="1046" w:type="pct"/>
            <w:tcBorders>
              <w:top w:val="single" w:color="000000" w:sz="4" w:space="0"/>
              <w:left w:val="nil"/>
            </w:tcBorders>
            <w:vAlign w:val="center"/>
          </w:tcPr>
          <w:p w14:paraId="68B6525E">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52.1</w:t>
            </w:r>
          </w:p>
        </w:tc>
      </w:tr>
      <w:tr w14:paraId="5826AA5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61" w:type="pct"/>
            <w:gridSpan w:val="2"/>
            <w:tcBorders>
              <w:top w:val="single" w:color="000000" w:sz="4" w:space="0"/>
              <w:bottom w:val="single" w:color="000000" w:sz="4" w:space="0"/>
              <w:right w:val="single" w:color="000000" w:sz="4" w:space="0"/>
            </w:tcBorders>
            <w:vAlign w:val="center"/>
          </w:tcPr>
          <w:p w14:paraId="7867340E">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点号</w:t>
            </w:r>
          </w:p>
        </w:tc>
        <w:tc>
          <w:tcPr>
            <w:tcW w:w="1046" w:type="pct"/>
            <w:tcBorders>
              <w:top w:val="single" w:color="000000" w:sz="4" w:space="0"/>
              <w:left w:val="nil"/>
              <w:bottom w:val="single" w:color="000000" w:sz="4" w:space="0"/>
            </w:tcBorders>
            <w:vAlign w:val="center"/>
          </w:tcPr>
          <w:p w14:paraId="2A44F25A">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杏树岗村</w:t>
            </w:r>
          </w:p>
        </w:tc>
        <w:tc>
          <w:tcPr>
            <w:tcW w:w="1046" w:type="pct"/>
            <w:tcBorders>
              <w:top w:val="single" w:color="000000" w:sz="4" w:space="0"/>
              <w:left w:val="nil"/>
              <w:bottom w:val="single" w:color="000000" w:sz="4" w:space="0"/>
            </w:tcBorders>
            <w:vAlign w:val="center"/>
          </w:tcPr>
          <w:p w14:paraId="32122483">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4号拉油点西侧100m草地</w:t>
            </w:r>
          </w:p>
        </w:tc>
        <w:tc>
          <w:tcPr>
            <w:tcW w:w="1046" w:type="pct"/>
            <w:tcBorders>
              <w:top w:val="single" w:color="000000" w:sz="4" w:space="0"/>
              <w:left w:val="nil"/>
              <w:bottom w:val="single" w:color="000000" w:sz="4" w:space="0"/>
            </w:tcBorders>
            <w:vAlign w:val="center"/>
          </w:tcPr>
          <w:p w14:paraId="7D0F89CE">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龙242-1拉油点东北侧100m耕地</w:t>
            </w:r>
          </w:p>
        </w:tc>
      </w:tr>
      <w:tr w14:paraId="2A93F5C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61" w:type="pct"/>
            <w:gridSpan w:val="2"/>
            <w:tcBorders>
              <w:top w:val="single" w:color="000000" w:sz="4" w:space="0"/>
              <w:bottom w:val="single" w:color="000000" w:sz="4" w:space="0"/>
              <w:right w:val="single" w:color="000000" w:sz="4" w:space="0"/>
            </w:tcBorders>
            <w:vAlign w:val="center"/>
          </w:tcPr>
          <w:p w14:paraId="5E615A84">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经纬度</w:t>
            </w:r>
          </w:p>
        </w:tc>
        <w:tc>
          <w:tcPr>
            <w:tcW w:w="1046" w:type="pct"/>
            <w:tcBorders>
              <w:top w:val="single" w:color="000000" w:sz="4" w:space="0"/>
              <w:left w:val="nil"/>
              <w:bottom w:val="single" w:color="000000" w:sz="4" w:space="0"/>
            </w:tcBorders>
            <w:vAlign w:val="center"/>
          </w:tcPr>
          <w:p w14:paraId="57DA5969">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124.427577 46.311351</w:t>
            </w:r>
          </w:p>
        </w:tc>
        <w:tc>
          <w:tcPr>
            <w:tcW w:w="1046" w:type="pct"/>
            <w:tcBorders>
              <w:top w:val="single" w:color="000000" w:sz="4" w:space="0"/>
              <w:left w:val="nil"/>
              <w:bottom w:val="single" w:color="000000" w:sz="4" w:space="0"/>
            </w:tcBorders>
            <w:vAlign w:val="center"/>
          </w:tcPr>
          <w:p w14:paraId="6EA4FAB7">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124.408434 46.350408</w:t>
            </w:r>
          </w:p>
        </w:tc>
        <w:tc>
          <w:tcPr>
            <w:tcW w:w="1046" w:type="pct"/>
            <w:tcBorders>
              <w:top w:val="single" w:color="000000" w:sz="4" w:space="0"/>
              <w:left w:val="nil"/>
              <w:bottom w:val="single" w:color="000000" w:sz="4" w:space="0"/>
            </w:tcBorders>
            <w:vAlign w:val="center"/>
          </w:tcPr>
          <w:p w14:paraId="4A333C0F">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124.409690 46.297876</w:t>
            </w:r>
          </w:p>
        </w:tc>
      </w:tr>
      <w:tr w14:paraId="3ED7120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61" w:type="pct"/>
            <w:gridSpan w:val="2"/>
            <w:tcBorders>
              <w:top w:val="single" w:color="000000" w:sz="4" w:space="0"/>
              <w:bottom w:val="single" w:color="000000" w:sz="4" w:space="0"/>
              <w:right w:val="single" w:color="000000" w:sz="4" w:space="0"/>
            </w:tcBorders>
            <w:vAlign w:val="center"/>
          </w:tcPr>
          <w:p w14:paraId="09487D1B">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层次</w:t>
            </w:r>
          </w:p>
        </w:tc>
        <w:tc>
          <w:tcPr>
            <w:tcW w:w="1046" w:type="pct"/>
            <w:tcBorders>
              <w:top w:val="single" w:color="000000" w:sz="4" w:space="0"/>
              <w:left w:val="nil"/>
              <w:bottom w:val="single" w:color="000000" w:sz="4" w:space="0"/>
              <w:right w:val="single" w:color="000000" w:sz="4" w:space="0"/>
            </w:tcBorders>
            <w:vAlign w:val="center"/>
          </w:tcPr>
          <w:p w14:paraId="3CF435EC">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0-20cm</w:t>
            </w:r>
          </w:p>
        </w:tc>
        <w:tc>
          <w:tcPr>
            <w:tcW w:w="1046" w:type="pct"/>
            <w:tcBorders>
              <w:top w:val="single" w:color="000000" w:sz="4" w:space="0"/>
              <w:left w:val="nil"/>
              <w:bottom w:val="single" w:color="000000" w:sz="4" w:space="0"/>
            </w:tcBorders>
            <w:vAlign w:val="center"/>
          </w:tcPr>
          <w:p w14:paraId="7FC572A7">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0-20cm</w:t>
            </w:r>
          </w:p>
        </w:tc>
        <w:tc>
          <w:tcPr>
            <w:tcW w:w="1046" w:type="pct"/>
            <w:tcBorders>
              <w:top w:val="single" w:color="000000" w:sz="4" w:space="0"/>
              <w:left w:val="nil"/>
              <w:bottom w:val="single" w:color="000000" w:sz="4" w:space="0"/>
            </w:tcBorders>
            <w:vAlign w:val="center"/>
          </w:tcPr>
          <w:p w14:paraId="54CC5B4A">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0-20cm</w:t>
            </w:r>
          </w:p>
        </w:tc>
      </w:tr>
      <w:tr w14:paraId="62F3CF8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8" w:type="pct"/>
            <w:vMerge w:val="restart"/>
            <w:tcBorders>
              <w:top w:val="nil"/>
              <w:bottom w:val="single" w:color="000000" w:sz="4" w:space="0"/>
              <w:right w:val="single" w:color="000000" w:sz="4" w:space="0"/>
            </w:tcBorders>
            <w:vAlign w:val="center"/>
          </w:tcPr>
          <w:p w14:paraId="5BDA8E52">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p w14:paraId="6A92D773">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现场记录</w:t>
            </w:r>
          </w:p>
        </w:tc>
        <w:tc>
          <w:tcPr>
            <w:tcW w:w="1264" w:type="pct"/>
            <w:tcBorders>
              <w:top w:val="single" w:color="000000" w:sz="4" w:space="0"/>
              <w:left w:val="nil"/>
              <w:bottom w:val="single" w:color="000000" w:sz="4" w:space="0"/>
              <w:right w:val="single" w:color="000000" w:sz="4" w:space="0"/>
            </w:tcBorders>
            <w:vAlign w:val="center"/>
          </w:tcPr>
          <w:p w14:paraId="1E6033B1">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颜色</w:t>
            </w:r>
          </w:p>
        </w:tc>
        <w:tc>
          <w:tcPr>
            <w:tcW w:w="1046" w:type="pct"/>
            <w:tcBorders>
              <w:top w:val="single" w:color="000000" w:sz="4" w:space="0"/>
              <w:left w:val="nil"/>
              <w:bottom w:val="single" w:color="000000" w:sz="4" w:space="0"/>
              <w:right w:val="single" w:color="000000" w:sz="4" w:space="0"/>
            </w:tcBorders>
            <w:vAlign w:val="center"/>
          </w:tcPr>
          <w:p w14:paraId="6BABC9C4">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褐色</w:t>
            </w:r>
          </w:p>
        </w:tc>
        <w:tc>
          <w:tcPr>
            <w:tcW w:w="1046" w:type="pct"/>
            <w:tcBorders>
              <w:top w:val="single" w:color="000000" w:sz="4" w:space="0"/>
              <w:left w:val="nil"/>
              <w:bottom w:val="single" w:color="000000" w:sz="4" w:space="0"/>
            </w:tcBorders>
            <w:vAlign w:val="center"/>
          </w:tcPr>
          <w:p w14:paraId="38685472">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褐色</w:t>
            </w:r>
          </w:p>
        </w:tc>
        <w:tc>
          <w:tcPr>
            <w:tcW w:w="1046" w:type="pct"/>
            <w:tcBorders>
              <w:top w:val="single" w:color="000000" w:sz="4" w:space="0"/>
              <w:left w:val="nil"/>
              <w:bottom w:val="single" w:color="000000" w:sz="4" w:space="0"/>
            </w:tcBorders>
            <w:vAlign w:val="center"/>
          </w:tcPr>
          <w:p w14:paraId="157C7727">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褐色</w:t>
            </w:r>
          </w:p>
        </w:tc>
      </w:tr>
      <w:tr w14:paraId="4D65D0B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8" w:type="pct"/>
            <w:vMerge w:val="continue"/>
            <w:tcBorders>
              <w:top w:val="nil"/>
              <w:bottom w:val="single" w:color="000000" w:sz="4" w:space="0"/>
              <w:right w:val="single" w:color="000000" w:sz="4" w:space="0"/>
            </w:tcBorders>
            <w:vAlign w:val="center"/>
          </w:tcPr>
          <w:p w14:paraId="3E6E8A39">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264" w:type="pct"/>
            <w:tcBorders>
              <w:top w:val="single" w:color="000000" w:sz="4" w:space="0"/>
              <w:left w:val="nil"/>
              <w:bottom w:val="single" w:color="000000" w:sz="4" w:space="0"/>
              <w:right w:val="single" w:color="000000" w:sz="4" w:space="0"/>
            </w:tcBorders>
            <w:vAlign w:val="center"/>
          </w:tcPr>
          <w:p w14:paraId="31B98E6A">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结构</w:t>
            </w:r>
          </w:p>
        </w:tc>
        <w:tc>
          <w:tcPr>
            <w:tcW w:w="1046" w:type="pct"/>
            <w:tcBorders>
              <w:top w:val="single" w:color="000000" w:sz="4" w:space="0"/>
              <w:left w:val="nil"/>
              <w:bottom w:val="single" w:color="000000" w:sz="4" w:space="0"/>
              <w:right w:val="single" w:color="000000" w:sz="4" w:space="0"/>
            </w:tcBorders>
            <w:vAlign w:val="center"/>
          </w:tcPr>
          <w:p w14:paraId="36994CF4">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面状</w:t>
            </w:r>
          </w:p>
        </w:tc>
        <w:tc>
          <w:tcPr>
            <w:tcW w:w="1046" w:type="pct"/>
            <w:tcBorders>
              <w:top w:val="single" w:color="000000" w:sz="4" w:space="0"/>
              <w:left w:val="nil"/>
              <w:bottom w:val="single" w:color="000000" w:sz="4" w:space="0"/>
            </w:tcBorders>
            <w:vAlign w:val="center"/>
          </w:tcPr>
          <w:p w14:paraId="3229FB51">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面状</w:t>
            </w:r>
          </w:p>
        </w:tc>
        <w:tc>
          <w:tcPr>
            <w:tcW w:w="1046" w:type="pct"/>
            <w:tcBorders>
              <w:top w:val="single" w:color="000000" w:sz="4" w:space="0"/>
              <w:left w:val="nil"/>
              <w:bottom w:val="single" w:color="000000" w:sz="4" w:space="0"/>
            </w:tcBorders>
            <w:vAlign w:val="center"/>
          </w:tcPr>
          <w:p w14:paraId="0F9B21A1">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面状</w:t>
            </w:r>
          </w:p>
        </w:tc>
      </w:tr>
      <w:tr w14:paraId="67A1DFF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8" w:type="pct"/>
            <w:vMerge w:val="continue"/>
            <w:tcBorders>
              <w:top w:val="nil"/>
              <w:bottom w:val="single" w:color="000000" w:sz="4" w:space="0"/>
              <w:right w:val="single" w:color="000000" w:sz="4" w:space="0"/>
            </w:tcBorders>
            <w:vAlign w:val="center"/>
          </w:tcPr>
          <w:p w14:paraId="5605C5CA">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264" w:type="pct"/>
            <w:tcBorders>
              <w:top w:val="single" w:color="000000" w:sz="4" w:space="0"/>
              <w:left w:val="nil"/>
              <w:bottom w:val="single" w:color="000000" w:sz="4" w:space="0"/>
              <w:right w:val="single" w:color="000000" w:sz="4" w:space="0"/>
            </w:tcBorders>
            <w:vAlign w:val="center"/>
          </w:tcPr>
          <w:p w14:paraId="3681BC23">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质地</w:t>
            </w:r>
          </w:p>
        </w:tc>
        <w:tc>
          <w:tcPr>
            <w:tcW w:w="1046" w:type="pct"/>
            <w:tcBorders>
              <w:top w:val="single" w:color="000000" w:sz="4" w:space="0"/>
              <w:left w:val="nil"/>
              <w:bottom w:val="single" w:color="000000" w:sz="4" w:space="0"/>
              <w:right w:val="single" w:color="000000" w:sz="4" w:space="0"/>
            </w:tcBorders>
            <w:vAlign w:val="center"/>
          </w:tcPr>
          <w:p w14:paraId="2A1B57D1">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壤土</w:t>
            </w:r>
          </w:p>
        </w:tc>
        <w:tc>
          <w:tcPr>
            <w:tcW w:w="1046" w:type="pct"/>
            <w:tcBorders>
              <w:top w:val="single" w:color="000000" w:sz="4" w:space="0"/>
              <w:left w:val="nil"/>
              <w:bottom w:val="single" w:color="000000" w:sz="4" w:space="0"/>
            </w:tcBorders>
            <w:vAlign w:val="center"/>
          </w:tcPr>
          <w:p w14:paraId="7604C33D">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壤土</w:t>
            </w:r>
          </w:p>
        </w:tc>
        <w:tc>
          <w:tcPr>
            <w:tcW w:w="1046" w:type="pct"/>
            <w:tcBorders>
              <w:top w:val="single" w:color="000000" w:sz="4" w:space="0"/>
              <w:left w:val="nil"/>
              <w:bottom w:val="single" w:color="000000" w:sz="4" w:space="0"/>
            </w:tcBorders>
            <w:vAlign w:val="center"/>
          </w:tcPr>
          <w:p w14:paraId="2FC304F4">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壤土</w:t>
            </w:r>
          </w:p>
        </w:tc>
      </w:tr>
      <w:tr w14:paraId="06EBB58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8" w:type="pct"/>
            <w:vMerge w:val="continue"/>
            <w:tcBorders>
              <w:top w:val="nil"/>
              <w:bottom w:val="single" w:color="000000" w:sz="4" w:space="0"/>
              <w:right w:val="single" w:color="000000" w:sz="4" w:space="0"/>
            </w:tcBorders>
            <w:vAlign w:val="center"/>
          </w:tcPr>
          <w:p w14:paraId="481A63C5">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264" w:type="pct"/>
            <w:tcBorders>
              <w:top w:val="single" w:color="000000" w:sz="4" w:space="0"/>
              <w:left w:val="nil"/>
              <w:bottom w:val="single" w:color="000000" w:sz="4" w:space="0"/>
              <w:right w:val="single" w:color="000000" w:sz="4" w:space="0"/>
            </w:tcBorders>
            <w:vAlign w:val="center"/>
          </w:tcPr>
          <w:p w14:paraId="37725043">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砂砾含量</w:t>
            </w:r>
          </w:p>
        </w:tc>
        <w:tc>
          <w:tcPr>
            <w:tcW w:w="1046" w:type="pct"/>
            <w:tcBorders>
              <w:top w:val="single" w:color="000000" w:sz="4" w:space="0"/>
              <w:left w:val="nil"/>
              <w:bottom w:val="single" w:color="000000" w:sz="4" w:space="0"/>
              <w:right w:val="single" w:color="000000" w:sz="4" w:space="0"/>
            </w:tcBorders>
            <w:vAlign w:val="center"/>
          </w:tcPr>
          <w:p w14:paraId="377DF00F">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25～45%</w:t>
            </w:r>
          </w:p>
        </w:tc>
        <w:tc>
          <w:tcPr>
            <w:tcW w:w="1046" w:type="pct"/>
            <w:tcBorders>
              <w:top w:val="single" w:color="000000" w:sz="4" w:space="0"/>
              <w:left w:val="nil"/>
              <w:bottom w:val="single" w:color="000000" w:sz="4" w:space="0"/>
            </w:tcBorders>
            <w:vAlign w:val="center"/>
          </w:tcPr>
          <w:p w14:paraId="756F417E">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25～45%</w:t>
            </w:r>
          </w:p>
        </w:tc>
        <w:tc>
          <w:tcPr>
            <w:tcW w:w="1046" w:type="pct"/>
            <w:tcBorders>
              <w:top w:val="single" w:color="000000" w:sz="4" w:space="0"/>
              <w:left w:val="nil"/>
              <w:bottom w:val="single" w:color="000000" w:sz="4" w:space="0"/>
            </w:tcBorders>
            <w:vAlign w:val="center"/>
          </w:tcPr>
          <w:p w14:paraId="48307B01">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25～45%</w:t>
            </w:r>
          </w:p>
        </w:tc>
      </w:tr>
      <w:tr w14:paraId="3004714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8" w:type="pct"/>
            <w:vMerge w:val="continue"/>
            <w:tcBorders>
              <w:top w:val="nil"/>
              <w:bottom w:val="single" w:color="000000" w:sz="4" w:space="0"/>
              <w:right w:val="single" w:color="000000" w:sz="4" w:space="0"/>
            </w:tcBorders>
            <w:vAlign w:val="center"/>
          </w:tcPr>
          <w:p w14:paraId="1B9EA4B4">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264" w:type="pct"/>
            <w:tcBorders>
              <w:top w:val="single" w:color="000000" w:sz="4" w:space="0"/>
              <w:left w:val="nil"/>
              <w:bottom w:val="single" w:color="000000" w:sz="4" w:space="0"/>
              <w:right w:val="single" w:color="000000" w:sz="4" w:space="0"/>
            </w:tcBorders>
            <w:vAlign w:val="center"/>
          </w:tcPr>
          <w:p w14:paraId="30213F85">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其他异物</w:t>
            </w:r>
          </w:p>
        </w:tc>
        <w:tc>
          <w:tcPr>
            <w:tcW w:w="1046" w:type="pct"/>
            <w:tcBorders>
              <w:top w:val="single" w:color="000000" w:sz="4" w:space="0"/>
              <w:left w:val="nil"/>
              <w:bottom w:val="single" w:color="000000" w:sz="4" w:space="0"/>
              <w:right w:val="single" w:color="000000" w:sz="4" w:space="0"/>
            </w:tcBorders>
            <w:vAlign w:val="center"/>
          </w:tcPr>
          <w:p w14:paraId="068E98A7">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植物根系</w:t>
            </w:r>
          </w:p>
        </w:tc>
        <w:tc>
          <w:tcPr>
            <w:tcW w:w="1046" w:type="pct"/>
            <w:tcBorders>
              <w:top w:val="single" w:color="000000" w:sz="4" w:space="0"/>
              <w:left w:val="nil"/>
              <w:bottom w:val="single" w:color="000000" w:sz="4" w:space="0"/>
            </w:tcBorders>
            <w:vAlign w:val="center"/>
          </w:tcPr>
          <w:p w14:paraId="2782EF26">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植物根系</w:t>
            </w:r>
          </w:p>
        </w:tc>
        <w:tc>
          <w:tcPr>
            <w:tcW w:w="1046" w:type="pct"/>
            <w:tcBorders>
              <w:top w:val="single" w:color="000000" w:sz="4" w:space="0"/>
              <w:left w:val="nil"/>
              <w:bottom w:val="single" w:color="000000" w:sz="4" w:space="0"/>
            </w:tcBorders>
            <w:vAlign w:val="center"/>
          </w:tcPr>
          <w:p w14:paraId="651D4C49">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植物根系</w:t>
            </w:r>
          </w:p>
        </w:tc>
      </w:tr>
      <w:tr w14:paraId="5ED395B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8" w:type="pct"/>
            <w:vMerge w:val="restart"/>
            <w:tcBorders>
              <w:top w:val="nil"/>
              <w:bottom w:val="single" w:color="000000" w:sz="4" w:space="0"/>
              <w:right w:val="single" w:color="000000" w:sz="4" w:space="0"/>
            </w:tcBorders>
            <w:vAlign w:val="center"/>
          </w:tcPr>
          <w:p w14:paraId="357B5637">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p w14:paraId="57A73B25">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实验室测定</w:t>
            </w:r>
          </w:p>
        </w:tc>
        <w:tc>
          <w:tcPr>
            <w:tcW w:w="1264" w:type="pct"/>
            <w:tcBorders>
              <w:top w:val="single" w:color="000000" w:sz="4" w:space="0"/>
              <w:left w:val="nil"/>
              <w:bottom w:val="single" w:color="000000" w:sz="4" w:space="0"/>
              <w:right w:val="single" w:color="000000" w:sz="4" w:space="0"/>
            </w:tcBorders>
            <w:vAlign w:val="center"/>
          </w:tcPr>
          <w:p w14:paraId="4594D900">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pH值</w:t>
            </w:r>
          </w:p>
        </w:tc>
        <w:tc>
          <w:tcPr>
            <w:tcW w:w="1046" w:type="pct"/>
            <w:tcBorders>
              <w:top w:val="single" w:color="000000" w:sz="4" w:space="0"/>
              <w:left w:val="nil"/>
              <w:bottom w:val="single" w:color="000000" w:sz="4" w:space="0"/>
              <w:right w:val="single" w:color="000000" w:sz="4" w:space="0"/>
            </w:tcBorders>
            <w:vAlign w:val="center"/>
          </w:tcPr>
          <w:p w14:paraId="7A55B7AD">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7.81</w:t>
            </w:r>
          </w:p>
        </w:tc>
        <w:tc>
          <w:tcPr>
            <w:tcW w:w="1046" w:type="pct"/>
            <w:tcBorders>
              <w:top w:val="single" w:color="000000" w:sz="4" w:space="0"/>
              <w:left w:val="nil"/>
              <w:bottom w:val="single" w:color="000000" w:sz="4" w:space="0"/>
            </w:tcBorders>
            <w:vAlign w:val="center"/>
          </w:tcPr>
          <w:p w14:paraId="45747084">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7.89</w:t>
            </w:r>
          </w:p>
        </w:tc>
        <w:tc>
          <w:tcPr>
            <w:tcW w:w="1046" w:type="pct"/>
            <w:tcBorders>
              <w:top w:val="single" w:color="000000" w:sz="4" w:space="0"/>
              <w:left w:val="nil"/>
              <w:bottom w:val="single" w:color="000000" w:sz="4" w:space="0"/>
            </w:tcBorders>
            <w:vAlign w:val="center"/>
          </w:tcPr>
          <w:p w14:paraId="1F0D5DC8">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8.07</w:t>
            </w:r>
          </w:p>
        </w:tc>
      </w:tr>
      <w:tr w14:paraId="54919BC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8" w:type="pct"/>
            <w:vMerge w:val="continue"/>
            <w:tcBorders>
              <w:top w:val="nil"/>
              <w:bottom w:val="single" w:color="000000" w:sz="4" w:space="0"/>
              <w:right w:val="single" w:color="000000" w:sz="4" w:space="0"/>
            </w:tcBorders>
            <w:vAlign w:val="center"/>
          </w:tcPr>
          <w:p w14:paraId="7623D2C3">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264" w:type="pct"/>
            <w:tcBorders>
              <w:top w:val="single" w:color="000000" w:sz="4" w:space="0"/>
              <w:left w:val="nil"/>
              <w:bottom w:val="single" w:color="000000" w:sz="4" w:space="0"/>
              <w:right w:val="single" w:color="000000" w:sz="4" w:space="0"/>
            </w:tcBorders>
            <w:vAlign w:val="center"/>
          </w:tcPr>
          <w:p w14:paraId="57598D02">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阳离子交换量(</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cmol+/kg)</w:t>
            </w:r>
          </w:p>
        </w:tc>
        <w:tc>
          <w:tcPr>
            <w:tcW w:w="1046" w:type="pct"/>
            <w:tcBorders>
              <w:top w:val="single" w:color="000000" w:sz="4" w:space="0"/>
              <w:left w:val="nil"/>
              <w:bottom w:val="single" w:color="000000" w:sz="4" w:space="0"/>
              <w:right w:val="single" w:color="000000" w:sz="4" w:space="0"/>
            </w:tcBorders>
            <w:vAlign w:val="center"/>
          </w:tcPr>
          <w:p w14:paraId="21835D78">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11.5</w:t>
            </w:r>
          </w:p>
        </w:tc>
        <w:tc>
          <w:tcPr>
            <w:tcW w:w="1046" w:type="pct"/>
            <w:tcBorders>
              <w:top w:val="single" w:color="000000" w:sz="4" w:space="0"/>
              <w:left w:val="nil"/>
              <w:bottom w:val="single" w:color="000000" w:sz="4" w:space="0"/>
            </w:tcBorders>
            <w:vAlign w:val="center"/>
          </w:tcPr>
          <w:p w14:paraId="47A592F8">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13.4</w:t>
            </w:r>
          </w:p>
        </w:tc>
        <w:tc>
          <w:tcPr>
            <w:tcW w:w="1046" w:type="pct"/>
            <w:tcBorders>
              <w:top w:val="single" w:color="000000" w:sz="4" w:space="0"/>
              <w:left w:val="nil"/>
              <w:bottom w:val="single" w:color="000000" w:sz="4" w:space="0"/>
            </w:tcBorders>
            <w:vAlign w:val="center"/>
          </w:tcPr>
          <w:p w14:paraId="36040DC9">
            <w:pPr>
              <w:widowControl/>
              <w:spacing w:line="320" w:lineRule="exact"/>
              <w:jc w:val="center"/>
              <w:textAlignment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12.6</w:t>
            </w:r>
          </w:p>
        </w:tc>
      </w:tr>
      <w:tr w14:paraId="3791196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8" w:type="pct"/>
            <w:vMerge w:val="continue"/>
            <w:tcBorders>
              <w:top w:val="nil"/>
              <w:bottom w:val="single" w:color="000000" w:sz="4" w:space="0"/>
              <w:right w:val="single" w:color="000000" w:sz="4" w:space="0"/>
            </w:tcBorders>
            <w:vAlign w:val="center"/>
          </w:tcPr>
          <w:p w14:paraId="71111CBE">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264" w:type="pct"/>
            <w:tcBorders>
              <w:top w:val="single" w:color="000000" w:sz="4" w:space="0"/>
              <w:left w:val="nil"/>
              <w:bottom w:val="single" w:color="000000" w:sz="4" w:space="0"/>
              <w:right w:val="single" w:color="000000" w:sz="4" w:space="0"/>
            </w:tcBorders>
            <w:vAlign w:val="center"/>
          </w:tcPr>
          <w:p w14:paraId="388898DD">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氧化还原电位</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（mv）</w:t>
            </w:r>
          </w:p>
        </w:tc>
        <w:tc>
          <w:tcPr>
            <w:tcW w:w="1046" w:type="pct"/>
            <w:tcBorders>
              <w:top w:val="single" w:color="000000" w:sz="4" w:space="0"/>
              <w:left w:val="nil"/>
              <w:bottom w:val="single" w:color="000000" w:sz="4" w:space="0"/>
              <w:right w:val="single" w:color="000000" w:sz="4" w:space="0"/>
            </w:tcBorders>
            <w:vAlign w:val="center"/>
          </w:tcPr>
          <w:p w14:paraId="6B5D293A">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209</w:t>
            </w:r>
          </w:p>
        </w:tc>
        <w:tc>
          <w:tcPr>
            <w:tcW w:w="1046" w:type="pct"/>
            <w:tcBorders>
              <w:top w:val="single" w:color="000000" w:sz="4" w:space="0"/>
              <w:left w:val="nil"/>
              <w:bottom w:val="single" w:color="000000" w:sz="4" w:space="0"/>
            </w:tcBorders>
            <w:vAlign w:val="center"/>
          </w:tcPr>
          <w:p w14:paraId="70039931">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174</w:t>
            </w:r>
          </w:p>
        </w:tc>
        <w:tc>
          <w:tcPr>
            <w:tcW w:w="1046" w:type="pct"/>
            <w:tcBorders>
              <w:top w:val="single" w:color="000000" w:sz="4" w:space="0"/>
              <w:left w:val="nil"/>
              <w:bottom w:val="single" w:color="000000" w:sz="4" w:space="0"/>
            </w:tcBorders>
            <w:vAlign w:val="center"/>
          </w:tcPr>
          <w:p w14:paraId="5518E835">
            <w:pPr>
              <w:widowControl/>
              <w:spacing w:line="320" w:lineRule="exact"/>
              <w:jc w:val="center"/>
              <w:textAlignment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195</w:t>
            </w:r>
          </w:p>
        </w:tc>
      </w:tr>
      <w:tr w14:paraId="66C8729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8" w:type="pct"/>
            <w:vMerge w:val="continue"/>
            <w:tcBorders>
              <w:top w:val="nil"/>
              <w:bottom w:val="single" w:color="000000" w:sz="4" w:space="0"/>
              <w:right w:val="single" w:color="000000" w:sz="4" w:space="0"/>
            </w:tcBorders>
            <w:vAlign w:val="center"/>
          </w:tcPr>
          <w:p w14:paraId="5487C687">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264" w:type="pct"/>
            <w:tcBorders>
              <w:top w:val="single" w:color="000000" w:sz="4" w:space="0"/>
              <w:left w:val="nil"/>
              <w:bottom w:val="single" w:color="000000" w:sz="4" w:space="0"/>
              <w:right w:val="single" w:color="000000" w:sz="4" w:space="0"/>
            </w:tcBorders>
            <w:vAlign w:val="center"/>
          </w:tcPr>
          <w:p w14:paraId="77D80188">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饱和导水率(</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mm</w:t>
            </w: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m/min)</w:t>
            </w:r>
          </w:p>
        </w:tc>
        <w:tc>
          <w:tcPr>
            <w:tcW w:w="1046" w:type="pct"/>
            <w:tcBorders>
              <w:top w:val="single" w:color="000000" w:sz="4" w:space="0"/>
              <w:left w:val="nil"/>
              <w:bottom w:val="single" w:color="000000" w:sz="4" w:space="0"/>
              <w:right w:val="single" w:color="000000" w:sz="4" w:space="0"/>
            </w:tcBorders>
            <w:vAlign w:val="center"/>
          </w:tcPr>
          <w:p w14:paraId="34BFAC1A">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1.318</w:t>
            </w:r>
          </w:p>
        </w:tc>
        <w:tc>
          <w:tcPr>
            <w:tcW w:w="1046" w:type="pct"/>
            <w:tcBorders>
              <w:top w:val="single" w:color="000000" w:sz="4" w:space="0"/>
              <w:left w:val="nil"/>
              <w:bottom w:val="single" w:color="000000" w:sz="4" w:space="0"/>
            </w:tcBorders>
            <w:vAlign w:val="center"/>
          </w:tcPr>
          <w:p w14:paraId="383A384A">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1.341</w:t>
            </w:r>
          </w:p>
        </w:tc>
        <w:tc>
          <w:tcPr>
            <w:tcW w:w="1046" w:type="pct"/>
            <w:tcBorders>
              <w:top w:val="single" w:color="000000" w:sz="4" w:space="0"/>
              <w:left w:val="nil"/>
              <w:bottom w:val="single" w:color="000000" w:sz="4" w:space="0"/>
            </w:tcBorders>
            <w:vAlign w:val="center"/>
          </w:tcPr>
          <w:p w14:paraId="2C8E365E">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1.300</w:t>
            </w:r>
          </w:p>
        </w:tc>
      </w:tr>
      <w:tr w14:paraId="118CBD6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8" w:type="pct"/>
            <w:vMerge w:val="continue"/>
            <w:tcBorders>
              <w:top w:val="nil"/>
              <w:bottom w:val="single" w:color="000000" w:sz="4" w:space="0"/>
              <w:right w:val="single" w:color="000000" w:sz="4" w:space="0"/>
            </w:tcBorders>
            <w:vAlign w:val="center"/>
          </w:tcPr>
          <w:p w14:paraId="32DFE3EB">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264" w:type="pct"/>
            <w:tcBorders>
              <w:top w:val="single" w:color="000000" w:sz="4" w:space="0"/>
              <w:left w:val="nil"/>
              <w:bottom w:val="single" w:color="000000" w:sz="4" w:space="0"/>
              <w:right w:val="single" w:color="000000" w:sz="4" w:space="0"/>
            </w:tcBorders>
            <w:vAlign w:val="center"/>
          </w:tcPr>
          <w:p w14:paraId="52376D89">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土壤容重(g/cm</w:t>
            </w:r>
            <w:r>
              <w:rPr>
                <w:rFonts w:ascii="Times New Roman" w:hAnsi="Times New Roman" w:cs="Times New Roman" w:eastAsiaTheme="minorEastAsia"/>
                <w:snapToGrid w:val="0"/>
                <w:color w:val="000000" w:themeColor="text1"/>
                <w:w w:val="99"/>
                <w:sz w:val="21"/>
                <w:szCs w:val="21"/>
                <w:vertAlign w:val="superscript"/>
                <w:lang w:val="en-US" w:bidi="ar-SA"/>
                <w14:textFill>
                  <w14:solidFill>
                    <w14:schemeClr w14:val="tx1"/>
                  </w14:solidFill>
                </w14:textFill>
              </w:rPr>
              <w:t>3</w:t>
            </w: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w:t>
            </w:r>
          </w:p>
        </w:tc>
        <w:tc>
          <w:tcPr>
            <w:tcW w:w="1046" w:type="pct"/>
            <w:tcBorders>
              <w:top w:val="single" w:color="000000" w:sz="4" w:space="0"/>
              <w:left w:val="nil"/>
              <w:bottom w:val="single" w:color="000000" w:sz="4" w:space="0"/>
              <w:right w:val="single" w:color="000000" w:sz="4" w:space="0"/>
            </w:tcBorders>
            <w:vAlign w:val="center"/>
          </w:tcPr>
          <w:p w14:paraId="3371FF55">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1.39</w:t>
            </w:r>
          </w:p>
        </w:tc>
        <w:tc>
          <w:tcPr>
            <w:tcW w:w="1046" w:type="pct"/>
            <w:tcBorders>
              <w:top w:val="single" w:color="000000" w:sz="4" w:space="0"/>
              <w:left w:val="nil"/>
              <w:bottom w:val="single" w:color="000000" w:sz="4" w:space="0"/>
            </w:tcBorders>
            <w:vAlign w:val="center"/>
          </w:tcPr>
          <w:p w14:paraId="375D1C32">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1.43</w:t>
            </w:r>
          </w:p>
        </w:tc>
        <w:tc>
          <w:tcPr>
            <w:tcW w:w="1046" w:type="pct"/>
            <w:tcBorders>
              <w:top w:val="single" w:color="000000" w:sz="4" w:space="0"/>
              <w:left w:val="nil"/>
              <w:bottom w:val="single" w:color="000000" w:sz="4" w:space="0"/>
            </w:tcBorders>
            <w:vAlign w:val="center"/>
          </w:tcPr>
          <w:p w14:paraId="0A0F8C79">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1.31</w:t>
            </w:r>
          </w:p>
        </w:tc>
      </w:tr>
      <w:tr w14:paraId="425DA4C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8" w:type="pct"/>
            <w:vMerge w:val="continue"/>
            <w:tcBorders>
              <w:top w:val="nil"/>
              <w:right w:val="single" w:color="000000" w:sz="4" w:space="0"/>
            </w:tcBorders>
            <w:vAlign w:val="center"/>
          </w:tcPr>
          <w:p w14:paraId="5F4BAC4D">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264" w:type="pct"/>
            <w:tcBorders>
              <w:top w:val="single" w:color="000000" w:sz="4" w:space="0"/>
              <w:left w:val="nil"/>
              <w:right w:val="single" w:color="000000" w:sz="4" w:space="0"/>
            </w:tcBorders>
            <w:vAlign w:val="center"/>
          </w:tcPr>
          <w:p w14:paraId="751DFE88">
            <w:pPr>
              <w:widowControl/>
              <w:adjustRightInd w:val="0"/>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孔隙度(%)</w:t>
            </w:r>
          </w:p>
        </w:tc>
        <w:tc>
          <w:tcPr>
            <w:tcW w:w="1046" w:type="pct"/>
            <w:tcBorders>
              <w:top w:val="single" w:color="000000" w:sz="4" w:space="0"/>
              <w:left w:val="nil"/>
              <w:right w:val="single" w:color="000000" w:sz="4" w:space="0"/>
            </w:tcBorders>
            <w:vAlign w:val="center"/>
          </w:tcPr>
          <w:p w14:paraId="1ABA8B37">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47.5</w:t>
            </w:r>
          </w:p>
        </w:tc>
        <w:tc>
          <w:tcPr>
            <w:tcW w:w="1046" w:type="pct"/>
            <w:tcBorders>
              <w:top w:val="single" w:color="000000" w:sz="4" w:space="0"/>
              <w:left w:val="nil"/>
            </w:tcBorders>
            <w:vAlign w:val="center"/>
          </w:tcPr>
          <w:p w14:paraId="017B6E5D">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46.0</w:t>
            </w:r>
          </w:p>
        </w:tc>
        <w:tc>
          <w:tcPr>
            <w:tcW w:w="1046" w:type="pct"/>
            <w:tcBorders>
              <w:top w:val="single" w:color="000000" w:sz="4" w:space="0"/>
              <w:left w:val="nil"/>
            </w:tcBorders>
            <w:vAlign w:val="center"/>
          </w:tcPr>
          <w:p w14:paraId="77458DCB">
            <w:pPr>
              <w:widowControl/>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50.6</w:t>
            </w:r>
          </w:p>
        </w:tc>
      </w:tr>
    </w:tbl>
    <w:p w14:paraId="592AA5A1">
      <w:pPr>
        <w:pStyle w:val="101"/>
        <w:spacing w:before="120" w:after="48"/>
        <w:rPr>
          <w:color w:val="000000" w:themeColor="text1"/>
          <w:lang w:val="zh-CN" w:bidi="zh-CN"/>
          <w14:textFill>
            <w14:solidFill>
              <w14:schemeClr w14:val="tx1"/>
            </w14:solidFill>
          </w14:textFill>
        </w:rPr>
      </w:pPr>
    </w:p>
    <w:p w14:paraId="22F7A914">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表4.3-19    区域内土壤构型（土壤剖面）</w:t>
      </w:r>
    </w:p>
    <w:tbl>
      <w:tblPr>
        <w:tblStyle w:val="8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3"/>
        <w:gridCol w:w="2957"/>
        <w:gridCol w:w="2582"/>
        <w:gridCol w:w="2795"/>
      </w:tblGrid>
      <w:tr w14:paraId="44E9C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Align w:val="center"/>
          </w:tcPr>
          <w:p w14:paraId="558B930C">
            <w:pPr>
              <w:widowControl/>
              <w:autoSpaceDE/>
              <w:autoSpaceDN/>
              <w:adjustRightInd w:val="0"/>
              <w:snapToGrid w:val="0"/>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t>点号</w:t>
            </w:r>
          </w:p>
        </w:tc>
        <w:tc>
          <w:tcPr>
            <w:tcW w:w="1592" w:type="pct"/>
            <w:vAlign w:val="center"/>
          </w:tcPr>
          <w:p w14:paraId="669525B3">
            <w:pPr>
              <w:widowControl/>
              <w:autoSpaceDE/>
              <w:autoSpaceDN/>
              <w:adjustRightInd w:val="0"/>
              <w:snapToGrid w:val="0"/>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t>景观照片</w:t>
            </w:r>
          </w:p>
        </w:tc>
        <w:tc>
          <w:tcPr>
            <w:tcW w:w="1390" w:type="pct"/>
            <w:vAlign w:val="center"/>
          </w:tcPr>
          <w:p w14:paraId="02D424EA">
            <w:pPr>
              <w:widowControl/>
              <w:autoSpaceDE/>
              <w:autoSpaceDN/>
              <w:adjustRightInd w:val="0"/>
              <w:snapToGrid w:val="0"/>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t>土壤剖面照片</w:t>
            </w:r>
          </w:p>
        </w:tc>
        <w:tc>
          <w:tcPr>
            <w:tcW w:w="1505" w:type="pct"/>
            <w:vAlign w:val="center"/>
          </w:tcPr>
          <w:p w14:paraId="1F98D32A">
            <w:pPr>
              <w:widowControl/>
              <w:autoSpaceDE/>
              <w:autoSpaceDN/>
              <w:adjustRightInd w:val="0"/>
              <w:snapToGrid w:val="0"/>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t>层次</w:t>
            </w:r>
          </w:p>
        </w:tc>
      </w:tr>
      <w:tr w14:paraId="0A31E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restart"/>
            <w:vAlign w:val="center"/>
          </w:tcPr>
          <w:p w14:paraId="57A6CAFF">
            <w:pPr>
              <w:widowControl/>
              <w:autoSpaceDE/>
              <w:autoSpaceDN/>
              <w:adjustRightInd w:val="0"/>
              <w:snapToGrid w:val="0"/>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t>拟建混输阀组间占地内</w:t>
            </w:r>
          </w:p>
        </w:tc>
        <w:tc>
          <w:tcPr>
            <w:tcW w:w="1592" w:type="pct"/>
            <w:vMerge w:val="restart"/>
            <w:vAlign w:val="center"/>
          </w:tcPr>
          <w:p w14:paraId="34C68FEC">
            <w:pPr>
              <w:widowControl/>
              <w:autoSpaceDE/>
              <w:autoSpaceDN/>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drawing>
                <wp:inline distT="0" distB="0" distL="0" distR="0">
                  <wp:extent cx="1511935" cy="2011680"/>
                  <wp:effectExtent l="0" t="0" r="0" b="7620"/>
                  <wp:docPr id="74" name="图片 74" descr="31f99fb32ba8a9abd807b2865bc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31f99fb32ba8a9abd807b2865bc159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516950" cy="2018031"/>
                          </a:xfrm>
                          <a:prstGeom prst="rect">
                            <a:avLst/>
                          </a:prstGeom>
                          <a:noFill/>
                          <a:ln>
                            <a:noFill/>
                          </a:ln>
                        </pic:spPr>
                      </pic:pic>
                    </a:graphicData>
                  </a:graphic>
                </wp:inline>
              </w:drawing>
            </w:r>
          </w:p>
        </w:tc>
        <w:tc>
          <w:tcPr>
            <w:tcW w:w="1390" w:type="pct"/>
            <w:vMerge w:val="restart"/>
            <w:vAlign w:val="center"/>
          </w:tcPr>
          <w:p w14:paraId="408C312B">
            <w:pPr>
              <w:widowControl/>
              <w:autoSpaceDE/>
              <w:autoSpaceDN/>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drawing>
                <wp:inline distT="0" distB="0" distL="0" distR="0">
                  <wp:extent cx="1204595" cy="2082800"/>
                  <wp:effectExtent l="0" t="0" r="0" b="0"/>
                  <wp:docPr id="73" name="图片 73" descr="f517f0e416bebc413b1d051c2f2fc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f517f0e416bebc413b1d051c2f2fca0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211398" cy="2093940"/>
                          </a:xfrm>
                          <a:prstGeom prst="rect">
                            <a:avLst/>
                          </a:prstGeom>
                          <a:noFill/>
                          <a:ln>
                            <a:noFill/>
                          </a:ln>
                          <a:effectLst/>
                        </pic:spPr>
                      </pic:pic>
                    </a:graphicData>
                  </a:graphic>
                </wp:inline>
              </w:drawing>
            </w:r>
          </w:p>
        </w:tc>
        <w:tc>
          <w:tcPr>
            <w:tcW w:w="1505" w:type="pct"/>
            <w:vAlign w:val="center"/>
          </w:tcPr>
          <w:p w14:paraId="5D470FB1">
            <w:pPr>
              <w:pStyle w:val="101"/>
              <w:widowControl/>
              <w:autoSpaceDE/>
              <w:autoSpaceDN/>
              <w:spacing w:beforeLines="0" w:afterLines="0"/>
              <w:rPr>
                <w:rFonts w:ascii="Times New Roman" w:cs="Times New Roman" w:eastAsiaTheme="minorEastAsia"/>
                <w:b w:val="0"/>
                <w:color w:val="000000" w:themeColor="text1"/>
                <w:w w:val="99"/>
                <w:kern w:val="24"/>
                <w:sz w:val="21"/>
                <w:szCs w:val="21"/>
                <w14:textFill>
                  <w14:solidFill>
                    <w14:schemeClr w14:val="tx1"/>
                  </w14:solidFill>
                </w14:textFill>
              </w:rPr>
            </w:pPr>
            <w:r>
              <w:rPr>
                <w:rFonts w:ascii="Times New Roman" w:cs="Times New Roman" w:eastAsiaTheme="minorEastAsia"/>
                <w:b w:val="0"/>
                <w:color w:val="000000" w:themeColor="text1"/>
                <w:w w:val="99"/>
                <w:kern w:val="24"/>
                <w:sz w:val="21"/>
                <w:szCs w:val="21"/>
                <w14:textFill>
                  <w14:solidFill>
                    <w14:schemeClr w14:val="tx1"/>
                  </w14:solidFill>
                </w14:textFill>
              </w:rPr>
              <w:t>0-0.5m  面状结构  壤土</w:t>
            </w:r>
          </w:p>
        </w:tc>
      </w:tr>
      <w:tr w14:paraId="08767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vAlign w:val="center"/>
          </w:tcPr>
          <w:p w14:paraId="37917A51">
            <w:pPr>
              <w:widowControl/>
              <w:autoSpaceDE/>
              <w:autoSpaceDN/>
              <w:adjustRightInd w:val="0"/>
              <w:snapToGrid w:val="0"/>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p>
        </w:tc>
        <w:tc>
          <w:tcPr>
            <w:tcW w:w="1592" w:type="pct"/>
            <w:vMerge w:val="continue"/>
            <w:vAlign w:val="center"/>
          </w:tcPr>
          <w:p w14:paraId="630E3E2E">
            <w:pPr>
              <w:widowControl/>
              <w:autoSpaceDE/>
              <w:autoSpaceDN/>
              <w:adjustRightInd w:val="0"/>
              <w:snapToGrid w:val="0"/>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p>
        </w:tc>
        <w:tc>
          <w:tcPr>
            <w:tcW w:w="1390" w:type="pct"/>
            <w:vMerge w:val="continue"/>
            <w:vAlign w:val="center"/>
          </w:tcPr>
          <w:p w14:paraId="347452DD">
            <w:pPr>
              <w:widowControl/>
              <w:autoSpaceDE/>
              <w:autoSpaceDN/>
              <w:adjustRightInd w:val="0"/>
              <w:snapToGrid w:val="0"/>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p>
        </w:tc>
        <w:tc>
          <w:tcPr>
            <w:tcW w:w="1505" w:type="pct"/>
            <w:vAlign w:val="center"/>
          </w:tcPr>
          <w:p w14:paraId="6D9BAE31">
            <w:pPr>
              <w:pStyle w:val="101"/>
              <w:widowControl/>
              <w:autoSpaceDE/>
              <w:autoSpaceDN/>
              <w:snapToGrid w:val="0"/>
              <w:spacing w:beforeLines="0" w:afterLines="0"/>
              <w:rPr>
                <w:rFonts w:ascii="Times New Roman" w:cs="Times New Roman" w:eastAsiaTheme="minorEastAsia"/>
                <w:b w:val="0"/>
                <w:color w:val="000000" w:themeColor="text1"/>
                <w:w w:val="99"/>
                <w:kern w:val="24"/>
                <w:sz w:val="21"/>
                <w:szCs w:val="21"/>
                <w14:textFill>
                  <w14:solidFill>
                    <w14:schemeClr w14:val="tx1"/>
                  </w14:solidFill>
                </w14:textFill>
              </w:rPr>
            </w:pPr>
            <w:r>
              <w:rPr>
                <w:rFonts w:ascii="Times New Roman" w:cs="Times New Roman" w:eastAsiaTheme="minorEastAsia"/>
                <w:b w:val="0"/>
                <w:color w:val="000000" w:themeColor="text1"/>
                <w:w w:val="99"/>
                <w:kern w:val="24"/>
                <w:sz w:val="21"/>
                <w:szCs w:val="21"/>
                <w14:textFill>
                  <w14:solidFill>
                    <w14:schemeClr w14:val="tx1"/>
                  </w14:solidFill>
                </w14:textFill>
              </w:rPr>
              <w:t>0.5-1.5m 面状结构  壤土</w:t>
            </w:r>
          </w:p>
        </w:tc>
      </w:tr>
      <w:tr w14:paraId="64D35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vAlign w:val="center"/>
          </w:tcPr>
          <w:p w14:paraId="44279115">
            <w:pPr>
              <w:widowControl/>
              <w:autoSpaceDE/>
              <w:autoSpaceDN/>
              <w:adjustRightInd w:val="0"/>
              <w:snapToGrid w:val="0"/>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p>
        </w:tc>
        <w:tc>
          <w:tcPr>
            <w:tcW w:w="1592" w:type="pct"/>
            <w:vMerge w:val="continue"/>
            <w:vAlign w:val="center"/>
          </w:tcPr>
          <w:p w14:paraId="3CF5B04A">
            <w:pPr>
              <w:widowControl/>
              <w:autoSpaceDE/>
              <w:autoSpaceDN/>
              <w:adjustRightInd w:val="0"/>
              <w:snapToGrid w:val="0"/>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p>
        </w:tc>
        <w:tc>
          <w:tcPr>
            <w:tcW w:w="1390" w:type="pct"/>
            <w:vMerge w:val="continue"/>
            <w:vAlign w:val="center"/>
          </w:tcPr>
          <w:p w14:paraId="3878E2AC">
            <w:pPr>
              <w:widowControl/>
              <w:autoSpaceDE/>
              <w:autoSpaceDN/>
              <w:adjustRightInd w:val="0"/>
              <w:snapToGrid w:val="0"/>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p>
        </w:tc>
        <w:tc>
          <w:tcPr>
            <w:tcW w:w="1505" w:type="pct"/>
            <w:vAlign w:val="center"/>
          </w:tcPr>
          <w:p w14:paraId="109CA785">
            <w:pPr>
              <w:widowControl/>
              <w:autoSpaceDE/>
              <w:autoSpaceDN/>
              <w:adjustRightInd w:val="0"/>
              <w:snapToGrid w:val="0"/>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t>1.5-3m面状结构 壤土</w:t>
            </w:r>
          </w:p>
        </w:tc>
      </w:tr>
      <w:tr w14:paraId="664B4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Align w:val="center"/>
          </w:tcPr>
          <w:p w14:paraId="1A554C7D">
            <w:pPr>
              <w:widowControl/>
              <w:autoSpaceDE/>
              <w:autoSpaceDN/>
              <w:adjustRightInd w:val="0"/>
              <w:snapToGrid w:val="0"/>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drawing>
                <wp:inline distT="0" distB="0" distL="0" distR="0">
                  <wp:extent cx="8255" cy="8255"/>
                  <wp:effectExtent l="0" t="0" r="0" b="0"/>
                  <wp:docPr id="72" name="图片 72" descr="7ac3fe5fbe3e88a6ce675c8aecc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7ac3fe5fbe3e88a6ce675c8aecc198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255" cy="8255"/>
                          </a:xfrm>
                          <a:prstGeom prst="rect">
                            <a:avLst/>
                          </a:prstGeom>
                          <a:noFill/>
                          <a:ln>
                            <a:noFill/>
                          </a:ln>
                        </pic:spPr>
                      </pic:pic>
                    </a:graphicData>
                  </a:graphic>
                </wp:inline>
              </w:drawing>
            </w:r>
          </w:p>
        </w:tc>
        <w:tc>
          <w:tcPr>
            <w:tcW w:w="1592" w:type="pct"/>
            <w:vMerge w:val="continue"/>
            <w:vAlign w:val="center"/>
          </w:tcPr>
          <w:p w14:paraId="55641453">
            <w:pPr>
              <w:widowControl/>
              <w:autoSpaceDE/>
              <w:autoSpaceDN/>
              <w:adjustRightInd w:val="0"/>
              <w:snapToGrid w:val="0"/>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p>
        </w:tc>
        <w:tc>
          <w:tcPr>
            <w:tcW w:w="1390" w:type="pct"/>
            <w:vMerge w:val="continue"/>
            <w:vAlign w:val="center"/>
          </w:tcPr>
          <w:p w14:paraId="7B6CA7D7">
            <w:pPr>
              <w:widowControl/>
              <w:autoSpaceDE/>
              <w:autoSpaceDN/>
              <w:adjustRightInd w:val="0"/>
              <w:snapToGrid w:val="0"/>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p>
        </w:tc>
        <w:tc>
          <w:tcPr>
            <w:tcW w:w="1505" w:type="pct"/>
            <w:vAlign w:val="center"/>
          </w:tcPr>
          <w:p w14:paraId="126FCE55">
            <w:pPr>
              <w:widowControl/>
              <w:autoSpaceDE/>
              <w:autoSpaceDN/>
              <w:adjustRightInd w:val="0"/>
              <w:snapToGrid w:val="0"/>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drawing>
                <wp:inline distT="0" distB="0" distL="0" distR="0">
                  <wp:extent cx="1247775" cy="1447165"/>
                  <wp:effectExtent l="0" t="0" r="9525" b="635"/>
                  <wp:docPr id="71" name="图片 71" descr="7ac3fe5fbe3e88a6ce675c8aecc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7ac3fe5fbe3e88a6ce675c8aecc198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264007" cy="1465408"/>
                          </a:xfrm>
                          <a:prstGeom prst="rect">
                            <a:avLst/>
                          </a:prstGeom>
                          <a:noFill/>
                          <a:ln>
                            <a:noFill/>
                          </a:ln>
                        </pic:spPr>
                      </pic:pic>
                    </a:graphicData>
                  </a:graphic>
                </wp:inline>
              </w:drawing>
            </w:r>
          </w:p>
        </w:tc>
      </w:tr>
      <w:tr w14:paraId="0578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restart"/>
            <w:vAlign w:val="center"/>
          </w:tcPr>
          <w:p w14:paraId="706F6762">
            <w:pPr>
              <w:widowControl/>
              <w:autoSpaceDE/>
              <w:autoSpaceDN/>
              <w:adjustRightInd w:val="0"/>
              <w:snapToGrid w:val="0"/>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t>杏树岗村</w:t>
            </w:r>
          </w:p>
        </w:tc>
        <w:tc>
          <w:tcPr>
            <w:tcW w:w="1592" w:type="pct"/>
            <w:vMerge w:val="restart"/>
            <w:vAlign w:val="center"/>
          </w:tcPr>
          <w:p w14:paraId="7CDE1541">
            <w:pPr>
              <w:widowControl/>
              <w:autoSpaceDE/>
              <w:autoSpaceDN/>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drawing>
                <wp:inline distT="0" distB="0" distL="0" distR="0">
                  <wp:extent cx="1550035" cy="2062480"/>
                  <wp:effectExtent l="0" t="0" r="0" b="0"/>
                  <wp:docPr id="70" name="图片 70" descr="83145b853b51c3d79f4d053b3287b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83145b853b51c3d79f4d053b3287ba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554654" cy="2068190"/>
                          </a:xfrm>
                          <a:prstGeom prst="rect">
                            <a:avLst/>
                          </a:prstGeom>
                          <a:noFill/>
                          <a:ln>
                            <a:noFill/>
                          </a:ln>
                        </pic:spPr>
                      </pic:pic>
                    </a:graphicData>
                  </a:graphic>
                </wp:inline>
              </w:drawing>
            </w:r>
          </w:p>
        </w:tc>
        <w:tc>
          <w:tcPr>
            <w:tcW w:w="1390" w:type="pct"/>
            <w:vMerge w:val="restart"/>
            <w:vAlign w:val="center"/>
          </w:tcPr>
          <w:p w14:paraId="6EE26C26">
            <w:pPr>
              <w:widowControl/>
              <w:autoSpaceDE/>
              <w:autoSpaceDN/>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t>/</w:t>
            </w:r>
          </w:p>
        </w:tc>
        <w:tc>
          <w:tcPr>
            <w:tcW w:w="1505" w:type="pct"/>
            <w:vAlign w:val="center"/>
          </w:tcPr>
          <w:p w14:paraId="7F5BF2A6">
            <w:pPr>
              <w:pStyle w:val="101"/>
              <w:widowControl/>
              <w:autoSpaceDE/>
              <w:autoSpaceDN/>
              <w:spacing w:beforeLines="0" w:afterLines="0"/>
              <w:rPr>
                <w:rFonts w:ascii="Times New Roman" w:cs="Times New Roman" w:eastAsiaTheme="minorEastAsia"/>
                <w:b w:val="0"/>
                <w:color w:val="000000" w:themeColor="text1"/>
                <w:w w:val="99"/>
                <w:kern w:val="24"/>
                <w:sz w:val="21"/>
                <w:szCs w:val="21"/>
                <w14:textFill>
                  <w14:solidFill>
                    <w14:schemeClr w14:val="tx1"/>
                  </w14:solidFill>
                </w14:textFill>
              </w:rPr>
            </w:pPr>
            <w:r>
              <w:rPr>
                <w:rFonts w:ascii="Times New Roman" w:cs="Times New Roman" w:eastAsiaTheme="minorEastAsia"/>
                <w:b w:val="0"/>
                <w:color w:val="000000" w:themeColor="text1"/>
                <w:w w:val="99"/>
                <w:kern w:val="24"/>
                <w:sz w:val="21"/>
                <w:szCs w:val="21"/>
                <w14:textFill>
                  <w14:solidFill>
                    <w14:schemeClr w14:val="tx1"/>
                  </w14:solidFill>
                </w14:textFill>
              </w:rPr>
              <w:t>0-0.2m  面状结构  壤土</w:t>
            </w:r>
          </w:p>
        </w:tc>
      </w:tr>
      <w:tr w14:paraId="2A468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vAlign w:val="center"/>
          </w:tcPr>
          <w:p w14:paraId="06486B9D">
            <w:pPr>
              <w:widowControl/>
              <w:autoSpaceDE/>
              <w:autoSpaceDN/>
              <w:adjustRightInd w:val="0"/>
              <w:snapToGrid w:val="0"/>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p>
        </w:tc>
        <w:tc>
          <w:tcPr>
            <w:tcW w:w="1592" w:type="pct"/>
            <w:vMerge w:val="continue"/>
            <w:vAlign w:val="center"/>
          </w:tcPr>
          <w:p w14:paraId="235527F9">
            <w:pPr>
              <w:widowControl/>
              <w:autoSpaceDE/>
              <w:autoSpaceDN/>
              <w:adjustRightInd w:val="0"/>
              <w:snapToGrid w:val="0"/>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p>
        </w:tc>
        <w:tc>
          <w:tcPr>
            <w:tcW w:w="1390" w:type="pct"/>
            <w:vMerge w:val="continue"/>
            <w:vAlign w:val="center"/>
          </w:tcPr>
          <w:p w14:paraId="14EB4F4E">
            <w:pPr>
              <w:widowControl/>
              <w:autoSpaceDE/>
              <w:autoSpaceDN/>
              <w:adjustRightInd w:val="0"/>
              <w:snapToGrid w:val="0"/>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p>
        </w:tc>
        <w:tc>
          <w:tcPr>
            <w:tcW w:w="1505" w:type="pct"/>
            <w:vAlign w:val="center"/>
          </w:tcPr>
          <w:p w14:paraId="224E20A1">
            <w:pPr>
              <w:widowControl/>
              <w:autoSpaceDE/>
              <w:autoSpaceDN/>
              <w:adjustRightInd w:val="0"/>
              <w:snapToGrid w:val="0"/>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drawing>
                <wp:inline distT="0" distB="0" distL="0" distR="0">
                  <wp:extent cx="1319530" cy="1759585"/>
                  <wp:effectExtent l="0" t="0" r="0" b="0"/>
                  <wp:docPr id="69" name="图片 69" descr="fc8e9fb37251582aa734e1029d9ff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fc8e9fb37251582aa734e1029d9ffa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332679" cy="1776904"/>
                          </a:xfrm>
                          <a:prstGeom prst="rect">
                            <a:avLst/>
                          </a:prstGeom>
                          <a:noFill/>
                          <a:ln>
                            <a:noFill/>
                          </a:ln>
                        </pic:spPr>
                      </pic:pic>
                    </a:graphicData>
                  </a:graphic>
                </wp:inline>
              </w:drawing>
            </w:r>
          </w:p>
        </w:tc>
      </w:tr>
      <w:tr w14:paraId="48358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restart"/>
            <w:vAlign w:val="center"/>
          </w:tcPr>
          <w:p w14:paraId="0095706B">
            <w:pPr>
              <w:widowControl/>
              <w:autoSpaceDE/>
              <w:autoSpaceDN/>
              <w:adjustRightInd w:val="0"/>
              <w:snapToGrid w:val="0"/>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t>4号拉油点西侧100m草地</w:t>
            </w:r>
          </w:p>
        </w:tc>
        <w:tc>
          <w:tcPr>
            <w:tcW w:w="1592" w:type="pct"/>
            <w:vMerge w:val="restart"/>
            <w:vAlign w:val="center"/>
          </w:tcPr>
          <w:p w14:paraId="00066921">
            <w:pPr>
              <w:widowControl/>
              <w:autoSpaceDE/>
              <w:autoSpaceDN/>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drawing>
                <wp:inline distT="0" distB="0" distL="0" distR="0">
                  <wp:extent cx="1597660" cy="2125980"/>
                  <wp:effectExtent l="0" t="0" r="2540" b="7620"/>
                  <wp:docPr id="99" name="图片 99" descr="1d1919bc08377c44b8007238c1e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1d1919bc08377c44b8007238c1e646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605224" cy="2135465"/>
                          </a:xfrm>
                          <a:prstGeom prst="rect">
                            <a:avLst/>
                          </a:prstGeom>
                          <a:noFill/>
                          <a:ln>
                            <a:noFill/>
                          </a:ln>
                        </pic:spPr>
                      </pic:pic>
                    </a:graphicData>
                  </a:graphic>
                </wp:inline>
              </w:drawing>
            </w:r>
          </w:p>
        </w:tc>
        <w:tc>
          <w:tcPr>
            <w:tcW w:w="1390" w:type="pct"/>
            <w:vMerge w:val="restart"/>
            <w:vAlign w:val="center"/>
          </w:tcPr>
          <w:p w14:paraId="10FBC992">
            <w:pPr>
              <w:widowControl/>
              <w:autoSpaceDE/>
              <w:autoSpaceDN/>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t>/</w:t>
            </w:r>
          </w:p>
        </w:tc>
        <w:tc>
          <w:tcPr>
            <w:tcW w:w="1505" w:type="pct"/>
            <w:vAlign w:val="center"/>
          </w:tcPr>
          <w:p w14:paraId="267095F5">
            <w:pPr>
              <w:pStyle w:val="101"/>
              <w:widowControl/>
              <w:autoSpaceDE/>
              <w:autoSpaceDN/>
              <w:spacing w:beforeLines="0" w:afterLines="0"/>
              <w:rPr>
                <w:rFonts w:ascii="Times New Roman" w:cs="Times New Roman" w:eastAsiaTheme="minorEastAsia"/>
                <w:b w:val="0"/>
                <w:color w:val="000000" w:themeColor="text1"/>
                <w:w w:val="99"/>
                <w:kern w:val="24"/>
                <w:sz w:val="21"/>
                <w:szCs w:val="21"/>
                <w14:textFill>
                  <w14:solidFill>
                    <w14:schemeClr w14:val="tx1"/>
                  </w14:solidFill>
                </w14:textFill>
              </w:rPr>
            </w:pPr>
            <w:r>
              <w:rPr>
                <w:rFonts w:ascii="Times New Roman" w:cs="Times New Roman" w:eastAsiaTheme="minorEastAsia"/>
                <w:b w:val="0"/>
                <w:color w:val="000000" w:themeColor="text1"/>
                <w:w w:val="99"/>
                <w:kern w:val="24"/>
                <w:sz w:val="21"/>
                <w:szCs w:val="21"/>
                <w14:textFill>
                  <w14:solidFill>
                    <w14:schemeClr w14:val="tx1"/>
                  </w14:solidFill>
                </w14:textFill>
              </w:rPr>
              <w:t>0-0.2m  面状结构  壤土</w:t>
            </w:r>
          </w:p>
        </w:tc>
      </w:tr>
      <w:tr w14:paraId="51F93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vAlign w:val="center"/>
          </w:tcPr>
          <w:p w14:paraId="49DF0FAD">
            <w:pPr>
              <w:widowControl/>
              <w:autoSpaceDE/>
              <w:autoSpaceDN/>
              <w:adjustRightInd w:val="0"/>
              <w:snapToGrid w:val="0"/>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p>
        </w:tc>
        <w:tc>
          <w:tcPr>
            <w:tcW w:w="1592" w:type="pct"/>
            <w:vMerge w:val="continue"/>
            <w:vAlign w:val="center"/>
          </w:tcPr>
          <w:p w14:paraId="0D692981">
            <w:pPr>
              <w:widowControl/>
              <w:autoSpaceDE/>
              <w:autoSpaceDN/>
              <w:adjustRightInd w:val="0"/>
              <w:snapToGrid w:val="0"/>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p>
        </w:tc>
        <w:tc>
          <w:tcPr>
            <w:tcW w:w="1390" w:type="pct"/>
            <w:vMerge w:val="continue"/>
            <w:vAlign w:val="center"/>
          </w:tcPr>
          <w:p w14:paraId="166A028C">
            <w:pPr>
              <w:widowControl/>
              <w:autoSpaceDE/>
              <w:autoSpaceDN/>
              <w:adjustRightInd w:val="0"/>
              <w:snapToGrid w:val="0"/>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p>
        </w:tc>
        <w:tc>
          <w:tcPr>
            <w:tcW w:w="1505" w:type="pct"/>
            <w:vAlign w:val="center"/>
          </w:tcPr>
          <w:p w14:paraId="7BF06FAD">
            <w:pPr>
              <w:widowControl/>
              <w:autoSpaceDE/>
              <w:autoSpaceDN/>
              <w:adjustRightInd w:val="0"/>
              <w:snapToGrid w:val="0"/>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drawing>
                <wp:inline distT="0" distB="0" distL="0" distR="0">
                  <wp:extent cx="1351280" cy="1802130"/>
                  <wp:effectExtent l="0" t="0" r="1270" b="7620"/>
                  <wp:docPr id="98" name="图片 98" descr="899f4b370672849b9845f96e84cd8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899f4b370672849b9845f96e84cd8bb"/>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362326" cy="1816435"/>
                          </a:xfrm>
                          <a:prstGeom prst="rect">
                            <a:avLst/>
                          </a:prstGeom>
                          <a:noFill/>
                          <a:ln>
                            <a:noFill/>
                          </a:ln>
                        </pic:spPr>
                      </pic:pic>
                    </a:graphicData>
                  </a:graphic>
                </wp:inline>
              </w:drawing>
            </w:r>
          </w:p>
        </w:tc>
      </w:tr>
      <w:tr w14:paraId="75B2A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restart"/>
            <w:vAlign w:val="center"/>
          </w:tcPr>
          <w:p w14:paraId="5FBC7FAE">
            <w:pPr>
              <w:widowControl/>
              <w:autoSpaceDE/>
              <w:autoSpaceDN/>
              <w:adjustRightInd w:val="0"/>
              <w:snapToGrid w:val="0"/>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t>龙242-1拉油点东北侧100m耕地</w:t>
            </w:r>
          </w:p>
        </w:tc>
        <w:tc>
          <w:tcPr>
            <w:tcW w:w="1592" w:type="pct"/>
            <w:vMerge w:val="restart"/>
            <w:vAlign w:val="center"/>
          </w:tcPr>
          <w:p w14:paraId="5D7B2926">
            <w:pPr>
              <w:widowControl/>
              <w:autoSpaceDE/>
              <w:autoSpaceDN/>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drawing>
                <wp:inline distT="0" distB="0" distL="0" distR="0">
                  <wp:extent cx="1383030" cy="1840230"/>
                  <wp:effectExtent l="0" t="0" r="7620" b="7620"/>
                  <wp:docPr id="90" name="图片 90" descr="00bb9964503b9ef0e8a4b6082c2bd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00bb9964503b9ef0e8a4b6082c2bda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397769" cy="1859484"/>
                          </a:xfrm>
                          <a:prstGeom prst="rect">
                            <a:avLst/>
                          </a:prstGeom>
                          <a:noFill/>
                          <a:ln>
                            <a:noFill/>
                          </a:ln>
                        </pic:spPr>
                      </pic:pic>
                    </a:graphicData>
                  </a:graphic>
                </wp:inline>
              </w:drawing>
            </w:r>
          </w:p>
        </w:tc>
        <w:tc>
          <w:tcPr>
            <w:tcW w:w="1390" w:type="pct"/>
            <w:vMerge w:val="restart"/>
            <w:vAlign w:val="center"/>
          </w:tcPr>
          <w:p w14:paraId="58E68912">
            <w:pPr>
              <w:widowControl/>
              <w:autoSpaceDE/>
              <w:autoSpaceDN/>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t>/</w:t>
            </w:r>
          </w:p>
        </w:tc>
        <w:tc>
          <w:tcPr>
            <w:tcW w:w="1505" w:type="pct"/>
            <w:vAlign w:val="center"/>
          </w:tcPr>
          <w:p w14:paraId="1F255175">
            <w:pPr>
              <w:pStyle w:val="101"/>
              <w:widowControl/>
              <w:autoSpaceDE/>
              <w:autoSpaceDN/>
              <w:spacing w:beforeLines="0" w:afterLines="0"/>
              <w:rPr>
                <w:rFonts w:ascii="Times New Roman" w:cs="Times New Roman" w:eastAsiaTheme="minorEastAsia"/>
                <w:b w:val="0"/>
                <w:color w:val="000000" w:themeColor="text1"/>
                <w:w w:val="99"/>
                <w:kern w:val="24"/>
                <w:sz w:val="21"/>
                <w:szCs w:val="21"/>
                <w14:textFill>
                  <w14:solidFill>
                    <w14:schemeClr w14:val="tx1"/>
                  </w14:solidFill>
                </w14:textFill>
              </w:rPr>
            </w:pPr>
            <w:r>
              <w:rPr>
                <w:rFonts w:ascii="Times New Roman" w:cs="Times New Roman" w:eastAsiaTheme="minorEastAsia"/>
                <w:b w:val="0"/>
                <w:color w:val="000000" w:themeColor="text1"/>
                <w:w w:val="99"/>
                <w:kern w:val="24"/>
                <w:sz w:val="21"/>
                <w:szCs w:val="21"/>
                <w14:textFill>
                  <w14:solidFill>
                    <w14:schemeClr w14:val="tx1"/>
                  </w14:solidFill>
                </w14:textFill>
              </w:rPr>
              <w:t>0-0.2m  面状结构  壤土</w:t>
            </w:r>
          </w:p>
        </w:tc>
      </w:tr>
      <w:tr w14:paraId="1DA92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vAlign w:val="center"/>
          </w:tcPr>
          <w:p w14:paraId="61DB78EC">
            <w:pPr>
              <w:widowControl/>
              <w:autoSpaceDE/>
              <w:autoSpaceDN/>
              <w:adjustRightInd w:val="0"/>
              <w:snapToGrid w:val="0"/>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p>
        </w:tc>
        <w:tc>
          <w:tcPr>
            <w:tcW w:w="1592" w:type="pct"/>
            <w:vMerge w:val="continue"/>
            <w:vAlign w:val="center"/>
          </w:tcPr>
          <w:p w14:paraId="3BBAEAD9">
            <w:pPr>
              <w:widowControl/>
              <w:autoSpaceDE/>
              <w:autoSpaceDN/>
              <w:adjustRightInd w:val="0"/>
              <w:snapToGrid w:val="0"/>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p>
        </w:tc>
        <w:tc>
          <w:tcPr>
            <w:tcW w:w="1390" w:type="pct"/>
            <w:vMerge w:val="continue"/>
            <w:vAlign w:val="center"/>
          </w:tcPr>
          <w:p w14:paraId="0CD05D01">
            <w:pPr>
              <w:widowControl/>
              <w:autoSpaceDE/>
              <w:autoSpaceDN/>
              <w:adjustRightInd w:val="0"/>
              <w:snapToGrid w:val="0"/>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p>
        </w:tc>
        <w:tc>
          <w:tcPr>
            <w:tcW w:w="1505" w:type="pct"/>
            <w:vAlign w:val="center"/>
          </w:tcPr>
          <w:p w14:paraId="308C9E7F">
            <w:pPr>
              <w:widowControl/>
              <w:autoSpaceDE/>
              <w:autoSpaceDN/>
              <w:adjustRightInd w:val="0"/>
              <w:snapToGrid w:val="0"/>
              <w:jc w:val="cente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4"/>
                <w:sz w:val="21"/>
                <w:szCs w:val="21"/>
                <w:lang w:val="en-US" w:bidi="ar-SA"/>
                <w14:textFill>
                  <w14:solidFill>
                    <w14:schemeClr w14:val="tx1"/>
                  </w14:solidFill>
                </w14:textFill>
              </w:rPr>
              <w:drawing>
                <wp:inline distT="0" distB="0" distL="0" distR="0">
                  <wp:extent cx="1311910" cy="1748790"/>
                  <wp:effectExtent l="0" t="0" r="2540" b="3810"/>
                  <wp:docPr id="79" name="图片 79" descr="f58b98a4280a97bfaaec839d866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f58b98a4280a97bfaaec839d86644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320663" cy="1760884"/>
                          </a:xfrm>
                          <a:prstGeom prst="rect">
                            <a:avLst/>
                          </a:prstGeom>
                          <a:noFill/>
                          <a:ln>
                            <a:noFill/>
                          </a:ln>
                        </pic:spPr>
                      </pic:pic>
                    </a:graphicData>
                  </a:graphic>
                </wp:inline>
              </w:drawing>
            </w:r>
          </w:p>
        </w:tc>
      </w:tr>
    </w:tbl>
    <w:p w14:paraId="638A3D44">
      <w:pPr>
        <w:autoSpaceDE/>
        <w:autoSpaceDN/>
        <w:spacing w:line="440" w:lineRule="exact"/>
        <w:jc w:val="both"/>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t>4.3.5.2土壤环境质量现状监测</w:t>
      </w:r>
    </w:p>
    <w:p w14:paraId="495D3484">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（1）采样点布设</w:t>
      </w:r>
    </w:p>
    <w:p w14:paraId="17B48B7D">
      <w:pPr>
        <w:widowControl/>
        <w:autoSpaceDE/>
        <w:autoSpaceDN/>
        <w:spacing w:line="440" w:lineRule="exact"/>
        <w:ind w:firstLine="474" w:firstLineChars="200"/>
        <w:jc w:val="both"/>
        <w:rPr>
          <w:rFonts w:ascii="Times New Roman" w:hAnsi="Times New Roman" w:cs="Times New Roman" w:eastAsiaTheme="minorEastAsia"/>
          <w:b/>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本项目土壤环境影响类型属于污染影响型项目，评价等级为一级，确定本项目占地范围内共布设2个表层样监测点，5个柱状样监测点，占地范围外共布设4个表层样点， 土壤现状监测点位详见表</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4.3-20</w:t>
      </w: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，监测点位置见附图12。</w:t>
      </w:r>
    </w:p>
    <w:p w14:paraId="04580498">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表4.3-20    土壤现状监测点位</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5"/>
        <w:gridCol w:w="2181"/>
        <w:gridCol w:w="1306"/>
        <w:gridCol w:w="1596"/>
        <w:gridCol w:w="871"/>
        <w:gridCol w:w="2898"/>
      </w:tblGrid>
      <w:tr w14:paraId="7B9D6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5" w:type="pct"/>
            <w:vAlign w:val="center"/>
          </w:tcPr>
          <w:p w14:paraId="3FB4E7F4">
            <w:pPr>
              <w:widowControl/>
              <w:autoSpaceDE/>
              <w:autoSpaceDN/>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编号</w:t>
            </w:r>
          </w:p>
        </w:tc>
        <w:tc>
          <w:tcPr>
            <w:tcW w:w="1174" w:type="pct"/>
            <w:vAlign w:val="center"/>
          </w:tcPr>
          <w:p w14:paraId="1A333FFA">
            <w:pPr>
              <w:widowControl/>
              <w:autoSpaceDE/>
              <w:autoSpaceDN/>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监测点名称</w:t>
            </w:r>
          </w:p>
        </w:tc>
        <w:tc>
          <w:tcPr>
            <w:tcW w:w="703" w:type="pct"/>
            <w:vAlign w:val="center"/>
          </w:tcPr>
          <w:p w14:paraId="3B2A2679">
            <w:pPr>
              <w:widowControl/>
              <w:autoSpaceDE/>
              <w:autoSpaceDN/>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坐标</w:t>
            </w:r>
          </w:p>
        </w:tc>
        <w:tc>
          <w:tcPr>
            <w:tcW w:w="859" w:type="pct"/>
            <w:vAlign w:val="center"/>
          </w:tcPr>
          <w:p w14:paraId="5B12C2D4">
            <w:pPr>
              <w:widowControl/>
              <w:autoSpaceDE/>
              <w:autoSpaceDN/>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执行标准</w:t>
            </w:r>
          </w:p>
        </w:tc>
        <w:tc>
          <w:tcPr>
            <w:tcW w:w="469" w:type="pct"/>
            <w:vAlign w:val="center"/>
          </w:tcPr>
          <w:p w14:paraId="79C914CE">
            <w:pPr>
              <w:widowControl/>
              <w:autoSpaceDE/>
              <w:autoSpaceDN/>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土壤类型</w:t>
            </w:r>
          </w:p>
        </w:tc>
        <w:tc>
          <w:tcPr>
            <w:tcW w:w="1560" w:type="pct"/>
            <w:vAlign w:val="center"/>
          </w:tcPr>
          <w:p w14:paraId="32302237">
            <w:pPr>
              <w:widowControl/>
              <w:autoSpaceDE/>
              <w:autoSpaceDN/>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备注</w:t>
            </w:r>
          </w:p>
        </w:tc>
      </w:tr>
      <w:tr w14:paraId="0529E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5" w:type="pct"/>
            <w:vAlign w:val="center"/>
          </w:tcPr>
          <w:p w14:paraId="60EDE4ED">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w:t>
            </w:r>
          </w:p>
        </w:tc>
        <w:tc>
          <w:tcPr>
            <w:tcW w:w="1174" w:type="pct"/>
            <w:vAlign w:val="center"/>
          </w:tcPr>
          <w:p w14:paraId="217448B8">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拟建混输阀组间占地内</w:t>
            </w:r>
          </w:p>
        </w:tc>
        <w:tc>
          <w:tcPr>
            <w:tcW w:w="703" w:type="pct"/>
            <w:vAlign w:val="center"/>
          </w:tcPr>
          <w:p w14:paraId="05166E8C">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124.40457，46.31700</w:t>
            </w:r>
          </w:p>
        </w:tc>
        <w:tc>
          <w:tcPr>
            <w:tcW w:w="859" w:type="pct"/>
            <w:vMerge w:val="restart"/>
            <w:vAlign w:val="center"/>
          </w:tcPr>
          <w:p w14:paraId="489BB113">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《土壤环境质量 建设用地土壤污染风险管控标准（试行）》（GB36600-2018）中第二类用地筛选值</w:t>
            </w:r>
          </w:p>
        </w:tc>
        <w:tc>
          <w:tcPr>
            <w:tcW w:w="469" w:type="pct"/>
            <w:vAlign w:val="center"/>
          </w:tcPr>
          <w:p w14:paraId="17E4F2EE">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风沙土</w:t>
            </w:r>
          </w:p>
        </w:tc>
        <w:tc>
          <w:tcPr>
            <w:tcW w:w="1560" w:type="pct"/>
            <w:vAlign w:val="center"/>
          </w:tcPr>
          <w:p w14:paraId="454863CF">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采取柱状样，在0~0.5m、0.5~1.5m、1.5~3m分别取样</w:t>
            </w:r>
          </w:p>
        </w:tc>
      </w:tr>
      <w:tr w14:paraId="79ECB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5" w:type="pct"/>
            <w:vAlign w:val="center"/>
          </w:tcPr>
          <w:p w14:paraId="331317A4">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w:t>
            </w:r>
          </w:p>
        </w:tc>
        <w:tc>
          <w:tcPr>
            <w:tcW w:w="1174" w:type="pct"/>
            <w:vAlign w:val="center"/>
          </w:tcPr>
          <w:p w14:paraId="7E7EAEB7">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4号拉油点占地内</w:t>
            </w:r>
          </w:p>
        </w:tc>
        <w:tc>
          <w:tcPr>
            <w:tcW w:w="703" w:type="pct"/>
            <w:vAlign w:val="center"/>
          </w:tcPr>
          <w:p w14:paraId="5D018EE6">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124.37469，46.34399</w:t>
            </w:r>
          </w:p>
        </w:tc>
        <w:tc>
          <w:tcPr>
            <w:tcW w:w="859" w:type="pct"/>
            <w:vMerge w:val="continue"/>
            <w:vAlign w:val="center"/>
          </w:tcPr>
          <w:p w14:paraId="1FD40777">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469" w:type="pct"/>
            <w:vAlign w:val="center"/>
          </w:tcPr>
          <w:p w14:paraId="242F2804">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草甸土</w:t>
            </w:r>
          </w:p>
        </w:tc>
        <w:tc>
          <w:tcPr>
            <w:tcW w:w="1560" w:type="pct"/>
            <w:vAlign w:val="center"/>
          </w:tcPr>
          <w:p w14:paraId="401ED561">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采取柱状样，在0~0.5m、0.5~1.5m、1.5~3m分别取样</w:t>
            </w:r>
          </w:p>
        </w:tc>
      </w:tr>
      <w:tr w14:paraId="66AF8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5" w:type="pct"/>
            <w:vAlign w:val="center"/>
          </w:tcPr>
          <w:p w14:paraId="0A75ED17">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w:t>
            </w:r>
          </w:p>
        </w:tc>
        <w:tc>
          <w:tcPr>
            <w:tcW w:w="1174" w:type="pct"/>
            <w:vAlign w:val="center"/>
          </w:tcPr>
          <w:p w14:paraId="6915358A">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龙27-5拉油点占地内</w:t>
            </w:r>
          </w:p>
        </w:tc>
        <w:tc>
          <w:tcPr>
            <w:tcW w:w="703" w:type="pct"/>
            <w:vAlign w:val="center"/>
          </w:tcPr>
          <w:p w14:paraId="6DB3D316">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124.44731，46.32108</w:t>
            </w:r>
          </w:p>
        </w:tc>
        <w:tc>
          <w:tcPr>
            <w:tcW w:w="859" w:type="pct"/>
            <w:vMerge w:val="continue"/>
            <w:vAlign w:val="center"/>
          </w:tcPr>
          <w:p w14:paraId="26B5D8AC">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469" w:type="pct"/>
            <w:vAlign w:val="center"/>
          </w:tcPr>
          <w:p w14:paraId="294604B2">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风沙土</w:t>
            </w:r>
          </w:p>
        </w:tc>
        <w:tc>
          <w:tcPr>
            <w:tcW w:w="1560" w:type="pct"/>
            <w:vAlign w:val="center"/>
          </w:tcPr>
          <w:p w14:paraId="7E2EDBB4">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采取柱状样，在0~0.5m、0.5~1.5m、1.5~3m分别取样</w:t>
            </w:r>
          </w:p>
        </w:tc>
      </w:tr>
      <w:tr w14:paraId="6A8D5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5" w:type="pct"/>
            <w:vAlign w:val="center"/>
          </w:tcPr>
          <w:p w14:paraId="77DB782B">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w:t>
            </w:r>
          </w:p>
        </w:tc>
        <w:tc>
          <w:tcPr>
            <w:tcW w:w="1174" w:type="pct"/>
          </w:tcPr>
          <w:p w14:paraId="399E04A7">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龙26-平54拉油点占地内</w:t>
            </w:r>
          </w:p>
        </w:tc>
        <w:tc>
          <w:tcPr>
            <w:tcW w:w="703" w:type="pct"/>
            <w:vAlign w:val="center"/>
          </w:tcPr>
          <w:p w14:paraId="7E255E65">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124.44693，46.30712</w:t>
            </w:r>
          </w:p>
        </w:tc>
        <w:tc>
          <w:tcPr>
            <w:tcW w:w="859" w:type="pct"/>
            <w:vMerge w:val="continue"/>
            <w:vAlign w:val="center"/>
          </w:tcPr>
          <w:p w14:paraId="7AA33FD3">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469" w:type="pct"/>
            <w:vAlign w:val="center"/>
          </w:tcPr>
          <w:p w14:paraId="63D47AA9">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风沙土</w:t>
            </w:r>
          </w:p>
        </w:tc>
        <w:tc>
          <w:tcPr>
            <w:tcW w:w="1560" w:type="pct"/>
            <w:vAlign w:val="center"/>
          </w:tcPr>
          <w:p w14:paraId="69728CB8">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采取柱状样，在0~0.5m、0.5~1.5m、1.5~3m分别取样</w:t>
            </w:r>
          </w:p>
        </w:tc>
      </w:tr>
      <w:tr w14:paraId="7B94F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5" w:type="pct"/>
            <w:vAlign w:val="center"/>
          </w:tcPr>
          <w:p w14:paraId="4BF0334D">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w:t>
            </w:r>
          </w:p>
        </w:tc>
        <w:tc>
          <w:tcPr>
            <w:tcW w:w="1174" w:type="pct"/>
          </w:tcPr>
          <w:p w14:paraId="58ECFC45">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8号拉油点占地内</w:t>
            </w:r>
          </w:p>
        </w:tc>
        <w:tc>
          <w:tcPr>
            <w:tcW w:w="703" w:type="pct"/>
            <w:vAlign w:val="center"/>
          </w:tcPr>
          <w:p w14:paraId="1696C11B">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124.39897，46.28902</w:t>
            </w:r>
          </w:p>
        </w:tc>
        <w:tc>
          <w:tcPr>
            <w:tcW w:w="859" w:type="pct"/>
            <w:vMerge w:val="continue"/>
            <w:vAlign w:val="center"/>
          </w:tcPr>
          <w:p w14:paraId="307ADAB6">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469" w:type="pct"/>
            <w:vAlign w:val="center"/>
          </w:tcPr>
          <w:p w14:paraId="742550E8">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草甸土</w:t>
            </w:r>
          </w:p>
        </w:tc>
        <w:tc>
          <w:tcPr>
            <w:tcW w:w="1560" w:type="pct"/>
            <w:vAlign w:val="center"/>
          </w:tcPr>
          <w:p w14:paraId="569DB77C">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采取柱状样，在0~0.5m、0.5~1.5m、1.5~3m分别取样</w:t>
            </w:r>
          </w:p>
        </w:tc>
      </w:tr>
      <w:tr w14:paraId="320F28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5" w:type="pct"/>
            <w:vAlign w:val="center"/>
          </w:tcPr>
          <w:p w14:paraId="1DB1DA8D">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6</w:t>
            </w:r>
          </w:p>
        </w:tc>
        <w:tc>
          <w:tcPr>
            <w:tcW w:w="1174" w:type="pct"/>
          </w:tcPr>
          <w:p w14:paraId="4B1A03B3">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5号拉油点占地内</w:t>
            </w:r>
          </w:p>
        </w:tc>
        <w:tc>
          <w:tcPr>
            <w:tcW w:w="703" w:type="pct"/>
            <w:vAlign w:val="center"/>
          </w:tcPr>
          <w:p w14:paraId="400CD7DF">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124.40020，46.30974</w:t>
            </w:r>
          </w:p>
        </w:tc>
        <w:tc>
          <w:tcPr>
            <w:tcW w:w="859" w:type="pct"/>
            <w:vMerge w:val="continue"/>
            <w:vAlign w:val="center"/>
          </w:tcPr>
          <w:p w14:paraId="47C26ACA">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469" w:type="pct"/>
            <w:vAlign w:val="center"/>
          </w:tcPr>
          <w:p w14:paraId="0887ACFD">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草甸土</w:t>
            </w:r>
          </w:p>
        </w:tc>
        <w:tc>
          <w:tcPr>
            <w:tcW w:w="1560" w:type="pct"/>
            <w:vAlign w:val="center"/>
          </w:tcPr>
          <w:p w14:paraId="58042513">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采取表层样，在0~0.2m取样</w:t>
            </w:r>
          </w:p>
        </w:tc>
      </w:tr>
      <w:tr w14:paraId="67114C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5" w:type="pct"/>
            <w:vAlign w:val="center"/>
          </w:tcPr>
          <w:p w14:paraId="0A90198D">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7</w:t>
            </w:r>
          </w:p>
        </w:tc>
        <w:tc>
          <w:tcPr>
            <w:tcW w:w="1174" w:type="pct"/>
          </w:tcPr>
          <w:p w14:paraId="5530F22A">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龙242-斜3拉油点占地内</w:t>
            </w:r>
          </w:p>
        </w:tc>
        <w:tc>
          <w:tcPr>
            <w:tcW w:w="703" w:type="pct"/>
            <w:vAlign w:val="center"/>
          </w:tcPr>
          <w:p w14:paraId="51C71B16">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124.41468，46.30606</w:t>
            </w:r>
          </w:p>
        </w:tc>
        <w:tc>
          <w:tcPr>
            <w:tcW w:w="859" w:type="pct"/>
            <w:vMerge w:val="continue"/>
            <w:vAlign w:val="center"/>
          </w:tcPr>
          <w:p w14:paraId="5E66EF0F">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469" w:type="pct"/>
            <w:vAlign w:val="center"/>
          </w:tcPr>
          <w:p w14:paraId="2DEE0B03">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风沙土</w:t>
            </w:r>
          </w:p>
        </w:tc>
        <w:tc>
          <w:tcPr>
            <w:tcW w:w="1560" w:type="pct"/>
            <w:vAlign w:val="center"/>
          </w:tcPr>
          <w:p w14:paraId="20292F89">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采取表层样，在0~0.2m取样</w:t>
            </w:r>
          </w:p>
        </w:tc>
      </w:tr>
      <w:tr w14:paraId="14908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5" w:type="pct"/>
            <w:vAlign w:val="center"/>
          </w:tcPr>
          <w:p w14:paraId="1DA31C2F">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w:t>
            </w:r>
          </w:p>
        </w:tc>
        <w:tc>
          <w:tcPr>
            <w:tcW w:w="1174" w:type="pct"/>
            <w:vAlign w:val="center"/>
          </w:tcPr>
          <w:p w14:paraId="157CEA67">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杏树岗村</w:t>
            </w:r>
          </w:p>
        </w:tc>
        <w:tc>
          <w:tcPr>
            <w:tcW w:w="703" w:type="pct"/>
            <w:vAlign w:val="center"/>
          </w:tcPr>
          <w:p w14:paraId="74393526">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124.43067，46.31154</w:t>
            </w:r>
          </w:p>
        </w:tc>
        <w:tc>
          <w:tcPr>
            <w:tcW w:w="859" w:type="pct"/>
            <w:vAlign w:val="center"/>
          </w:tcPr>
          <w:p w14:paraId="51B8FACC">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《土壤环境质量 建设用地土壤污染风险管控标准（试行）》（GB36600-2018）中第一类用地筛选值</w:t>
            </w:r>
          </w:p>
        </w:tc>
        <w:tc>
          <w:tcPr>
            <w:tcW w:w="469" w:type="pct"/>
            <w:vAlign w:val="center"/>
          </w:tcPr>
          <w:p w14:paraId="407A5806">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风沙土</w:t>
            </w:r>
          </w:p>
        </w:tc>
        <w:tc>
          <w:tcPr>
            <w:tcW w:w="1560" w:type="pct"/>
            <w:vAlign w:val="center"/>
          </w:tcPr>
          <w:p w14:paraId="308FB7F2">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采取表层样，在0~0.2m取样</w:t>
            </w:r>
          </w:p>
        </w:tc>
      </w:tr>
      <w:tr w14:paraId="3EB03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5" w:type="pct"/>
            <w:vAlign w:val="center"/>
          </w:tcPr>
          <w:p w14:paraId="07FC4FEA">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9</w:t>
            </w:r>
          </w:p>
        </w:tc>
        <w:tc>
          <w:tcPr>
            <w:tcW w:w="1174" w:type="pct"/>
            <w:vAlign w:val="center"/>
          </w:tcPr>
          <w:p w14:paraId="75926B7E">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4号拉油点西侧100m草地</w:t>
            </w:r>
          </w:p>
        </w:tc>
        <w:tc>
          <w:tcPr>
            <w:tcW w:w="703" w:type="pct"/>
            <w:vAlign w:val="center"/>
          </w:tcPr>
          <w:p w14:paraId="0D32B66A">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124.37345，46.34409</w:t>
            </w:r>
          </w:p>
        </w:tc>
        <w:tc>
          <w:tcPr>
            <w:tcW w:w="859" w:type="pct"/>
            <w:vMerge w:val="restart"/>
            <w:vAlign w:val="center"/>
          </w:tcPr>
          <w:p w14:paraId="6D8CBAE0">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《土壤环境质量 农用地土壤污染风险管控标准》（GB 15618-2018）中的筛选值</w:t>
            </w:r>
          </w:p>
        </w:tc>
        <w:tc>
          <w:tcPr>
            <w:tcW w:w="469" w:type="pct"/>
            <w:vAlign w:val="center"/>
          </w:tcPr>
          <w:p w14:paraId="4AEA1052">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草甸土</w:t>
            </w:r>
          </w:p>
        </w:tc>
        <w:tc>
          <w:tcPr>
            <w:tcW w:w="1560" w:type="pct"/>
            <w:vAlign w:val="center"/>
          </w:tcPr>
          <w:p w14:paraId="1080F7D4">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采取表层样，在0~0.2m取样</w:t>
            </w:r>
          </w:p>
        </w:tc>
      </w:tr>
      <w:tr w14:paraId="264B6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5" w:type="pct"/>
            <w:vAlign w:val="center"/>
          </w:tcPr>
          <w:p w14:paraId="0877DD2A">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10</w:t>
            </w:r>
          </w:p>
        </w:tc>
        <w:tc>
          <w:tcPr>
            <w:tcW w:w="1174" w:type="pct"/>
            <w:vAlign w:val="center"/>
          </w:tcPr>
          <w:p w14:paraId="796C5119">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龙242-1拉油点东北侧100m耕地</w:t>
            </w:r>
          </w:p>
        </w:tc>
        <w:tc>
          <w:tcPr>
            <w:tcW w:w="703" w:type="pct"/>
            <w:vAlign w:val="center"/>
          </w:tcPr>
          <w:p w14:paraId="4B7018CD">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124.39861，46.30038</w:t>
            </w:r>
          </w:p>
        </w:tc>
        <w:tc>
          <w:tcPr>
            <w:tcW w:w="859" w:type="pct"/>
            <w:vMerge w:val="continue"/>
            <w:vAlign w:val="center"/>
          </w:tcPr>
          <w:p w14:paraId="26745FE5">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469" w:type="pct"/>
            <w:vAlign w:val="center"/>
          </w:tcPr>
          <w:p w14:paraId="598F8B7D">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草甸土</w:t>
            </w:r>
          </w:p>
        </w:tc>
        <w:tc>
          <w:tcPr>
            <w:tcW w:w="1560" w:type="pct"/>
            <w:vAlign w:val="center"/>
          </w:tcPr>
          <w:p w14:paraId="72E71632">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采取表层样，在0~0.2m取样</w:t>
            </w:r>
          </w:p>
        </w:tc>
      </w:tr>
      <w:tr w14:paraId="6E23D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5" w:type="pct"/>
            <w:vAlign w:val="center"/>
          </w:tcPr>
          <w:p w14:paraId="361D7448">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w:t>
            </w:r>
          </w:p>
        </w:tc>
        <w:tc>
          <w:tcPr>
            <w:tcW w:w="1174" w:type="pct"/>
            <w:vAlign w:val="center"/>
          </w:tcPr>
          <w:p w14:paraId="2302C620">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龙27-1号拉油点南侧100m耕地</w:t>
            </w:r>
          </w:p>
        </w:tc>
        <w:tc>
          <w:tcPr>
            <w:tcW w:w="703" w:type="pct"/>
            <w:vAlign w:val="center"/>
          </w:tcPr>
          <w:p w14:paraId="3C77768B">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124.44746，46.32740</w:t>
            </w:r>
          </w:p>
        </w:tc>
        <w:tc>
          <w:tcPr>
            <w:tcW w:w="859" w:type="pct"/>
            <w:vMerge w:val="continue"/>
            <w:vAlign w:val="center"/>
          </w:tcPr>
          <w:p w14:paraId="4E0B7FD2">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469" w:type="pct"/>
            <w:vAlign w:val="center"/>
          </w:tcPr>
          <w:p w14:paraId="2A338683">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风沙土</w:t>
            </w:r>
          </w:p>
        </w:tc>
        <w:tc>
          <w:tcPr>
            <w:tcW w:w="1560" w:type="pct"/>
            <w:vAlign w:val="center"/>
          </w:tcPr>
          <w:p w14:paraId="15BC26A9">
            <w:pPr>
              <w:widowControl/>
              <w:autoSpaceDE/>
              <w:autoSpaceDN/>
              <w:adjustRightInd w:val="0"/>
              <w:snapToGrid w:val="0"/>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采取表层样，在0~0.2m取样</w:t>
            </w:r>
          </w:p>
        </w:tc>
      </w:tr>
    </w:tbl>
    <w:p w14:paraId="700BFC49">
      <w:pPr>
        <w:autoSpaceDE/>
        <w:autoSpaceDN/>
        <w:spacing w:line="440" w:lineRule="exact"/>
        <w:ind w:firstLine="474" w:firstLineChars="200"/>
        <w:jc w:val="both"/>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（2）监测项目</w:t>
      </w:r>
    </w:p>
    <w:p w14:paraId="16DA6340">
      <w:pPr>
        <w:autoSpaceDE/>
        <w:autoSpaceDN/>
        <w:spacing w:line="440" w:lineRule="exact"/>
        <w:ind w:firstLine="474" w:firstLineChars="200"/>
        <w:jc w:val="both"/>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1#~8#点位监测项目：pH、Cd、Hg、As、Pb、Cr（六价）、Cu、Ni、苯、甲苯、乙苯、氯苯、苯乙烯、间二甲苯+对二甲苯、邻二甲苯、氯乙烯、1,2-二氯苯、1,4-二氯苯、四氯化碳、氯仿、氯甲烷、1,1-二氯乙烷、1,2-二氯乙烷、1,1-二氯乙烯、顺-1,2-二氯乙烯、反-1,2-二氯乙烯、二氯甲烷、1,2-二氯丙烷、1,1,1,2-四氯乙烷、1,1,2,2-四氯乙烷、四氯乙烯、1,1,1-三氯乙烷、1,1,2-三氯乙烷、三氯乙烯、1,2,3-三氯丙烷、硝基苯、苯胺、2-氯酚、䓛、萘、苯并（a）蒽、苯并（b）荧蒽、苯并（k）荧蒽、苯并(a)芘、茚并（1，2，3-cd）芘、二苯并（a,h）蒽、石油烃（C</w:t>
      </w:r>
      <w:r>
        <w:rPr>
          <w:rFonts w:ascii="Times New Roman" w:hAnsi="Times New Roman" w:cs="Times New Roman" w:eastAsiaTheme="minorEastAsia"/>
          <w:color w:val="000000" w:themeColor="text1"/>
          <w:w w:val="99"/>
          <w:kern w:val="21"/>
          <w:sz w:val="24"/>
          <w:szCs w:val="24"/>
          <w:vertAlign w:val="subscript"/>
          <w:lang w:val="en-US" w:bidi="ar-SA"/>
          <w14:textFill>
            <w14:solidFill>
              <w14:schemeClr w14:val="tx1"/>
            </w14:solidFill>
          </w14:textFill>
        </w:rPr>
        <w:t>10</w:t>
      </w: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-C</w:t>
      </w:r>
      <w:r>
        <w:rPr>
          <w:rFonts w:ascii="Times New Roman" w:hAnsi="Times New Roman" w:cs="Times New Roman" w:eastAsiaTheme="minorEastAsia"/>
          <w:color w:val="000000" w:themeColor="text1"/>
          <w:w w:val="99"/>
          <w:kern w:val="21"/>
          <w:sz w:val="24"/>
          <w:szCs w:val="24"/>
          <w:vertAlign w:val="subscript"/>
          <w:lang w:val="en-US" w:bidi="ar-SA"/>
          <w14:textFill>
            <w14:solidFill>
              <w14:schemeClr w14:val="tx1"/>
            </w14:solidFill>
          </w14:textFill>
        </w:rPr>
        <w:t>40</w:t>
      </w: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），共47项。</w:t>
      </w:r>
    </w:p>
    <w:p w14:paraId="531E42EC">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9#~11#点位监测项目：pH、镉、汞、砷、铅、铬、铜、镍、锌、石油烃（C</w:t>
      </w:r>
      <w:r>
        <w:rPr>
          <w:rFonts w:ascii="Times New Roman" w:hAnsi="Times New Roman" w:cs="Times New Roman" w:eastAsiaTheme="minorEastAsia"/>
          <w:color w:val="000000" w:themeColor="text1"/>
          <w:w w:val="99"/>
          <w:kern w:val="21"/>
          <w:sz w:val="24"/>
          <w:szCs w:val="24"/>
          <w:vertAlign w:val="subscript"/>
          <w:lang w:val="en-US" w:bidi="ar-SA"/>
          <w14:textFill>
            <w14:solidFill>
              <w14:schemeClr w14:val="tx1"/>
            </w14:solidFill>
          </w14:textFill>
        </w:rPr>
        <w:t>10</w:t>
      </w: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-C</w:t>
      </w:r>
      <w:r>
        <w:rPr>
          <w:rFonts w:ascii="Times New Roman" w:hAnsi="Times New Roman" w:cs="Times New Roman" w:eastAsiaTheme="minorEastAsia"/>
          <w:color w:val="000000" w:themeColor="text1"/>
          <w:w w:val="99"/>
          <w:kern w:val="21"/>
          <w:sz w:val="24"/>
          <w:szCs w:val="24"/>
          <w:vertAlign w:val="subscript"/>
          <w:lang w:val="en-US" w:bidi="ar-SA"/>
          <w14:textFill>
            <w14:solidFill>
              <w14:schemeClr w14:val="tx1"/>
            </w14:solidFill>
          </w14:textFill>
        </w:rPr>
        <w:t>40</w:t>
      </w: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），共10项。</w:t>
      </w:r>
    </w:p>
    <w:p w14:paraId="4AFA4C2C">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（3）监测时间</w:t>
      </w:r>
    </w:p>
    <w:p w14:paraId="7F491829">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2022年10月16日。</w:t>
      </w:r>
    </w:p>
    <w:p w14:paraId="3230D77A">
      <w:pPr>
        <w:widowControl/>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（4）</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监测频次</w:t>
      </w:r>
    </w:p>
    <w:p w14:paraId="16C74375">
      <w:pPr>
        <w:widowControl/>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采样1次，分别对各采样土壤进行监测因子全分析。</w:t>
      </w:r>
    </w:p>
    <w:p w14:paraId="757394B3">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（5）监测结果</w:t>
      </w:r>
    </w:p>
    <w:p w14:paraId="6E1C95E1">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表4.3-21    建设用地土壤环境质量现状监测结果    单位：mg/kg（pH无量纲）</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13"/>
        <w:gridCol w:w="908"/>
        <w:gridCol w:w="908"/>
        <w:gridCol w:w="910"/>
        <w:gridCol w:w="908"/>
        <w:gridCol w:w="908"/>
        <w:gridCol w:w="836"/>
        <w:gridCol w:w="860"/>
        <w:gridCol w:w="871"/>
        <w:gridCol w:w="865"/>
      </w:tblGrid>
      <w:tr w14:paraId="6F6EE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59AEC68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监测时间</w:t>
            </w:r>
          </w:p>
        </w:tc>
        <w:tc>
          <w:tcPr>
            <w:tcW w:w="4293" w:type="pct"/>
            <w:gridSpan w:val="9"/>
            <w:vAlign w:val="center"/>
          </w:tcPr>
          <w:p w14:paraId="2102471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2022.10.16</w:t>
            </w:r>
          </w:p>
        </w:tc>
      </w:tr>
      <w:tr w14:paraId="64B93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Merge w:val="restart"/>
            <w:vAlign w:val="center"/>
          </w:tcPr>
          <w:p w14:paraId="0DA8185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监测项目</w:t>
            </w:r>
          </w:p>
        </w:tc>
        <w:tc>
          <w:tcPr>
            <w:tcW w:w="4293" w:type="pct"/>
            <w:gridSpan w:val="9"/>
            <w:vAlign w:val="center"/>
          </w:tcPr>
          <w:p w14:paraId="04B9BDF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测点位及监测结果</w:t>
            </w:r>
          </w:p>
        </w:tc>
      </w:tr>
      <w:tr w14:paraId="26F80D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Merge w:val="continue"/>
            <w:vAlign w:val="center"/>
          </w:tcPr>
          <w:p w14:paraId="301B0E95">
            <w:pPr>
              <w:widowControl/>
              <w:autoSpaceDE/>
              <w:autoSpaceDN/>
              <w:adjustRightInd w:val="0"/>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468" w:type="pct"/>
            <w:gridSpan w:val="3"/>
            <w:vAlign w:val="center"/>
          </w:tcPr>
          <w:p w14:paraId="190B3D7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拟建混输阀组间占地内</w:t>
            </w:r>
          </w:p>
        </w:tc>
        <w:tc>
          <w:tcPr>
            <w:tcW w:w="1428" w:type="pct"/>
            <w:gridSpan w:val="3"/>
            <w:vAlign w:val="center"/>
          </w:tcPr>
          <w:p w14:paraId="5F413E0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4号拉油点占地内</w:t>
            </w:r>
          </w:p>
        </w:tc>
        <w:tc>
          <w:tcPr>
            <w:tcW w:w="1397" w:type="pct"/>
            <w:gridSpan w:val="3"/>
            <w:vAlign w:val="center"/>
          </w:tcPr>
          <w:p w14:paraId="64F5061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龙27-5拉油点占地内</w:t>
            </w:r>
          </w:p>
        </w:tc>
      </w:tr>
      <w:tr w14:paraId="0B7A5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Merge w:val="continue"/>
            <w:vAlign w:val="center"/>
          </w:tcPr>
          <w:p w14:paraId="15366311">
            <w:pPr>
              <w:widowControl/>
              <w:autoSpaceDE/>
              <w:autoSpaceDN/>
              <w:adjustRightInd w:val="0"/>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489" w:type="pct"/>
            <w:vAlign w:val="center"/>
          </w:tcPr>
          <w:p w14:paraId="628344B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0-50cm</w:t>
            </w:r>
          </w:p>
        </w:tc>
        <w:tc>
          <w:tcPr>
            <w:tcW w:w="489" w:type="pct"/>
            <w:vAlign w:val="center"/>
          </w:tcPr>
          <w:p w14:paraId="60F0DE0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50-150cm</w:t>
            </w:r>
          </w:p>
        </w:tc>
        <w:tc>
          <w:tcPr>
            <w:tcW w:w="490" w:type="pct"/>
            <w:vAlign w:val="center"/>
          </w:tcPr>
          <w:p w14:paraId="1382847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150-300cm</w:t>
            </w:r>
          </w:p>
        </w:tc>
        <w:tc>
          <w:tcPr>
            <w:tcW w:w="489" w:type="pct"/>
            <w:vAlign w:val="center"/>
          </w:tcPr>
          <w:p w14:paraId="111FAAF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0-50cm</w:t>
            </w:r>
          </w:p>
        </w:tc>
        <w:tc>
          <w:tcPr>
            <w:tcW w:w="489" w:type="pct"/>
            <w:vAlign w:val="center"/>
          </w:tcPr>
          <w:p w14:paraId="06EF476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50-150cm</w:t>
            </w:r>
          </w:p>
        </w:tc>
        <w:tc>
          <w:tcPr>
            <w:tcW w:w="450" w:type="pct"/>
            <w:vAlign w:val="center"/>
          </w:tcPr>
          <w:p w14:paraId="2493540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150-300cm</w:t>
            </w:r>
          </w:p>
        </w:tc>
        <w:tc>
          <w:tcPr>
            <w:tcW w:w="463" w:type="pct"/>
            <w:vAlign w:val="center"/>
          </w:tcPr>
          <w:p w14:paraId="430B2B9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0-50cm</w:t>
            </w:r>
          </w:p>
        </w:tc>
        <w:tc>
          <w:tcPr>
            <w:tcW w:w="469" w:type="pct"/>
            <w:vAlign w:val="center"/>
          </w:tcPr>
          <w:p w14:paraId="1E942FA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50-150cm</w:t>
            </w:r>
          </w:p>
        </w:tc>
        <w:tc>
          <w:tcPr>
            <w:tcW w:w="465" w:type="pct"/>
            <w:vAlign w:val="center"/>
          </w:tcPr>
          <w:p w14:paraId="35F4CD7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150-300cm</w:t>
            </w:r>
          </w:p>
        </w:tc>
      </w:tr>
      <w:tr w14:paraId="2420C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6F32977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pH</w:t>
            </w:r>
          </w:p>
        </w:tc>
        <w:tc>
          <w:tcPr>
            <w:tcW w:w="489" w:type="pct"/>
            <w:vAlign w:val="center"/>
          </w:tcPr>
          <w:p w14:paraId="02EA662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8.15</w:t>
            </w:r>
          </w:p>
        </w:tc>
        <w:tc>
          <w:tcPr>
            <w:tcW w:w="489" w:type="pct"/>
            <w:vAlign w:val="center"/>
          </w:tcPr>
          <w:p w14:paraId="755D0A6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8.03</w:t>
            </w:r>
          </w:p>
        </w:tc>
        <w:tc>
          <w:tcPr>
            <w:tcW w:w="490" w:type="pct"/>
            <w:vAlign w:val="center"/>
          </w:tcPr>
          <w:p w14:paraId="0D6417E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7.95</w:t>
            </w:r>
          </w:p>
        </w:tc>
        <w:tc>
          <w:tcPr>
            <w:tcW w:w="489" w:type="pct"/>
            <w:vAlign w:val="center"/>
          </w:tcPr>
          <w:p w14:paraId="53F5388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8.31</w:t>
            </w:r>
          </w:p>
        </w:tc>
        <w:tc>
          <w:tcPr>
            <w:tcW w:w="489" w:type="pct"/>
            <w:vAlign w:val="center"/>
          </w:tcPr>
          <w:p w14:paraId="0187784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8.15</w:t>
            </w:r>
          </w:p>
        </w:tc>
        <w:tc>
          <w:tcPr>
            <w:tcW w:w="450" w:type="pct"/>
            <w:vAlign w:val="center"/>
          </w:tcPr>
          <w:p w14:paraId="451EFE3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8.26</w:t>
            </w:r>
          </w:p>
        </w:tc>
        <w:tc>
          <w:tcPr>
            <w:tcW w:w="463" w:type="pct"/>
            <w:vAlign w:val="center"/>
          </w:tcPr>
          <w:p w14:paraId="510B281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8.25</w:t>
            </w:r>
          </w:p>
        </w:tc>
        <w:tc>
          <w:tcPr>
            <w:tcW w:w="469" w:type="pct"/>
            <w:vAlign w:val="center"/>
          </w:tcPr>
          <w:p w14:paraId="340E1B2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8.13</w:t>
            </w:r>
          </w:p>
        </w:tc>
        <w:tc>
          <w:tcPr>
            <w:tcW w:w="465" w:type="pct"/>
            <w:vAlign w:val="center"/>
          </w:tcPr>
          <w:p w14:paraId="1C34795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8.01</w:t>
            </w:r>
          </w:p>
        </w:tc>
      </w:tr>
      <w:tr w14:paraId="24CEB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18BC209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镉（Cd）</w:t>
            </w:r>
          </w:p>
        </w:tc>
        <w:tc>
          <w:tcPr>
            <w:tcW w:w="489" w:type="pct"/>
            <w:vAlign w:val="center"/>
          </w:tcPr>
          <w:p w14:paraId="043B5BF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0.12</w:t>
            </w:r>
          </w:p>
        </w:tc>
        <w:tc>
          <w:tcPr>
            <w:tcW w:w="489" w:type="pct"/>
            <w:vAlign w:val="center"/>
          </w:tcPr>
          <w:p w14:paraId="74439FB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0.07</w:t>
            </w:r>
          </w:p>
        </w:tc>
        <w:tc>
          <w:tcPr>
            <w:tcW w:w="490" w:type="pct"/>
            <w:vAlign w:val="center"/>
          </w:tcPr>
          <w:p w14:paraId="6152336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0.09</w:t>
            </w:r>
          </w:p>
        </w:tc>
        <w:tc>
          <w:tcPr>
            <w:tcW w:w="489" w:type="pct"/>
            <w:vAlign w:val="center"/>
          </w:tcPr>
          <w:p w14:paraId="298AB1B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0.10</w:t>
            </w:r>
          </w:p>
        </w:tc>
        <w:tc>
          <w:tcPr>
            <w:tcW w:w="489" w:type="pct"/>
            <w:vAlign w:val="center"/>
          </w:tcPr>
          <w:p w14:paraId="48CF7A6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0.13</w:t>
            </w:r>
          </w:p>
        </w:tc>
        <w:tc>
          <w:tcPr>
            <w:tcW w:w="450" w:type="pct"/>
            <w:vAlign w:val="center"/>
          </w:tcPr>
          <w:p w14:paraId="5A98074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0.08</w:t>
            </w:r>
          </w:p>
        </w:tc>
        <w:tc>
          <w:tcPr>
            <w:tcW w:w="463" w:type="pct"/>
            <w:vAlign w:val="center"/>
          </w:tcPr>
          <w:p w14:paraId="155D0A2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0.11</w:t>
            </w:r>
          </w:p>
        </w:tc>
        <w:tc>
          <w:tcPr>
            <w:tcW w:w="469" w:type="pct"/>
            <w:vAlign w:val="center"/>
          </w:tcPr>
          <w:p w14:paraId="2D5BA40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0.08</w:t>
            </w:r>
          </w:p>
        </w:tc>
        <w:tc>
          <w:tcPr>
            <w:tcW w:w="465" w:type="pct"/>
            <w:vAlign w:val="center"/>
          </w:tcPr>
          <w:p w14:paraId="2FB0984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0.09</w:t>
            </w:r>
          </w:p>
        </w:tc>
      </w:tr>
      <w:tr w14:paraId="301A1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2A9C083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汞（Hg）</w:t>
            </w:r>
          </w:p>
        </w:tc>
        <w:tc>
          <w:tcPr>
            <w:tcW w:w="489" w:type="pct"/>
            <w:vAlign w:val="center"/>
          </w:tcPr>
          <w:p w14:paraId="3EF3306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0.026</w:t>
            </w:r>
          </w:p>
        </w:tc>
        <w:tc>
          <w:tcPr>
            <w:tcW w:w="489" w:type="pct"/>
            <w:vAlign w:val="center"/>
          </w:tcPr>
          <w:p w14:paraId="129552F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0.018</w:t>
            </w:r>
          </w:p>
        </w:tc>
        <w:tc>
          <w:tcPr>
            <w:tcW w:w="490" w:type="pct"/>
            <w:vAlign w:val="center"/>
          </w:tcPr>
          <w:p w14:paraId="059B816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0.021</w:t>
            </w:r>
          </w:p>
        </w:tc>
        <w:tc>
          <w:tcPr>
            <w:tcW w:w="489" w:type="pct"/>
            <w:vAlign w:val="center"/>
          </w:tcPr>
          <w:p w14:paraId="39C0197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0.020</w:t>
            </w:r>
          </w:p>
        </w:tc>
        <w:tc>
          <w:tcPr>
            <w:tcW w:w="489" w:type="pct"/>
            <w:vAlign w:val="center"/>
          </w:tcPr>
          <w:p w14:paraId="199CF9C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0.024</w:t>
            </w:r>
          </w:p>
        </w:tc>
        <w:tc>
          <w:tcPr>
            <w:tcW w:w="450" w:type="pct"/>
            <w:vAlign w:val="center"/>
          </w:tcPr>
          <w:p w14:paraId="3626956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0.019</w:t>
            </w:r>
          </w:p>
        </w:tc>
        <w:tc>
          <w:tcPr>
            <w:tcW w:w="463" w:type="pct"/>
            <w:vAlign w:val="center"/>
          </w:tcPr>
          <w:p w14:paraId="013DF83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0.018</w:t>
            </w:r>
          </w:p>
        </w:tc>
        <w:tc>
          <w:tcPr>
            <w:tcW w:w="469" w:type="pct"/>
            <w:vAlign w:val="center"/>
          </w:tcPr>
          <w:p w14:paraId="41683C7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0.022</w:t>
            </w:r>
          </w:p>
        </w:tc>
        <w:tc>
          <w:tcPr>
            <w:tcW w:w="465" w:type="pct"/>
            <w:vAlign w:val="center"/>
          </w:tcPr>
          <w:p w14:paraId="56E5271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0.017</w:t>
            </w:r>
          </w:p>
        </w:tc>
      </w:tr>
      <w:tr w14:paraId="3C14A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73C0F92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砷（As）</w:t>
            </w:r>
          </w:p>
        </w:tc>
        <w:tc>
          <w:tcPr>
            <w:tcW w:w="489" w:type="pct"/>
            <w:vAlign w:val="center"/>
          </w:tcPr>
          <w:p w14:paraId="4D244DC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3.36</w:t>
            </w:r>
          </w:p>
        </w:tc>
        <w:tc>
          <w:tcPr>
            <w:tcW w:w="489" w:type="pct"/>
            <w:vAlign w:val="center"/>
          </w:tcPr>
          <w:p w14:paraId="04C88CB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3.41</w:t>
            </w:r>
          </w:p>
        </w:tc>
        <w:tc>
          <w:tcPr>
            <w:tcW w:w="490" w:type="pct"/>
            <w:vAlign w:val="center"/>
          </w:tcPr>
          <w:p w14:paraId="1CCAC53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3.29</w:t>
            </w:r>
          </w:p>
        </w:tc>
        <w:tc>
          <w:tcPr>
            <w:tcW w:w="489" w:type="pct"/>
            <w:vAlign w:val="center"/>
          </w:tcPr>
          <w:p w14:paraId="29FB763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3.42</w:t>
            </w:r>
          </w:p>
        </w:tc>
        <w:tc>
          <w:tcPr>
            <w:tcW w:w="489" w:type="pct"/>
            <w:vAlign w:val="center"/>
          </w:tcPr>
          <w:p w14:paraId="2EF2E32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3.28</w:t>
            </w:r>
          </w:p>
        </w:tc>
        <w:tc>
          <w:tcPr>
            <w:tcW w:w="450" w:type="pct"/>
            <w:vAlign w:val="center"/>
          </w:tcPr>
          <w:p w14:paraId="37018B2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3.38</w:t>
            </w:r>
          </w:p>
        </w:tc>
        <w:tc>
          <w:tcPr>
            <w:tcW w:w="463" w:type="pct"/>
            <w:vAlign w:val="center"/>
          </w:tcPr>
          <w:p w14:paraId="514499F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3.36</w:t>
            </w:r>
          </w:p>
        </w:tc>
        <w:tc>
          <w:tcPr>
            <w:tcW w:w="469" w:type="pct"/>
            <w:vAlign w:val="center"/>
          </w:tcPr>
          <w:p w14:paraId="4FD4163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3.43</w:t>
            </w:r>
          </w:p>
        </w:tc>
        <w:tc>
          <w:tcPr>
            <w:tcW w:w="465" w:type="pct"/>
            <w:vAlign w:val="center"/>
          </w:tcPr>
          <w:p w14:paraId="1665024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3.31</w:t>
            </w:r>
          </w:p>
        </w:tc>
      </w:tr>
      <w:tr w14:paraId="563C74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0032C34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铅（Pb）</w:t>
            </w:r>
          </w:p>
        </w:tc>
        <w:tc>
          <w:tcPr>
            <w:tcW w:w="489" w:type="pct"/>
            <w:vAlign w:val="center"/>
          </w:tcPr>
          <w:p w14:paraId="367AF3C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15</w:t>
            </w:r>
          </w:p>
        </w:tc>
        <w:tc>
          <w:tcPr>
            <w:tcW w:w="489" w:type="pct"/>
            <w:vAlign w:val="center"/>
          </w:tcPr>
          <w:p w14:paraId="25E709D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22</w:t>
            </w:r>
          </w:p>
        </w:tc>
        <w:tc>
          <w:tcPr>
            <w:tcW w:w="490" w:type="pct"/>
            <w:vAlign w:val="center"/>
          </w:tcPr>
          <w:p w14:paraId="2B71383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19</w:t>
            </w:r>
          </w:p>
        </w:tc>
        <w:tc>
          <w:tcPr>
            <w:tcW w:w="489" w:type="pct"/>
            <w:vAlign w:val="center"/>
          </w:tcPr>
          <w:p w14:paraId="3186C89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16</w:t>
            </w:r>
          </w:p>
        </w:tc>
        <w:tc>
          <w:tcPr>
            <w:tcW w:w="489" w:type="pct"/>
            <w:vAlign w:val="center"/>
          </w:tcPr>
          <w:p w14:paraId="1ACAE3B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21</w:t>
            </w:r>
          </w:p>
        </w:tc>
        <w:tc>
          <w:tcPr>
            <w:tcW w:w="450" w:type="pct"/>
            <w:vAlign w:val="center"/>
          </w:tcPr>
          <w:p w14:paraId="748E8B3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20</w:t>
            </w:r>
          </w:p>
        </w:tc>
        <w:tc>
          <w:tcPr>
            <w:tcW w:w="463" w:type="pct"/>
            <w:vAlign w:val="center"/>
          </w:tcPr>
          <w:p w14:paraId="1B7EBAF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22</w:t>
            </w:r>
          </w:p>
        </w:tc>
        <w:tc>
          <w:tcPr>
            <w:tcW w:w="469" w:type="pct"/>
            <w:vAlign w:val="center"/>
          </w:tcPr>
          <w:p w14:paraId="67D8037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18</w:t>
            </w:r>
          </w:p>
        </w:tc>
        <w:tc>
          <w:tcPr>
            <w:tcW w:w="465" w:type="pct"/>
            <w:vAlign w:val="center"/>
          </w:tcPr>
          <w:p w14:paraId="650A466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23</w:t>
            </w:r>
          </w:p>
        </w:tc>
      </w:tr>
      <w:tr w14:paraId="6D211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6854E9B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铬（六价）</w:t>
            </w:r>
          </w:p>
        </w:tc>
        <w:tc>
          <w:tcPr>
            <w:tcW w:w="489" w:type="pct"/>
            <w:vAlign w:val="center"/>
          </w:tcPr>
          <w:p w14:paraId="1C96D54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6181607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3B5F3E6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4FE9C89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56C1142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482F316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5587F5D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5BEF31B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02540A7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59F7EC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29A06DA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铜（Cu）</w:t>
            </w:r>
          </w:p>
        </w:tc>
        <w:tc>
          <w:tcPr>
            <w:tcW w:w="489" w:type="pct"/>
            <w:vAlign w:val="center"/>
          </w:tcPr>
          <w:p w14:paraId="0A9BFFE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14</w:t>
            </w:r>
          </w:p>
        </w:tc>
        <w:tc>
          <w:tcPr>
            <w:tcW w:w="489" w:type="pct"/>
            <w:vAlign w:val="center"/>
          </w:tcPr>
          <w:p w14:paraId="1DB619E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18</w:t>
            </w:r>
          </w:p>
        </w:tc>
        <w:tc>
          <w:tcPr>
            <w:tcW w:w="490" w:type="pct"/>
            <w:vAlign w:val="center"/>
          </w:tcPr>
          <w:p w14:paraId="6E0BFDC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15</w:t>
            </w:r>
          </w:p>
        </w:tc>
        <w:tc>
          <w:tcPr>
            <w:tcW w:w="489" w:type="pct"/>
            <w:vAlign w:val="center"/>
          </w:tcPr>
          <w:p w14:paraId="5D1436E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489" w:type="pct"/>
            <w:vAlign w:val="center"/>
          </w:tcPr>
          <w:p w14:paraId="6B8B13F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21</w:t>
            </w:r>
          </w:p>
        </w:tc>
        <w:tc>
          <w:tcPr>
            <w:tcW w:w="450" w:type="pct"/>
            <w:vAlign w:val="center"/>
          </w:tcPr>
          <w:p w14:paraId="5189884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18</w:t>
            </w:r>
          </w:p>
        </w:tc>
        <w:tc>
          <w:tcPr>
            <w:tcW w:w="463" w:type="pct"/>
            <w:vAlign w:val="center"/>
          </w:tcPr>
          <w:p w14:paraId="243CEEF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15</w:t>
            </w:r>
          </w:p>
        </w:tc>
        <w:tc>
          <w:tcPr>
            <w:tcW w:w="469" w:type="pct"/>
            <w:vAlign w:val="center"/>
          </w:tcPr>
          <w:p w14:paraId="50A8734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22</w:t>
            </w:r>
          </w:p>
        </w:tc>
        <w:tc>
          <w:tcPr>
            <w:tcW w:w="465" w:type="pct"/>
            <w:vAlign w:val="center"/>
          </w:tcPr>
          <w:p w14:paraId="695AC30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r>
      <w:tr w14:paraId="79954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172F733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镍（Ni）</w:t>
            </w:r>
          </w:p>
        </w:tc>
        <w:tc>
          <w:tcPr>
            <w:tcW w:w="489" w:type="pct"/>
            <w:vAlign w:val="center"/>
          </w:tcPr>
          <w:p w14:paraId="126423F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21</w:t>
            </w:r>
          </w:p>
        </w:tc>
        <w:tc>
          <w:tcPr>
            <w:tcW w:w="489" w:type="pct"/>
            <w:vAlign w:val="center"/>
          </w:tcPr>
          <w:p w14:paraId="26C5189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26</w:t>
            </w:r>
          </w:p>
        </w:tc>
        <w:tc>
          <w:tcPr>
            <w:tcW w:w="490" w:type="pct"/>
            <w:vAlign w:val="center"/>
          </w:tcPr>
          <w:p w14:paraId="724D52D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18</w:t>
            </w:r>
          </w:p>
        </w:tc>
        <w:tc>
          <w:tcPr>
            <w:tcW w:w="489" w:type="pct"/>
            <w:vAlign w:val="center"/>
          </w:tcPr>
          <w:p w14:paraId="1B6FD0D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22</w:t>
            </w:r>
          </w:p>
        </w:tc>
        <w:tc>
          <w:tcPr>
            <w:tcW w:w="489" w:type="pct"/>
            <w:vAlign w:val="center"/>
          </w:tcPr>
          <w:p w14:paraId="2BAC37C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18</w:t>
            </w:r>
          </w:p>
        </w:tc>
        <w:tc>
          <w:tcPr>
            <w:tcW w:w="450" w:type="pct"/>
            <w:vAlign w:val="center"/>
          </w:tcPr>
          <w:p w14:paraId="08E58FF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24</w:t>
            </w:r>
          </w:p>
        </w:tc>
        <w:tc>
          <w:tcPr>
            <w:tcW w:w="463" w:type="pct"/>
            <w:vAlign w:val="center"/>
          </w:tcPr>
          <w:p w14:paraId="69CFA33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21</w:t>
            </w:r>
          </w:p>
        </w:tc>
        <w:tc>
          <w:tcPr>
            <w:tcW w:w="469" w:type="pct"/>
            <w:vAlign w:val="center"/>
          </w:tcPr>
          <w:p w14:paraId="5DB50AD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19</w:t>
            </w:r>
          </w:p>
        </w:tc>
        <w:tc>
          <w:tcPr>
            <w:tcW w:w="465" w:type="pct"/>
            <w:vAlign w:val="center"/>
          </w:tcPr>
          <w:p w14:paraId="056E754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23</w:t>
            </w:r>
          </w:p>
        </w:tc>
      </w:tr>
      <w:tr w14:paraId="7F691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7001ADC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w:t>
            </w:r>
          </w:p>
        </w:tc>
        <w:tc>
          <w:tcPr>
            <w:tcW w:w="489" w:type="pct"/>
            <w:vAlign w:val="center"/>
          </w:tcPr>
          <w:p w14:paraId="0B751A8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2687F93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4970D86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092B837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655F836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1C42284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31109F7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65C2400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681EC49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28AD2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7DCC3E8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甲苯</w:t>
            </w:r>
          </w:p>
        </w:tc>
        <w:tc>
          <w:tcPr>
            <w:tcW w:w="489" w:type="pct"/>
            <w:vAlign w:val="center"/>
          </w:tcPr>
          <w:p w14:paraId="1F86B2E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0D8A323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09B644B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3076482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44BA60F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3D28014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42C52D0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215D162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0B286B6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47A7B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1655B8F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乙苯</w:t>
            </w:r>
          </w:p>
        </w:tc>
        <w:tc>
          <w:tcPr>
            <w:tcW w:w="489" w:type="pct"/>
            <w:vAlign w:val="center"/>
          </w:tcPr>
          <w:p w14:paraId="71A6C6C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2623DC3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48C303D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7C781AB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26A69C4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60C52A2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06EDF68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721757E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0494485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5907E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075E00C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氯苯</w:t>
            </w:r>
          </w:p>
        </w:tc>
        <w:tc>
          <w:tcPr>
            <w:tcW w:w="489" w:type="pct"/>
            <w:vAlign w:val="center"/>
          </w:tcPr>
          <w:p w14:paraId="3C4FFE2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63D5D25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1CF2577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1811B17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79D10DA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64056BB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3F0290E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607E52B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69395F3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04F8E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1F90DA8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苯乙烯</w:t>
            </w:r>
          </w:p>
        </w:tc>
        <w:tc>
          <w:tcPr>
            <w:tcW w:w="489" w:type="pct"/>
            <w:vAlign w:val="center"/>
          </w:tcPr>
          <w:p w14:paraId="131C079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355B2B0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058F88B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6E7C72A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3748386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68A8B47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2B1F118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61F0C7B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6D2A25C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2F73D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5B049F3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间二甲苯+对二甲苯</w:t>
            </w:r>
          </w:p>
        </w:tc>
        <w:tc>
          <w:tcPr>
            <w:tcW w:w="489" w:type="pct"/>
            <w:vAlign w:val="center"/>
          </w:tcPr>
          <w:p w14:paraId="5B5D6F1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2A7C1C0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764BFB6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5BF792F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43CE597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5E4AD92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7878E25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508F05A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19D8DBC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5B336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0924304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邻二甲苯</w:t>
            </w:r>
          </w:p>
        </w:tc>
        <w:tc>
          <w:tcPr>
            <w:tcW w:w="489" w:type="pct"/>
            <w:vAlign w:val="center"/>
          </w:tcPr>
          <w:p w14:paraId="4C5CF58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254303F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16FB299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3C77550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4906D3B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25F45D2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2AA6AD4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5752969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1669281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7D99D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5E9109E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氯乙烯</w:t>
            </w:r>
          </w:p>
        </w:tc>
        <w:tc>
          <w:tcPr>
            <w:tcW w:w="489" w:type="pct"/>
            <w:vAlign w:val="center"/>
          </w:tcPr>
          <w:p w14:paraId="7D36AC1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3574531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4AA421F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15B8230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542487A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1874EFC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591F848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292C03B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189740B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61033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11AE5A0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1,2-二氯苯</w:t>
            </w:r>
          </w:p>
        </w:tc>
        <w:tc>
          <w:tcPr>
            <w:tcW w:w="489" w:type="pct"/>
            <w:vAlign w:val="center"/>
          </w:tcPr>
          <w:p w14:paraId="68C070D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39B4FD8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6F70258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3C5D5A7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6463F1E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6943012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4A8F384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736E440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683554C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75250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52921DA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1,4-二氯苯</w:t>
            </w:r>
          </w:p>
        </w:tc>
        <w:tc>
          <w:tcPr>
            <w:tcW w:w="489" w:type="pct"/>
            <w:vAlign w:val="center"/>
          </w:tcPr>
          <w:p w14:paraId="4A88B1E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791D34F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7085F05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5D617F1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00554E3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63A6DBB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1348C53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69C3ACB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12C6F15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7EC8C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290F671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四氯化碳</w:t>
            </w:r>
          </w:p>
        </w:tc>
        <w:tc>
          <w:tcPr>
            <w:tcW w:w="489" w:type="pct"/>
            <w:vAlign w:val="center"/>
          </w:tcPr>
          <w:p w14:paraId="4EF30B4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5D03F9B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7C90667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4AB7631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7860E8A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38CB431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68D88D5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56B3E66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4E99D68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11EA0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783C2C4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氯仿</w:t>
            </w:r>
          </w:p>
        </w:tc>
        <w:tc>
          <w:tcPr>
            <w:tcW w:w="489" w:type="pct"/>
            <w:vAlign w:val="center"/>
          </w:tcPr>
          <w:p w14:paraId="377BA94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1E1A3B5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6F63996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5B00D69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4A3628E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1ACC77B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3119981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3DECD12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41205F0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2976DE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5B6EA0D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氯甲烷</w:t>
            </w:r>
          </w:p>
        </w:tc>
        <w:tc>
          <w:tcPr>
            <w:tcW w:w="489" w:type="pct"/>
            <w:vAlign w:val="center"/>
          </w:tcPr>
          <w:p w14:paraId="3E1C597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60A1783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2D8D6FC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26052B8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2F63FA3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2983DD5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42CF0AA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1BD87D6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5B500FB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7BFD8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503E0A5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1,1-二氯乙烷</w:t>
            </w:r>
          </w:p>
        </w:tc>
        <w:tc>
          <w:tcPr>
            <w:tcW w:w="489" w:type="pct"/>
            <w:vAlign w:val="center"/>
          </w:tcPr>
          <w:p w14:paraId="771FF3B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1FD679B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02085C9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15D4D10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206451B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439FA53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5E92BAC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3E141ED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24EEE61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08787C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48880D8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1,2-二氯乙烷</w:t>
            </w:r>
          </w:p>
        </w:tc>
        <w:tc>
          <w:tcPr>
            <w:tcW w:w="489" w:type="pct"/>
            <w:vAlign w:val="center"/>
          </w:tcPr>
          <w:p w14:paraId="267B0E5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59E2F35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729DCCC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2AC60AB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0A96FF0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5DC3825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306D388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691E477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49A98C4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26182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115B96D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1,1-二氯乙烯</w:t>
            </w:r>
          </w:p>
        </w:tc>
        <w:tc>
          <w:tcPr>
            <w:tcW w:w="489" w:type="pct"/>
            <w:vAlign w:val="center"/>
          </w:tcPr>
          <w:p w14:paraId="01B6541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4AC44FE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683ABD3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307AE05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74FC79B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14D71A3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1B1629D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3C50FAB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09AF533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3CD75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08A24D5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顺-1,2-二氯乙烯</w:t>
            </w:r>
          </w:p>
        </w:tc>
        <w:tc>
          <w:tcPr>
            <w:tcW w:w="489" w:type="pct"/>
            <w:vAlign w:val="center"/>
          </w:tcPr>
          <w:p w14:paraId="557D049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382567A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0E071D6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41FF01A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6EEF67B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7169CD1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02EDB27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73E4413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16A7C25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45901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2BB8C0A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反-1,2-二氯乙烯</w:t>
            </w:r>
          </w:p>
        </w:tc>
        <w:tc>
          <w:tcPr>
            <w:tcW w:w="489" w:type="pct"/>
            <w:vAlign w:val="center"/>
          </w:tcPr>
          <w:p w14:paraId="69C3236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7E3104D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3994C78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1BB7BB9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72A4947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2EE0F97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07D0234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56E61FB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555C009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14D05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43256A3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二氯甲烷</w:t>
            </w:r>
          </w:p>
        </w:tc>
        <w:tc>
          <w:tcPr>
            <w:tcW w:w="489" w:type="pct"/>
            <w:vAlign w:val="center"/>
          </w:tcPr>
          <w:p w14:paraId="0D67BD0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5FCABC1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7F9E60F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79FB072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2E4E1CC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05B33F1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4887F05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221BAF5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1B227AD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5A9EB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189E1DE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1,2-二氯丙烷</w:t>
            </w:r>
          </w:p>
        </w:tc>
        <w:tc>
          <w:tcPr>
            <w:tcW w:w="489" w:type="pct"/>
            <w:vAlign w:val="center"/>
          </w:tcPr>
          <w:p w14:paraId="04EF17C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6370828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6E4CC00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116F827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7DEDED3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2BB2683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7653FA8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0EBF58B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5DBA997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27D56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16EB05C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1,1,1,2-四氯乙烷</w:t>
            </w:r>
          </w:p>
        </w:tc>
        <w:tc>
          <w:tcPr>
            <w:tcW w:w="489" w:type="pct"/>
            <w:vAlign w:val="center"/>
          </w:tcPr>
          <w:p w14:paraId="514A451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294A59D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2465E4C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74056A7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0ED1894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178D52C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23AD3CD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4802CAF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2E30F93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1F8C4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4215D92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1,1,2,2-四氯乙烷</w:t>
            </w:r>
          </w:p>
        </w:tc>
        <w:tc>
          <w:tcPr>
            <w:tcW w:w="489" w:type="pct"/>
            <w:vAlign w:val="center"/>
          </w:tcPr>
          <w:p w14:paraId="5B395B0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4266FB6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03C79E0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1C060C7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2F192B9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73AA0B1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5D780C8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61867B0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7F2A946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2DC83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6317D05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四氯乙烯</w:t>
            </w:r>
          </w:p>
        </w:tc>
        <w:tc>
          <w:tcPr>
            <w:tcW w:w="489" w:type="pct"/>
            <w:vAlign w:val="center"/>
          </w:tcPr>
          <w:p w14:paraId="239F83C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398E2BC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1E33232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2AD8542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4822275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614C7BD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4E37C04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4BD7F6C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3721FBD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3083D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76129FF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1,1,1-三氯乙烷</w:t>
            </w:r>
          </w:p>
        </w:tc>
        <w:tc>
          <w:tcPr>
            <w:tcW w:w="489" w:type="pct"/>
            <w:vAlign w:val="center"/>
          </w:tcPr>
          <w:p w14:paraId="438EF2E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5E08BE9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10837AD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1F0BA25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1C5F5AC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1129DA6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0DACB36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356A63C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4D82DDC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0BCF2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4D929CF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1,1,2-三氯乙烷</w:t>
            </w:r>
          </w:p>
        </w:tc>
        <w:tc>
          <w:tcPr>
            <w:tcW w:w="489" w:type="pct"/>
            <w:vAlign w:val="center"/>
          </w:tcPr>
          <w:p w14:paraId="0C9C4A0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62D0E56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02FC973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2F424F8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1DF0F3F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3FCCFF8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36730CD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76BFB20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331D72F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2FE0D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24AE748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三氯乙烯</w:t>
            </w:r>
          </w:p>
        </w:tc>
        <w:tc>
          <w:tcPr>
            <w:tcW w:w="489" w:type="pct"/>
            <w:vAlign w:val="center"/>
          </w:tcPr>
          <w:p w14:paraId="53B9519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077C9D1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52A3903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67E14AE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49044CF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4509D55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254AE94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45E47E9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69D873D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0E46C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60FAE18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1,2,3-三氯丙烷</w:t>
            </w:r>
          </w:p>
        </w:tc>
        <w:tc>
          <w:tcPr>
            <w:tcW w:w="489" w:type="pct"/>
            <w:vAlign w:val="center"/>
          </w:tcPr>
          <w:p w14:paraId="13AC04B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493DAB2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5DDD079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0378D35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4D50A63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2A06791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5560DFD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00773B0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792151A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6CE13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4D79B24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硝基苯</w:t>
            </w:r>
          </w:p>
        </w:tc>
        <w:tc>
          <w:tcPr>
            <w:tcW w:w="489" w:type="pct"/>
            <w:vAlign w:val="center"/>
          </w:tcPr>
          <w:p w14:paraId="50B9DD2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05672A2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61C9822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0A92AD1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3806470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63DFE04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1EAC3D5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50B91C6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6882617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1D0FB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1662C02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苯胺</w:t>
            </w:r>
          </w:p>
        </w:tc>
        <w:tc>
          <w:tcPr>
            <w:tcW w:w="489" w:type="pct"/>
            <w:vAlign w:val="center"/>
          </w:tcPr>
          <w:p w14:paraId="6572DB8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025BD25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179FF08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6DDA232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6482CEE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09476D9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1443601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77CA3B5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2452F1B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72A9E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7F14718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2-氯酚</w:t>
            </w:r>
          </w:p>
        </w:tc>
        <w:tc>
          <w:tcPr>
            <w:tcW w:w="489" w:type="pct"/>
            <w:vAlign w:val="center"/>
          </w:tcPr>
          <w:p w14:paraId="4E54720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18A8627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0ED6783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54CE17D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0176633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35C9C87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191D5F7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16E5424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742CB85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0AFFA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7A9476C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䓛</w:t>
            </w:r>
          </w:p>
        </w:tc>
        <w:tc>
          <w:tcPr>
            <w:tcW w:w="489" w:type="pct"/>
            <w:vAlign w:val="center"/>
          </w:tcPr>
          <w:p w14:paraId="2C9C90C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0D6ABA8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5281675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4965455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4D2246A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36FCDD3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1DBF667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52C9C04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20E1A18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797AE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0DE5F0D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萘</w:t>
            </w:r>
          </w:p>
        </w:tc>
        <w:tc>
          <w:tcPr>
            <w:tcW w:w="489" w:type="pct"/>
            <w:vAlign w:val="center"/>
          </w:tcPr>
          <w:p w14:paraId="4954696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465C685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621B95D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57512B5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5FF832D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4FC46A6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3D33DA7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0952207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2EB539E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0BE9F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7A39415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苯并[a]蒽</w:t>
            </w:r>
          </w:p>
        </w:tc>
        <w:tc>
          <w:tcPr>
            <w:tcW w:w="489" w:type="pct"/>
            <w:vAlign w:val="center"/>
          </w:tcPr>
          <w:p w14:paraId="018CB28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0DA890C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16C6BF3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61A28AA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33AE909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4AEE819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3AEE84A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6B63CBB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6E8C000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1C284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2A6E2A5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苯并[b]荧蒽</w:t>
            </w:r>
          </w:p>
        </w:tc>
        <w:tc>
          <w:tcPr>
            <w:tcW w:w="489" w:type="pct"/>
            <w:vAlign w:val="center"/>
          </w:tcPr>
          <w:p w14:paraId="5F5BF66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66094F6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0E37BE7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0B91CC5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735916E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3BD0419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3F71BF3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09C2382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7AF1752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12D75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504A621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苯并[k]荧蒽</w:t>
            </w:r>
          </w:p>
        </w:tc>
        <w:tc>
          <w:tcPr>
            <w:tcW w:w="489" w:type="pct"/>
            <w:vAlign w:val="center"/>
          </w:tcPr>
          <w:p w14:paraId="50A1FF9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71D751F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6C716D1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5671FF5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6E5C8DA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6FB4427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7166018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71558A7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79AD926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14872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6B27115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苯并[a]芘</w:t>
            </w:r>
          </w:p>
        </w:tc>
        <w:tc>
          <w:tcPr>
            <w:tcW w:w="489" w:type="pct"/>
            <w:vAlign w:val="center"/>
          </w:tcPr>
          <w:p w14:paraId="54D1C13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0DEDA62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710C243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79D57FE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0E99D1B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3E0EFD8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6020BF5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635864C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511E5A9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4494F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200B091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茚并[1,2,3-cd]芘</w:t>
            </w:r>
          </w:p>
        </w:tc>
        <w:tc>
          <w:tcPr>
            <w:tcW w:w="489" w:type="pct"/>
            <w:vAlign w:val="center"/>
          </w:tcPr>
          <w:p w14:paraId="6268BC5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670EB25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39DCB82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6391965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63428B0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0ADDA26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73AC2F1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2F97983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65B7506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58B39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229191E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二苯并[a, h]蒽</w:t>
            </w:r>
          </w:p>
        </w:tc>
        <w:tc>
          <w:tcPr>
            <w:tcW w:w="489" w:type="pct"/>
            <w:vAlign w:val="center"/>
          </w:tcPr>
          <w:p w14:paraId="45965C5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3460B21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0" w:type="pct"/>
            <w:vAlign w:val="center"/>
          </w:tcPr>
          <w:p w14:paraId="7C9D29A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345474F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9" w:type="pct"/>
            <w:vAlign w:val="center"/>
          </w:tcPr>
          <w:p w14:paraId="2718EF1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50" w:type="pct"/>
            <w:vAlign w:val="center"/>
          </w:tcPr>
          <w:p w14:paraId="029935C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3" w:type="pct"/>
            <w:vAlign w:val="center"/>
          </w:tcPr>
          <w:p w14:paraId="4AAFCBE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552E763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5" w:type="pct"/>
            <w:vAlign w:val="center"/>
          </w:tcPr>
          <w:p w14:paraId="727A4B9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2973A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7" w:type="pct"/>
            <w:vAlign w:val="center"/>
          </w:tcPr>
          <w:p w14:paraId="7CB035A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石油烃（C</w:t>
            </w:r>
            <w:r>
              <w:rPr>
                <w:rFonts w:ascii="Times New Roman" w:hAnsi="Times New Roman" w:cs="Times New Roman" w:eastAsiaTheme="minorEastAsia"/>
                <w:color w:val="000000" w:themeColor="text1"/>
                <w:w w:val="99"/>
                <w:sz w:val="21"/>
                <w:szCs w:val="21"/>
                <w:vertAlign w:val="subscript"/>
                <w:lang w:val="en-US" w:bidi="ar-SA"/>
                <w14:textFill>
                  <w14:solidFill>
                    <w14:schemeClr w14:val="tx1"/>
                  </w14:solidFill>
                </w14:textFill>
              </w:rPr>
              <w:t>10-</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C</w:t>
            </w:r>
            <w:r>
              <w:rPr>
                <w:rFonts w:ascii="Times New Roman" w:hAnsi="Times New Roman" w:cs="Times New Roman" w:eastAsiaTheme="minorEastAsia"/>
                <w:color w:val="000000" w:themeColor="text1"/>
                <w:w w:val="99"/>
                <w:sz w:val="21"/>
                <w:szCs w:val="21"/>
                <w:vertAlign w:val="subscript"/>
                <w:lang w:val="en-US" w:bidi="ar-SA"/>
                <w14:textFill>
                  <w14:solidFill>
                    <w14:schemeClr w14:val="tx1"/>
                  </w14:solidFill>
                </w14:textFill>
              </w:rPr>
              <w:t>40</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489" w:type="pct"/>
            <w:vAlign w:val="center"/>
          </w:tcPr>
          <w:p w14:paraId="0F06B0B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15</w:t>
            </w:r>
          </w:p>
        </w:tc>
        <w:tc>
          <w:tcPr>
            <w:tcW w:w="489" w:type="pct"/>
            <w:vAlign w:val="center"/>
          </w:tcPr>
          <w:p w14:paraId="0EB72CB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22</w:t>
            </w:r>
          </w:p>
        </w:tc>
        <w:tc>
          <w:tcPr>
            <w:tcW w:w="490" w:type="pct"/>
            <w:vAlign w:val="center"/>
          </w:tcPr>
          <w:p w14:paraId="243A103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17</w:t>
            </w:r>
          </w:p>
        </w:tc>
        <w:tc>
          <w:tcPr>
            <w:tcW w:w="489" w:type="pct"/>
            <w:vAlign w:val="center"/>
          </w:tcPr>
          <w:p w14:paraId="628DC5C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24</w:t>
            </w:r>
          </w:p>
        </w:tc>
        <w:tc>
          <w:tcPr>
            <w:tcW w:w="489" w:type="pct"/>
            <w:vAlign w:val="center"/>
          </w:tcPr>
          <w:p w14:paraId="73E875E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15</w:t>
            </w:r>
          </w:p>
        </w:tc>
        <w:tc>
          <w:tcPr>
            <w:tcW w:w="450" w:type="pct"/>
            <w:vAlign w:val="center"/>
          </w:tcPr>
          <w:p w14:paraId="37FFCAE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20</w:t>
            </w:r>
          </w:p>
        </w:tc>
        <w:tc>
          <w:tcPr>
            <w:tcW w:w="463" w:type="pct"/>
            <w:vAlign w:val="center"/>
          </w:tcPr>
          <w:p w14:paraId="6B17CB5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16</w:t>
            </w:r>
          </w:p>
        </w:tc>
        <w:tc>
          <w:tcPr>
            <w:tcW w:w="469" w:type="pct"/>
            <w:vAlign w:val="center"/>
          </w:tcPr>
          <w:p w14:paraId="0AE1D1F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26</w:t>
            </w:r>
          </w:p>
        </w:tc>
        <w:tc>
          <w:tcPr>
            <w:tcW w:w="465" w:type="pct"/>
            <w:vAlign w:val="center"/>
          </w:tcPr>
          <w:p w14:paraId="1441555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21</w:t>
            </w:r>
          </w:p>
        </w:tc>
      </w:tr>
    </w:tbl>
    <w:p w14:paraId="54957104">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续表4.3-21    建设用地土壤环境质量现状监测结果    单位：mg/kg（pH无量纲）</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62"/>
        <w:gridCol w:w="871"/>
        <w:gridCol w:w="871"/>
        <w:gridCol w:w="871"/>
        <w:gridCol w:w="869"/>
        <w:gridCol w:w="893"/>
        <w:gridCol w:w="912"/>
        <w:gridCol w:w="947"/>
        <w:gridCol w:w="875"/>
        <w:gridCol w:w="1016"/>
      </w:tblGrid>
      <w:tr w14:paraId="3722B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625" w:type="pct"/>
            <w:vAlign w:val="center"/>
          </w:tcPr>
          <w:p w14:paraId="041D77F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监测时间</w:t>
            </w:r>
          </w:p>
        </w:tc>
        <w:tc>
          <w:tcPr>
            <w:tcW w:w="4375" w:type="pct"/>
            <w:gridSpan w:val="9"/>
            <w:vAlign w:val="center"/>
          </w:tcPr>
          <w:p w14:paraId="79907D4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2022.10.16</w:t>
            </w:r>
          </w:p>
        </w:tc>
      </w:tr>
      <w:tr w14:paraId="0D129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Merge w:val="restart"/>
            <w:vAlign w:val="center"/>
          </w:tcPr>
          <w:p w14:paraId="4AB58EB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监测项目</w:t>
            </w:r>
          </w:p>
        </w:tc>
        <w:tc>
          <w:tcPr>
            <w:tcW w:w="4375" w:type="pct"/>
            <w:gridSpan w:val="9"/>
            <w:vAlign w:val="center"/>
          </w:tcPr>
          <w:p w14:paraId="323096B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测点位及监测结果</w:t>
            </w:r>
          </w:p>
        </w:tc>
      </w:tr>
      <w:tr w14:paraId="5CA73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14:paraId="1E81CED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407" w:type="pct"/>
            <w:gridSpan w:val="3"/>
            <w:vAlign w:val="center"/>
          </w:tcPr>
          <w:p w14:paraId="74E88CD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龙26-平54拉油点占地内</w:t>
            </w:r>
          </w:p>
        </w:tc>
        <w:tc>
          <w:tcPr>
            <w:tcW w:w="1440" w:type="pct"/>
            <w:gridSpan w:val="3"/>
            <w:vAlign w:val="center"/>
          </w:tcPr>
          <w:p w14:paraId="186F9DD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8号拉油点占地内</w:t>
            </w:r>
          </w:p>
        </w:tc>
        <w:tc>
          <w:tcPr>
            <w:tcW w:w="510" w:type="pct"/>
            <w:vAlign w:val="center"/>
          </w:tcPr>
          <w:p w14:paraId="0D0758F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5号拉油点占地内</w:t>
            </w:r>
          </w:p>
        </w:tc>
        <w:tc>
          <w:tcPr>
            <w:tcW w:w="471" w:type="pct"/>
            <w:vAlign w:val="center"/>
          </w:tcPr>
          <w:p w14:paraId="6DED9C8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龙242-斜3拉油点占地内</w:t>
            </w:r>
          </w:p>
        </w:tc>
        <w:tc>
          <w:tcPr>
            <w:tcW w:w="547" w:type="pct"/>
            <w:vAlign w:val="center"/>
          </w:tcPr>
          <w:p w14:paraId="4F99DC5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杏树岗村</w:t>
            </w:r>
          </w:p>
        </w:tc>
      </w:tr>
      <w:tr w14:paraId="21A55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14:paraId="167421A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469" w:type="pct"/>
            <w:vAlign w:val="center"/>
          </w:tcPr>
          <w:p w14:paraId="003C6F7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0-50cm</w:t>
            </w:r>
          </w:p>
        </w:tc>
        <w:tc>
          <w:tcPr>
            <w:tcW w:w="469" w:type="pct"/>
            <w:vAlign w:val="center"/>
          </w:tcPr>
          <w:p w14:paraId="298D19F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50-150cm</w:t>
            </w:r>
          </w:p>
        </w:tc>
        <w:tc>
          <w:tcPr>
            <w:tcW w:w="469" w:type="pct"/>
            <w:vAlign w:val="center"/>
          </w:tcPr>
          <w:p w14:paraId="252A34F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150-300cm</w:t>
            </w:r>
          </w:p>
        </w:tc>
        <w:tc>
          <w:tcPr>
            <w:tcW w:w="468" w:type="pct"/>
            <w:vAlign w:val="center"/>
          </w:tcPr>
          <w:p w14:paraId="5F3E788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0-50cm</w:t>
            </w:r>
          </w:p>
        </w:tc>
        <w:tc>
          <w:tcPr>
            <w:tcW w:w="481" w:type="pct"/>
            <w:vAlign w:val="center"/>
          </w:tcPr>
          <w:p w14:paraId="7AA22DC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50-150cm</w:t>
            </w:r>
          </w:p>
        </w:tc>
        <w:tc>
          <w:tcPr>
            <w:tcW w:w="491" w:type="pct"/>
            <w:vAlign w:val="center"/>
          </w:tcPr>
          <w:p w14:paraId="3AC4071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150-300cm</w:t>
            </w:r>
          </w:p>
        </w:tc>
        <w:tc>
          <w:tcPr>
            <w:tcW w:w="510" w:type="pct"/>
            <w:vAlign w:val="center"/>
          </w:tcPr>
          <w:p w14:paraId="0D519DE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0-20cm</w:t>
            </w:r>
          </w:p>
        </w:tc>
        <w:tc>
          <w:tcPr>
            <w:tcW w:w="471" w:type="pct"/>
            <w:vAlign w:val="center"/>
          </w:tcPr>
          <w:p w14:paraId="0F2393D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0-20cm</w:t>
            </w:r>
          </w:p>
        </w:tc>
        <w:tc>
          <w:tcPr>
            <w:tcW w:w="547" w:type="pct"/>
            <w:vAlign w:val="center"/>
          </w:tcPr>
          <w:p w14:paraId="62EC632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0-20cm</w:t>
            </w:r>
          </w:p>
        </w:tc>
      </w:tr>
      <w:tr w14:paraId="2D774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5F60331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pH</w:t>
            </w:r>
          </w:p>
        </w:tc>
        <w:tc>
          <w:tcPr>
            <w:tcW w:w="469" w:type="pct"/>
            <w:vAlign w:val="center"/>
          </w:tcPr>
          <w:p w14:paraId="0895022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8.34</w:t>
            </w:r>
          </w:p>
        </w:tc>
        <w:tc>
          <w:tcPr>
            <w:tcW w:w="469" w:type="pct"/>
            <w:vAlign w:val="center"/>
          </w:tcPr>
          <w:p w14:paraId="578145B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8.06</w:t>
            </w:r>
          </w:p>
        </w:tc>
        <w:tc>
          <w:tcPr>
            <w:tcW w:w="469" w:type="pct"/>
            <w:vAlign w:val="center"/>
          </w:tcPr>
          <w:p w14:paraId="155DA29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8.27</w:t>
            </w:r>
          </w:p>
        </w:tc>
        <w:tc>
          <w:tcPr>
            <w:tcW w:w="468" w:type="pct"/>
            <w:vAlign w:val="center"/>
          </w:tcPr>
          <w:p w14:paraId="4432DAB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8.14</w:t>
            </w:r>
          </w:p>
        </w:tc>
        <w:tc>
          <w:tcPr>
            <w:tcW w:w="481" w:type="pct"/>
            <w:vAlign w:val="center"/>
          </w:tcPr>
          <w:p w14:paraId="6DFD54E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8.29</w:t>
            </w:r>
          </w:p>
        </w:tc>
        <w:tc>
          <w:tcPr>
            <w:tcW w:w="491" w:type="pct"/>
            <w:vAlign w:val="center"/>
          </w:tcPr>
          <w:p w14:paraId="2AAE10A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8.03</w:t>
            </w:r>
          </w:p>
        </w:tc>
        <w:tc>
          <w:tcPr>
            <w:tcW w:w="510" w:type="pct"/>
            <w:vAlign w:val="center"/>
          </w:tcPr>
          <w:p w14:paraId="72C0E90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8.32</w:t>
            </w:r>
          </w:p>
        </w:tc>
        <w:tc>
          <w:tcPr>
            <w:tcW w:w="471" w:type="pct"/>
            <w:vAlign w:val="center"/>
          </w:tcPr>
          <w:p w14:paraId="6DB9552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8.25</w:t>
            </w:r>
          </w:p>
        </w:tc>
        <w:tc>
          <w:tcPr>
            <w:tcW w:w="547" w:type="pct"/>
            <w:vAlign w:val="center"/>
          </w:tcPr>
          <w:p w14:paraId="7A0503F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7.81</w:t>
            </w:r>
          </w:p>
        </w:tc>
      </w:tr>
      <w:tr w14:paraId="44C5A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533D168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镉（Cd）</w:t>
            </w:r>
          </w:p>
        </w:tc>
        <w:tc>
          <w:tcPr>
            <w:tcW w:w="469" w:type="pct"/>
            <w:vAlign w:val="center"/>
          </w:tcPr>
          <w:p w14:paraId="6995662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0.09</w:t>
            </w:r>
          </w:p>
        </w:tc>
        <w:tc>
          <w:tcPr>
            <w:tcW w:w="469" w:type="pct"/>
            <w:vAlign w:val="center"/>
          </w:tcPr>
          <w:p w14:paraId="237D83D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0.12</w:t>
            </w:r>
          </w:p>
        </w:tc>
        <w:tc>
          <w:tcPr>
            <w:tcW w:w="469" w:type="pct"/>
            <w:vAlign w:val="center"/>
          </w:tcPr>
          <w:p w14:paraId="2138CC5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0.10</w:t>
            </w:r>
          </w:p>
        </w:tc>
        <w:tc>
          <w:tcPr>
            <w:tcW w:w="468" w:type="pct"/>
            <w:vAlign w:val="center"/>
          </w:tcPr>
          <w:p w14:paraId="1B0406A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0.08</w:t>
            </w:r>
          </w:p>
        </w:tc>
        <w:tc>
          <w:tcPr>
            <w:tcW w:w="481" w:type="pct"/>
            <w:vAlign w:val="center"/>
          </w:tcPr>
          <w:p w14:paraId="047F7DA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0.11</w:t>
            </w:r>
          </w:p>
        </w:tc>
        <w:tc>
          <w:tcPr>
            <w:tcW w:w="491" w:type="pct"/>
            <w:vAlign w:val="center"/>
          </w:tcPr>
          <w:p w14:paraId="2A04FCE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0.07</w:t>
            </w:r>
          </w:p>
        </w:tc>
        <w:tc>
          <w:tcPr>
            <w:tcW w:w="510" w:type="pct"/>
            <w:vAlign w:val="center"/>
          </w:tcPr>
          <w:p w14:paraId="1C665C4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0.10</w:t>
            </w:r>
          </w:p>
        </w:tc>
        <w:tc>
          <w:tcPr>
            <w:tcW w:w="471" w:type="pct"/>
            <w:vAlign w:val="center"/>
          </w:tcPr>
          <w:p w14:paraId="1DEF7C3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0.13</w:t>
            </w:r>
          </w:p>
        </w:tc>
        <w:tc>
          <w:tcPr>
            <w:tcW w:w="547" w:type="pct"/>
            <w:vAlign w:val="center"/>
          </w:tcPr>
          <w:p w14:paraId="077C409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0.08</w:t>
            </w:r>
          </w:p>
        </w:tc>
      </w:tr>
      <w:tr w14:paraId="65FFB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6DF9285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汞（Hg）</w:t>
            </w:r>
          </w:p>
        </w:tc>
        <w:tc>
          <w:tcPr>
            <w:tcW w:w="469" w:type="pct"/>
            <w:vAlign w:val="center"/>
          </w:tcPr>
          <w:p w14:paraId="0A8EC7B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0.027</w:t>
            </w:r>
          </w:p>
        </w:tc>
        <w:tc>
          <w:tcPr>
            <w:tcW w:w="469" w:type="pct"/>
            <w:vAlign w:val="center"/>
          </w:tcPr>
          <w:p w14:paraId="22906D0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0.020</w:t>
            </w:r>
          </w:p>
        </w:tc>
        <w:tc>
          <w:tcPr>
            <w:tcW w:w="469" w:type="pct"/>
            <w:vAlign w:val="center"/>
          </w:tcPr>
          <w:p w14:paraId="19B4870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0.018</w:t>
            </w:r>
          </w:p>
        </w:tc>
        <w:tc>
          <w:tcPr>
            <w:tcW w:w="468" w:type="pct"/>
            <w:vAlign w:val="center"/>
          </w:tcPr>
          <w:p w14:paraId="3DADFD2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0.021</w:t>
            </w:r>
          </w:p>
        </w:tc>
        <w:tc>
          <w:tcPr>
            <w:tcW w:w="481" w:type="pct"/>
            <w:vAlign w:val="center"/>
          </w:tcPr>
          <w:p w14:paraId="56D6801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0.026</w:t>
            </w:r>
          </w:p>
        </w:tc>
        <w:tc>
          <w:tcPr>
            <w:tcW w:w="491" w:type="pct"/>
            <w:vAlign w:val="center"/>
          </w:tcPr>
          <w:p w14:paraId="7DFBC20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0.023</w:t>
            </w:r>
          </w:p>
        </w:tc>
        <w:tc>
          <w:tcPr>
            <w:tcW w:w="510" w:type="pct"/>
            <w:vAlign w:val="center"/>
          </w:tcPr>
          <w:p w14:paraId="3E50373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0.024</w:t>
            </w:r>
          </w:p>
        </w:tc>
        <w:tc>
          <w:tcPr>
            <w:tcW w:w="471" w:type="pct"/>
            <w:vAlign w:val="center"/>
          </w:tcPr>
          <w:p w14:paraId="26628EA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0.027</w:t>
            </w:r>
          </w:p>
        </w:tc>
        <w:tc>
          <w:tcPr>
            <w:tcW w:w="547" w:type="pct"/>
            <w:vAlign w:val="center"/>
          </w:tcPr>
          <w:p w14:paraId="2E07381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0.017</w:t>
            </w:r>
          </w:p>
        </w:tc>
      </w:tr>
      <w:tr w14:paraId="1007C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1E0E040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砷（As）</w:t>
            </w:r>
          </w:p>
        </w:tc>
        <w:tc>
          <w:tcPr>
            <w:tcW w:w="469" w:type="pct"/>
            <w:vAlign w:val="center"/>
          </w:tcPr>
          <w:p w14:paraId="1ABD233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3.40</w:t>
            </w:r>
          </w:p>
        </w:tc>
        <w:tc>
          <w:tcPr>
            <w:tcW w:w="469" w:type="pct"/>
            <w:vAlign w:val="center"/>
          </w:tcPr>
          <w:p w14:paraId="64FD927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3.46</w:t>
            </w:r>
          </w:p>
        </w:tc>
        <w:tc>
          <w:tcPr>
            <w:tcW w:w="469" w:type="pct"/>
            <w:vAlign w:val="center"/>
          </w:tcPr>
          <w:p w14:paraId="6EE86E4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3.32</w:t>
            </w:r>
          </w:p>
        </w:tc>
        <w:tc>
          <w:tcPr>
            <w:tcW w:w="468" w:type="pct"/>
            <w:vAlign w:val="center"/>
          </w:tcPr>
          <w:p w14:paraId="65DBFA4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3.38</w:t>
            </w:r>
          </w:p>
        </w:tc>
        <w:tc>
          <w:tcPr>
            <w:tcW w:w="481" w:type="pct"/>
            <w:vAlign w:val="center"/>
          </w:tcPr>
          <w:p w14:paraId="431D572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3.47</w:t>
            </w:r>
          </w:p>
        </w:tc>
        <w:tc>
          <w:tcPr>
            <w:tcW w:w="491" w:type="pct"/>
            <w:vAlign w:val="center"/>
          </w:tcPr>
          <w:p w14:paraId="57A43E9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3.28</w:t>
            </w:r>
          </w:p>
        </w:tc>
        <w:tc>
          <w:tcPr>
            <w:tcW w:w="510" w:type="pct"/>
            <w:vAlign w:val="center"/>
          </w:tcPr>
          <w:p w14:paraId="53020A2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3.40</w:t>
            </w:r>
          </w:p>
        </w:tc>
        <w:tc>
          <w:tcPr>
            <w:tcW w:w="471" w:type="pct"/>
            <w:vAlign w:val="center"/>
          </w:tcPr>
          <w:p w14:paraId="104BAE0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3.36</w:t>
            </w:r>
          </w:p>
        </w:tc>
        <w:tc>
          <w:tcPr>
            <w:tcW w:w="547" w:type="pct"/>
            <w:vAlign w:val="center"/>
          </w:tcPr>
          <w:p w14:paraId="4260A0D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3.27</w:t>
            </w:r>
          </w:p>
        </w:tc>
      </w:tr>
      <w:tr w14:paraId="57F31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15A87E8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铅（Pb）</w:t>
            </w:r>
          </w:p>
        </w:tc>
        <w:tc>
          <w:tcPr>
            <w:tcW w:w="469" w:type="pct"/>
            <w:vAlign w:val="center"/>
          </w:tcPr>
          <w:p w14:paraId="7C0A400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21</w:t>
            </w:r>
          </w:p>
        </w:tc>
        <w:tc>
          <w:tcPr>
            <w:tcW w:w="469" w:type="pct"/>
            <w:vAlign w:val="center"/>
          </w:tcPr>
          <w:p w14:paraId="30464D1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24</w:t>
            </w:r>
          </w:p>
        </w:tc>
        <w:tc>
          <w:tcPr>
            <w:tcW w:w="469" w:type="pct"/>
            <w:vAlign w:val="center"/>
          </w:tcPr>
          <w:p w14:paraId="1408466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19</w:t>
            </w:r>
          </w:p>
        </w:tc>
        <w:tc>
          <w:tcPr>
            <w:tcW w:w="468" w:type="pct"/>
            <w:vAlign w:val="center"/>
          </w:tcPr>
          <w:p w14:paraId="1C815EC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20</w:t>
            </w:r>
          </w:p>
        </w:tc>
        <w:tc>
          <w:tcPr>
            <w:tcW w:w="481" w:type="pct"/>
            <w:vAlign w:val="center"/>
          </w:tcPr>
          <w:p w14:paraId="2A1D696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23</w:t>
            </w:r>
          </w:p>
        </w:tc>
        <w:tc>
          <w:tcPr>
            <w:tcW w:w="491" w:type="pct"/>
            <w:vAlign w:val="center"/>
          </w:tcPr>
          <w:p w14:paraId="4560A8D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21</w:t>
            </w:r>
          </w:p>
        </w:tc>
        <w:tc>
          <w:tcPr>
            <w:tcW w:w="510" w:type="pct"/>
            <w:vAlign w:val="center"/>
          </w:tcPr>
          <w:p w14:paraId="2839606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15</w:t>
            </w:r>
          </w:p>
        </w:tc>
        <w:tc>
          <w:tcPr>
            <w:tcW w:w="471" w:type="pct"/>
            <w:vAlign w:val="center"/>
          </w:tcPr>
          <w:p w14:paraId="3C34EAC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22</w:t>
            </w:r>
          </w:p>
        </w:tc>
        <w:tc>
          <w:tcPr>
            <w:tcW w:w="547" w:type="pct"/>
            <w:vAlign w:val="center"/>
          </w:tcPr>
          <w:p w14:paraId="55206C9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16</w:t>
            </w:r>
          </w:p>
        </w:tc>
      </w:tr>
      <w:tr w14:paraId="29A60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23D0D5A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铬（六价）</w:t>
            </w:r>
          </w:p>
        </w:tc>
        <w:tc>
          <w:tcPr>
            <w:tcW w:w="469" w:type="pct"/>
            <w:vAlign w:val="center"/>
          </w:tcPr>
          <w:p w14:paraId="1DA095B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349BB27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54197EA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711CB23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74ED06B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4427CA0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457EAB9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27897E0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60B5630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47E04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60A6B14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铜（Cu）</w:t>
            </w:r>
          </w:p>
        </w:tc>
        <w:tc>
          <w:tcPr>
            <w:tcW w:w="469" w:type="pct"/>
            <w:vAlign w:val="center"/>
          </w:tcPr>
          <w:p w14:paraId="75EAF7D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25</w:t>
            </w:r>
          </w:p>
        </w:tc>
        <w:tc>
          <w:tcPr>
            <w:tcW w:w="469" w:type="pct"/>
            <w:vAlign w:val="center"/>
          </w:tcPr>
          <w:p w14:paraId="5233865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20</w:t>
            </w:r>
          </w:p>
        </w:tc>
        <w:tc>
          <w:tcPr>
            <w:tcW w:w="469" w:type="pct"/>
            <w:vAlign w:val="center"/>
          </w:tcPr>
          <w:p w14:paraId="1DB4B1B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16</w:t>
            </w:r>
          </w:p>
        </w:tc>
        <w:tc>
          <w:tcPr>
            <w:tcW w:w="468" w:type="pct"/>
            <w:vAlign w:val="center"/>
          </w:tcPr>
          <w:p w14:paraId="3812564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22</w:t>
            </w:r>
          </w:p>
        </w:tc>
        <w:tc>
          <w:tcPr>
            <w:tcW w:w="481" w:type="pct"/>
            <w:vAlign w:val="center"/>
          </w:tcPr>
          <w:p w14:paraId="3283CBD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491" w:type="pct"/>
            <w:vAlign w:val="center"/>
          </w:tcPr>
          <w:p w14:paraId="0530A55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19</w:t>
            </w:r>
          </w:p>
        </w:tc>
        <w:tc>
          <w:tcPr>
            <w:tcW w:w="510" w:type="pct"/>
            <w:vAlign w:val="center"/>
          </w:tcPr>
          <w:p w14:paraId="3644D6F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20</w:t>
            </w:r>
          </w:p>
        </w:tc>
        <w:tc>
          <w:tcPr>
            <w:tcW w:w="471" w:type="pct"/>
            <w:vAlign w:val="center"/>
          </w:tcPr>
          <w:p w14:paraId="09F6ECE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22</w:t>
            </w:r>
          </w:p>
        </w:tc>
        <w:tc>
          <w:tcPr>
            <w:tcW w:w="547" w:type="pct"/>
            <w:vAlign w:val="center"/>
          </w:tcPr>
          <w:p w14:paraId="60EB8F2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16</w:t>
            </w:r>
          </w:p>
        </w:tc>
      </w:tr>
      <w:tr w14:paraId="7C58A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03050CC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镍（Ni）</w:t>
            </w:r>
          </w:p>
        </w:tc>
        <w:tc>
          <w:tcPr>
            <w:tcW w:w="469" w:type="pct"/>
            <w:vAlign w:val="center"/>
          </w:tcPr>
          <w:p w14:paraId="73C905C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18</w:t>
            </w:r>
          </w:p>
        </w:tc>
        <w:tc>
          <w:tcPr>
            <w:tcW w:w="469" w:type="pct"/>
            <w:vAlign w:val="center"/>
          </w:tcPr>
          <w:p w14:paraId="01EEFC4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27</w:t>
            </w:r>
          </w:p>
        </w:tc>
        <w:tc>
          <w:tcPr>
            <w:tcW w:w="469" w:type="pct"/>
            <w:vAlign w:val="center"/>
          </w:tcPr>
          <w:p w14:paraId="4850487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24</w:t>
            </w:r>
          </w:p>
        </w:tc>
        <w:tc>
          <w:tcPr>
            <w:tcW w:w="468" w:type="pct"/>
            <w:vAlign w:val="center"/>
          </w:tcPr>
          <w:p w14:paraId="4AF8EAE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19</w:t>
            </w:r>
          </w:p>
        </w:tc>
        <w:tc>
          <w:tcPr>
            <w:tcW w:w="481" w:type="pct"/>
            <w:vAlign w:val="center"/>
          </w:tcPr>
          <w:p w14:paraId="4A5973F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26</w:t>
            </w:r>
          </w:p>
        </w:tc>
        <w:tc>
          <w:tcPr>
            <w:tcW w:w="491" w:type="pct"/>
            <w:vAlign w:val="center"/>
          </w:tcPr>
          <w:p w14:paraId="64C1C95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25</w:t>
            </w:r>
          </w:p>
        </w:tc>
        <w:tc>
          <w:tcPr>
            <w:tcW w:w="510" w:type="pct"/>
            <w:vAlign w:val="center"/>
          </w:tcPr>
          <w:p w14:paraId="7955811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24</w:t>
            </w:r>
          </w:p>
        </w:tc>
        <w:tc>
          <w:tcPr>
            <w:tcW w:w="471" w:type="pct"/>
            <w:vAlign w:val="center"/>
          </w:tcPr>
          <w:p w14:paraId="6047416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26</w:t>
            </w:r>
          </w:p>
        </w:tc>
        <w:tc>
          <w:tcPr>
            <w:tcW w:w="547" w:type="pct"/>
            <w:vAlign w:val="center"/>
          </w:tcPr>
          <w:p w14:paraId="28A5D13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19</w:t>
            </w:r>
          </w:p>
        </w:tc>
      </w:tr>
      <w:tr w14:paraId="39A7F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711B39D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w:t>
            </w:r>
          </w:p>
        </w:tc>
        <w:tc>
          <w:tcPr>
            <w:tcW w:w="469" w:type="pct"/>
            <w:vAlign w:val="center"/>
          </w:tcPr>
          <w:p w14:paraId="3C85C6D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7329FDB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2CF67C7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0711C32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4F78E53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6BFF643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3FB3C8D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6F2D223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3187969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2FD6E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7CC1C75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甲苯</w:t>
            </w:r>
          </w:p>
        </w:tc>
        <w:tc>
          <w:tcPr>
            <w:tcW w:w="469" w:type="pct"/>
            <w:vAlign w:val="center"/>
          </w:tcPr>
          <w:p w14:paraId="310860B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2972404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1F19367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254C50E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7BC93CB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722AD6D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70804C3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04F8EC0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5C83300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5EB67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617430A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乙苯</w:t>
            </w:r>
          </w:p>
        </w:tc>
        <w:tc>
          <w:tcPr>
            <w:tcW w:w="469" w:type="pct"/>
            <w:vAlign w:val="center"/>
          </w:tcPr>
          <w:p w14:paraId="417BE21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489D819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5D826E8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6FD6181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0367F4C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4626C4B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5855B0C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6A6C2F7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5364D7C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36633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1857C6E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氯苯</w:t>
            </w:r>
          </w:p>
        </w:tc>
        <w:tc>
          <w:tcPr>
            <w:tcW w:w="469" w:type="pct"/>
            <w:vAlign w:val="center"/>
          </w:tcPr>
          <w:p w14:paraId="7A766BE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2C164A8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6E36973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3F54790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26B36C7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4C55CFA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130CF8A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73AB686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11D1BD9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42E26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1799101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苯乙烯</w:t>
            </w:r>
          </w:p>
        </w:tc>
        <w:tc>
          <w:tcPr>
            <w:tcW w:w="469" w:type="pct"/>
            <w:vAlign w:val="center"/>
          </w:tcPr>
          <w:p w14:paraId="660B1E2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5390387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5ED35B4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6D61FDD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6354511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34B892F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27E9CD0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4F6AE56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52EF56D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06665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02429E6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间二甲苯+对二甲苯</w:t>
            </w:r>
          </w:p>
        </w:tc>
        <w:tc>
          <w:tcPr>
            <w:tcW w:w="469" w:type="pct"/>
            <w:vAlign w:val="center"/>
          </w:tcPr>
          <w:p w14:paraId="50C3FEF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0A19BF0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18C3145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0EF107E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4FCA0EA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159FEFD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33BFB05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5BDBDE4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1CEB353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3D0AE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1E43556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邻二甲苯</w:t>
            </w:r>
          </w:p>
        </w:tc>
        <w:tc>
          <w:tcPr>
            <w:tcW w:w="469" w:type="pct"/>
            <w:vAlign w:val="center"/>
          </w:tcPr>
          <w:p w14:paraId="182F1D6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628847A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213254F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22F3875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739CD49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6295CFC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28519EA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5E40227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5D77191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70385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67477A9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氯乙烯</w:t>
            </w:r>
          </w:p>
        </w:tc>
        <w:tc>
          <w:tcPr>
            <w:tcW w:w="469" w:type="pct"/>
            <w:vAlign w:val="center"/>
          </w:tcPr>
          <w:p w14:paraId="3C37845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38DCFD5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10F080A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75842C0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6A9B076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5878C1A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2BA91FF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123B545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091E734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2D7B3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3C83E5B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1,2-二氯苯</w:t>
            </w:r>
          </w:p>
        </w:tc>
        <w:tc>
          <w:tcPr>
            <w:tcW w:w="469" w:type="pct"/>
            <w:vAlign w:val="center"/>
          </w:tcPr>
          <w:p w14:paraId="2B104C2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2B46A0F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4F99853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4F992B6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4223221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58E019C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284AF64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5ED7316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008FF37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1F4425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6ACECDE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1,4-二氯苯</w:t>
            </w:r>
          </w:p>
        </w:tc>
        <w:tc>
          <w:tcPr>
            <w:tcW w:w="469" w:type="pct"/>
            <w:vAlign w:val="center"/>
          </w:tcPr>
          <w:p w14:paraId="1ABF1CF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30C6BE0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53757A1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5CD8E8B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0864AF1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199CD8F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313B977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562EFBC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637F21E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53BDF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144D91C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四氯化碳</w:t>
            </w:r>
          </w:p>
        </w:tc>
        <w:tc>
          <w:tcPr>
            <w:tcW w:w="469" w:type="pct"/>
            <w:vAlign w:val="center"/>
          </w:tcPr>
          <w:p w14:paraId="7EDD578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0C73BBA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4EF28E7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4A50702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0AEB6AD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046EE92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2DF2C98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562AAD9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3E5165D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2F888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3B0BCCA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氯仿</w:t>
            </w:r>
          </w:p>
        </w:tc>
        <w:tc>
          <w:tcPr>
            <w:tcW w:w="469" w:type="pct"/>
            <w:vAlign w:val="center"/>
          </w:tcPr>
          <w:p w14:paraId="4EB78A7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724903D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76249FB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76116A6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152AFF2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2D8B550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5548FF6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6C7AC57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3CF574A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0DA40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23231FD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氯甲烷</w:t>
            </w:r>
          </w:p>
        </w:tc>
        <w:tc>
          <w:tcPr>
            <w:tcW w:w="469" w:type="pct"/>
            <w:vAlign w:val="center"/>
          </w:tcPr>
          <w:p w14:paraId="1589F57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6899C49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6E16EAA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003606A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33AA0EC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1E06E26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0927A0E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50543C1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4A933D5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32A5A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69B69A6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1,1-二氯乙烷</w:t>
            </w:r>
          </w:p>
        </w:tc>
        <w:tc>
          <w:tcPr>
            <w:tcW w:w="469" w:type="pct"/>
            <w:vAlign w:val="center"/>
          </w:tcPr>
          <w:p w14:paraId="1D4E5DC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6271490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2F0B7D4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66D2615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2FEE12B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5B4FC4F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1E4478E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43DECD5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557989B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3AA6C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18A086B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1,2-二氯乙烷</w:t>
            </w:r>
          </w:p>
        </w:tc>
        <w:tc>
          <w:tcPr>
            <w:tcW w:w="469" w:type="pct"/>
            <w:vAlign w:val="center"/>
          </w:tcPr>
          <w:p w14:paraId="615DD92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6860747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5762295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6BD8DC7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798E0C8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5984894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4C92BBE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343FBB0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0BF7C0A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44EFA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2BF4418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1,1-二氯乙烯</w:t>
            </w:r>
          </w:p>
        </w:tc>
        <w:tc>
          <w:tcPr>
            <w:tcW w:w="469" w:type="pct"/>
            <w:vAlign w:val="center"/>
          </w:tcPr>
          <w:p w14:paraId="5481B33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0EC4945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267C1EF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02BC63D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104DEEF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18D6443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6F04D15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26DF059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54E7352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788D0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396748F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顺-1,2-二氯乙烯</w:t>
            </w:r>
          </w:p>
        </w:tc>
        <w:tc>
          <w:tcPr>
            <w:tcW w:w="469" w:type="pct"/>
            <w:vAlign w:val="center"/>
          </w:tcPr>
          <w:p w14:paraId="4A65FDE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45CA2AC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77D9214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5FDDEDE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5FFD1D7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0C60814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6D4C3DD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20EDFC3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64F07A3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6F527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54AB410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反-1,2-二氯乙烯</w:t>
            </w:r>
          </w:p>
        </w:tc>
        <w:tc>
          <w:tcPr>
            <w:tcW w:w="469" w:type="pct"/>
            <w:vAlign w:val="center"/>
          </w:tcPr>
          <w:p w14:paraId="48EB196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7E39D55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0BBB27E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25F7928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25BD204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638D335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3AF6823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1DEF59D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02576F3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2C3EC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4A56EF4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二氯甲烷</w:t>
            </w:r>
          </w:p>
        </w:tc>
        <w:tc>
          <w:tcPr>
            <w:tcW w:w="469" w:type="pct"/>
            <w:vAlign w:val="center"/>
          </w:tcPr>
          <w:p w14:paraId="0425609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28F646E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0B0A2C6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2055951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0E45D6B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284A32B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4189993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56C68B1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19D21A1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5A6F3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7E6E2B9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1,2-二氯丙烷</w:t>
            </w:r>
          </w:p>
        </w:tc>
        <w:tc>
          <w:tcPr>
            <w:tcW w:w="469" w:type="pct"/>
            <w:vAlign w:val="center"/>
          </w:tcPr>
          <w:p w14:paraId="638BA43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7F28843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5064F37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4BDD132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7B34300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1C23889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1A3BA8B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7DC3BC6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5920CD4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4ADA4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7865B84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1,1,1,2-四氯乙烷</w:t>
            </w:r>
          </w:p>
        </w:tc>
        <w:tc>
          <w:tcPr>
            <w:tcW w:w="469" w:type="pct"/>
            <w:vAlign w:val="center"/>
          </w:tcPr>
          <w:p w14:paraId="715BAC1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64E6245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6C0D98D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60AD4B8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7336F7D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1ECFF59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2B0D51B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390575C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218372D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13DE7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3283CA6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1,1,2,2-四氯乙烷</w:t>
            </w:r>
          </w:p>
        </w:tc>
        <w:tc>
          <w:tcPr>
            <w:tcW w:w="469" w:type="pct"/>
            <w:vAlign w:val="center"/>
          </w:tcPr>
          <w:p w14:paraId="04F7D53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32BA662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33ECFC1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258F109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7C7C205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40F2496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29F6E87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00419E6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7065FE6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0F783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58F5C21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四氯乙烯</w:t>
            </w:r>
          </w:p>
        </w:tc>
        <w:tc>
          <w:tcPr>
            <w:tcW w:w="469" w:type="pct"/>
            <w:vAlign w:val="center"/>
          </w:tcPr>
          <w:p w14:paraId="6724C08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07FAEDC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408008D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0ADFE00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49A1F75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659A57B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6D23C72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109CA59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6489A47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3F6A5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12880EC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1,1,1-三氯乙烷</w:t>
            </w:r>
          </w:p>
        </w:tc>
        <w:tc>
          <w:tcPr>
            <w:tcW w:w="469" w:type="pct"/>
            <w:vAlign w:val="center"/>
          </w:tcPr>
          <w:p w14:paraId="08AADFC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1E578AB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1F717BE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5FAA21B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1CDBF4B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3D481A2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121F0AF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4BF3F78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696AC09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28952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6D9AD93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1,1,2-三氯乙烷</w:t>
            </w:r>
          </w:p>
        </w:tc>
        <w:tc>
          <w:tcPr>
            <w:tcW w:w="469" w:type="pct"/>
            <w:vAlign w:val="center"/>
          </w:tcPr>
          <w:p w14:paraId="688C6CC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6E36A92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4203E4E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2A70701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36881E5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1F007AC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7072B3E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7B6B902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688745F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20232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7D5D098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三氯乙烯</w:t>
            </w:r>
          </w:p>
        </w:tc>
        <w:tc>
          <w:tcPr>
            <w:tcW w:w="469" w:type="pct"/>
            <w:vAlign w:val="center"/>
          </w:tcPr>
          <w:p w14:paraId="7543EC4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49CCC82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5027179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06C202F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5BF9375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02CBF9F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6642376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155431C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5A05809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4D221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005BBB3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1,2,3-三氯丙烷</w:t>
            </w:r>
          </w:p>
        </w:tc>
        <w:tc>
          <w:tcPr>
            <w:tcW w:w="469" w:type="pct"/>
            <w:vAlign w:val="center"/>
          </w:tcPr>
          <w:p w14:paraId="5A2AF8B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3D93568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586A373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7DD4A36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618D744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0AB24A6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74DDAC0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771E965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6B7A47D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6EC62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2EDBA2B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硝基苯</w:t>
            </w:r>
          </w:p>
        </w:tc>
        <w:tc>
          <w:tcPr>
            <w:tcW w:w="469" w:type="pct"/>
            <w:vAlign w:val="center"/>
          </w:tcPr>
          <w:p w14:paraId="3AFE573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4A65BCA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3C03A91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737B91D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6696591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30E5AB5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75EB017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53A442C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5FA241E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4183F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4288A5D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苯胺</w:t>
            </w:r>
          </w:p>
        </w:tc>
        <w:tc>
          <w:tcPr>
            <w:tcW w:w="469" w:type="pct"/>
            <w:vAlign w:val="center"/>
          </w:tcPr>
          <w:p w14:paraId="0F4FDB0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0592DA9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6DD9738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4A32E31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1D3F587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2231253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526DAF5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54EC2F7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03E69F9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66A85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7FFDEBC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2-氯酚</w:t>
            </w:r>
          </w:p>
        </w:tc>
        <w:tc>
          <w:tcPr>
            <w:tcW w:w="469" w:type="pct"/>
            <w:vAlign w:val="center"/>
          </w:tcPr>
          <w:p w14:paraId="4B4C2D5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4473D42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2A9E671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19E6649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36AD5F9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3438742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74CBD4C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4AAEB86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2BE40BE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00D3E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62481C7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䓛</w:t>
            </w:r>
          </w:p>
        </w:tc>
        <w:tc>
          <w:tcPr>
            <w:tcW w:w="469" w:type="pct"/>
            <w:vAlign w:val="center"/>
          </w:tcPr>
          <w:p w14:paraId="0378A34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461B938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2AF8AF7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21702BE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6750A47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1BC3475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2D95D9E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68D6782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06CCFB5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395CA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5D6935A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萘</w:t>
            </w:r>
          </w:p>
        </w:tc>
        <w:tc>
          <w:tcPr>
            <w:tcW w:w="469" w:type="pct"/>
            <w:vAlign w:val="center"/>
          </w:tcPr>
          <w:p w14:paraId="283BCD9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194AE63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696E5C9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49E3D95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4514A99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44BA729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3FCB3DA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730858D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224482D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3F56E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32033D0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苯并[a]蒽</w:t>
            </w:r>
          </w:p>
        </w:tc>
        <w:tc>
          <w:tcPr>
            <w:tcW w:w="469" w:type="pct"/>
            <w:vAlign w:val="center"/>
          </w:tcPr>
          <w:p w14:paraId="41489FB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1A24F4F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16D6A9B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443A4A6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0B44C7E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68B5C02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1F98C2A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4271370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0C58A24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760CC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048894E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苯并[b]荧蒽</w:t>
            </w:r>
          </w:p>
        </w:tc>
        <w:tc>
          <w:tcPr>
            <w:tcW w:w="469" w:type="pct"/>
            <w:vAlign w:val="center"/>
          </w:tcPr>
          <w:p w14:paraId="06C467C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37CE610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036C858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754AA8C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4C39273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47A1616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1523C8F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18E1D6A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2AF437C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39E35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62CFE2D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苯并[k]荧蒽</w:t>
            </w:r>
          </w:p>
        </w:tc>
        <w:tc>
          <w:tcPr>
            <w:tcW w:w="469" w:type="pct"/>
            <w:vAlign w:val="center"/>
          </w:tcPr>
          <w:p w14:paraId="5C3E5E4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5FB45DA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257AAE6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6E81AF9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0039E53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481BFD3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74CF3A8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4D05DAD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74AA073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72834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623C7EF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苯并[a]芘</w:t>
            </w:r>
          </w:p>
        </w:tc>
        <w:tc>
          <w:tcPr>
            <w:tcW w:w="469" w:type="pct"/>
            <w:vAlign w:val="center"/>
          </w:tcPr>
          <w:p w14:paraId="45DF0FB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196B88E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4D6EAA3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29855D6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7C5CBBD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0C9FF4C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6F7DB0D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43F5CCF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47C52E0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14805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3234D5F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茚并[1,2,3-cd]芘</w:t>
            </w:r>
          </w:p>
        </w:tc>
        <w:tc>
          <w:tcPr>
            <w:tcW w:w="469" w:type="pct"/>
            <w:vAlign w:val="center"/>
          </w:tcPr>
          <w:p w14:paraId="3001797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439D931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0F1F959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49B9C3D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769A61E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1BAB86A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1E58BDE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4D7A4AF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6799DB5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76AAE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1BE1D18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二苯并[a, h]蒽</w:t>
            </w:r>
          </w:p>
        </w:tc>
        <w:tc>
          <w:tcPr>
            <w:tcW w:w="469" w:type="pct"/>
            <w:vAlign w:val="center"/>
          </w:tcPr>
          <w:p w14:paraId="4130BFD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063BE4F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9" w:type="pct"/>
            <w:vAlign w:val="center"/>
          </w:tcPr>
          <w:p w14:paraId="42CA722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68" w:type="pct"/>
            <w:vAlign w:val="center"/>
          </w:tcPr>
          <w:p w14:paraId="6B8A070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81" w:type="pct"/>
            <w:vAlign w:val="center"/>
          </w:tcPr>
          <w:p w14:paraId="293C6E9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91" w:type="pct"/>
            <w:vAlign w:val="center"/>
          </w:tcPr>
          <w:p w14:paraId="0E6C333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10" w:type="pct"/>
            <w:vAlign w:val="center"/>
          </w:tcPr>
          <w:p w14:paraId="67F55E9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471" w:type="pct"/>
            <w:vAlign w:val="center"/>
          </w:tcPr>
          <w:p w14:paraId="4B3B3EC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547" w:type="pct"/>
            <w:vAlign w:val="center"/>
          </w:tcPr>
          <w:p w14:paraId="3AE4CD7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r w14:paraId="79A62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25" w:type="pct"/>
            <w:vAlign w:val="center"/>
          </w:tcPr>
          <w:p w14:paraId="15907AE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石油烃</w:t>
            </w:r>
          </w:p>
        </w:tc>
        <w:tc>
          <w:tcPr>
            <w:tcW w:w="469" w:type="pct"/>
            <w:vAlign w:val="center"/>
          </w:tcPr>
          <w:p w14:paraId="62C83AB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20</w:t>
            </w:r>
          </w:p>
        </w:tc>
        <w:tc>
          <w:tcPr>
            <w:tcW w:w="469" w:type="pct"/>
            <w:vAlign w:val="center"/>
          </w:tcPr>
          <w:p w14:paraId="3682A62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25</w:t>
            </w:r>
          </w:p>
        </w:tc>
        <w:tc>
          <w:tcPr>
            <w:tcW w:w="469" w:type="pct"/>
            <w:vAlign w:val="center"/>
          </w:tcPr>
          <w:p w14:paraId="4D2BF35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18</w:t>
            </w:r>
          </w:p>
        </w:tc>
        <w:tc>
          <w:tcPr>
            <w:tcW w:w="468" w:type="pct"/>
            <w:vAlign w:val="center"/>
          </w:tcPr>
          <w:p w14:paraId="2A222E2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15</w:t>
            </w:r>
          </w:p>
        </w:tc>
        <w:tc>
          <w:tcPr>
            <w:tcW w:w="481" w:type="pct"/>
            <w:vAlign w:val="center"/>
          </w:tcPr>
          <w:p w14:paraId="7C51BC8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17</w:t>
            </w:r>
          </w:p>
        </w:tc>
        <w:tc>
          <w:tcPr>
            <w:tcW w:w="491" w:type="pct"/>
            <w:vAlign w:val="center"/>
          </w:tcPr>
          <w:p w14:paraId="66BA548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13</w:t>
            </w:r>
          </w:p>
        </w:tc>
        <w:tc>
          <w:tcPr>
            <w:tcW w:w="510" w:type="pct"/>
            <w:vAlign w:val="center"/>
          </w:tcPr>
          <w:p w14:paraId="1549454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13</w:t>
            </w:r>
          </w:p>
        </w:tc>
        <w:tc>
          <w:tcPr>
            <w:tcW w:w="471" w:type="pct"/>
            <w:vAlign w:val="center"/>
          </w:tcPr>
          <w:p w14:paraId="36F2F81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17</w:t>
            </w:r>
          </w:p>
        </w:tc>
        <w:tc>
          <w:tcPr>
            <w:tcW w:w="547" w:type="pct"/>
            <w:vAlign w:val="center"/>
          </w:tcPr>
          <w:p w14:paraId="2224D25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Cs w:val="21"/>
                <w:lang w:val="en-US"/>
                <w14:textFill>
                  <w14:solidFill>
                    <w14:schemeClr w14:val="tx1"/>
                  </w14:solidFill>
                </w14:textFill>
              </w:rPr>
              <w:t>11</w:t>
            </w:r>
          </w:p>
        </w:tc>
      </w:tr>
    </w:tbl>
    <w:p w14:paraId="76022D67">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表4.3-22    农用地土壤环境质量现状监测结果    单位：mg/kg（pH无量纲）</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26"/>
        <w:gridCol w:w="2305"/>
        <w:gridCol w:w="2994"/>
        <w:gridCol w:w="2562"/>
      </w:tblGrid>
      <w:tr w14:paraId="281AE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68" w:type="pct"/>
            <w:vAlign w:val="center"/>
          </w:tcPr>
          <w:p w14:paraId="4C94CAB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监测时间</w:t>
            </w:r>
          </w:p>
        </w:tc>
        <w:tc>
          <w:tcPr>
            <w:tcW w:w="4232" w:type="pct"/>
            <w:gridSpan w:val="3"/>
            <w:vAlign w:val="center"/>
          </w:tcPr>
          <w:p w14:paraId="0331C9E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2022.10.16</w:t>
            </w:r>
          </w:p>
        </w:tc>
      </w:tr>
      <w:tr w14:paraId="36C315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68" w:type="pct"/>
            <w:vMerge w:val="restart"/>
            <w:vAlign w:val="center"/>
          </w:tcPr>
          <w:p w14:paraId="2B7D8E4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监测项目</w:t>
            </w:r>
          </w:p>
        </w:tc>
        <w:tc>
          <w:tcPr>
            <w:tcW w:w="4232" w:type="pct"/>
            <w:gridSpan w:val="3"/>
            <w:vAlign w:val="center"/>
          </w:tcPr>
          <w:p w14:paraId="0AC8070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监测点位及监测结果</w:t>
            </w:r>
          </w:p>
        </w:tc>
      </w:tr>
      <w:tr w14:paraId="4EDF5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68" w:type="pct"/>
            <w:vMerge w:val="continue"/>
            <w:vAlign w:val="center"/>
          </w:tcPr>
          <w:p w14:paraId="7513136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241" w:type="pct"/>
            <w:vAlign w:val="center"/>
          </w:tcPr>
          <w:p w14:paraId="77DD8BB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4号拉油点西侧100m草地</w:t>
            </w:r>
          </w:p>
        </w:tc>
        <w:tc>
          <w:tcPr>
            <w:tcW w:w="1612" w:type="pct"/>
            <w:vAlign w:val="center"/>
          </w:tcPr>
          <w:p w14:paraId="09452DF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龙242-1拉油点东北侧100m耕地</w:t>
            </w:r>
          </w:p>
        </w:tc>
        <w:tc>
          <w:tcPr>
            <w:tcW w:w="1379" w:type="pct"/>
            <w:vAlign w:val="center"/>
          </w:tcPr>
          <w:p w14:paraId="3E0131C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龙27-1号拉油点南侧100m耕地</w:t>
            </w:r>
          </w:p>
        </w:tc>
      </w:tr>
      <w:tr w14:paraId="22F4D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68" w:type="pct"/>
            <w:vMerge w:val="continue"/>
            <w:vAlign w:val="center"/>
          </w:tcPr>
          <w:p w14:paraId="6965B68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241" w:type="pct"/>
            <w:vAlign w:val="center"/>
          </w:tcPr>
          <w:p w14:paraId="7E174F7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(0-20cm)</w:t>
            </w:r>
          </w:p>
        </w:tc>
        <w:tc>
          <w:tcPr>
            <w:tcW w:w="1612" w:type="pct"/>
            <w:vAlign w:val="center"/>
          </w:tcPr>
          <w:p w14:paraId="5F50C24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(0-20cm)</w:t>
            </w:r>
          </w:p>
        </w:tc>
        <w:tc>
          <w:tcPr>
            <w:tcW w:w="1379" w:type="pct"/>
            <w:vAlign w:val="center"/>
          </w:tcPr>
          <w:p w14:paraId="3839F83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(0-20cm)</w:t>
            </w:r>
          </w:p>
        </w:tc>
      </w:tr>
      <w:tr w14:paraId="5A7FD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68" w:type="pct"/>
            <w:vAlign w:val="center"/>
          </w:tcPr>
          <w:p w14:paraId="253BE43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pH</w:t>
            </w:r>
          </w:p>
        </w:tc>
        <w:tc>
          <w:tcPr>
            <w:tcW w:w="1241" w:type="pct"/>
            <w:vAlign w:val="center"/>
          </w:tcPr>
          <w:p w14:paraId="05AE236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7.89</w:t>
            </w:r>
          </w:p>
        </w:tc>
        <w:tc>
          <w:tcPr>
            <w:tcW w:w="1612" w:type="pct"/>
            <w:vAlign w:val="center"/>
          </w:tcPr>
          <w:p w14:paraId="049062E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8.07</w:t>
            </w:r>
          </w:p>
        </w:tc>
        <w:tc>
          <w:tcPr>
            <w:tcW w:w="1379" w:type="pct"/>
            <w:vAlign w:val="center"/>
          </w:tcPr>
          <w:p w14:paraId="322F453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7.79</w:t>
            </w:r>
          </w:p>
        </w:tc>
      </w:tr>
      <w:tr w14:paraId="5D997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68" w:type="pct"/>
            <w:vAlign w:val="center"/>
          </w:tcPr>
          <w:p w14:paraId="7599E31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镉</w:t>
            </w:r>
          </w:p>
        </w:tc>
        <w:tc>
          <w:tcPr>
            <w:tcW w:w="1241" w:type="pct"/>
            <w:vAlign w:val="center"/>
          </w:tcPr>
          <w:p w14:paraId="2BA95FB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0.08</w:t>
            </w:r>
          </w:p>
        </w:tc>
        <w:tc>
          <w:tcPr>
            <w:tcW w:w="1612" w:type="pct"/>
            <w:vAlign w:val="center"/>
          </w:tcPr>
          <w:p w14:paraId="1BC8D2A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0.10</w:t>
            </w:r>
          </w:p>
        </w:tc>
        <w:tc>
          <w:tcPr>
            <w:tcW w:w="1379" w:type="pct"/>
            <w:vAlign w:val="center"/>
          </w:tcPr>
          <w:p w14:paraId="02464A3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0.07</w:t>
            </w:r>
          </w:p>
        </w:tc>
      </w:tr>
      <w:tr w14:paraId="688E7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68" w:type="pct"/>
            <w:vAlign w:val="center"/>
          </w:tcPr>
          <w:p w14:paraId="63A4DEB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汞</w:t>
            </w:r>
          </w:p>
        </w:tc>
        <w:tc>
          <w:tcPr>
            <w:tcW w:w="1241" w:type="pct"/>
            <w:vAlign w:val="center"/>
          </w:tcPr>
          <w:p w14:paraId="47003CE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0.013</w:t>
            </w:r>
          </w:p>
        </w:tc>
        <w:tc>
          <w:tcPr>
            <w:tcW w:w="1612" w:type="pct"/>
            <w:vAlign w:val="center"/>
          </w:tcPr>
          <w:p w14:paraId="6F2DA63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0.020</w:t>
            </w:r>
          </w:p>
        </w:tc>
        <w:tc>
          <w:tcPr>
            <w:tcW w:w="1379" w:type="pct"/>
            <w:vAlign w:val="center"/>
          </w:tcPr>
          <w:p w14:paraId="454E513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0.016</w:t>
            </w:r>
          </w:p>
        </w:tc>
      </w:tr>
      <w:tr w14:paraId="2A052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68" w:type="pct"/>
            <w:vAlign w:val="center"/>
          </w:tcPr>
          <w:p w14:paraId="3D98C8D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砷</w:t>
            </w:r>
          </w:p>
        </w:tc>
        <w:tc>
          <w:tcPr>
            <w:tcW w:w="1241" w:type="pct"/>
            <w:vAlign w:val="center"/>
          </w:tcPr>
          <w:p w14:paraId="295D20F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3.21</w:t>
            </w:r>
          </w:p>
        </w:tc>
        <w:tc>
          <w:tcPr>
            <w:tcW w:w="1612" w:type="pct"/>
            <w:vAlign w:val="center"/>
          </w:tcPr>
          <w:p w14:paraId="74C592A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3.37</w:t>
            </w:r>
          </w:p>
        </w:tc>
        <w:tc>
          <w:tcPr>
            <w:tcW w:w="1379" w:type="pct"/>
            <w:vAlign w:val="center"/>
          </w:tcPr>
          <w:p w14:paraId="5A98912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3.28</w:t>
            </w:r>
          </w:p>
        </w:tc>
      </w:tr>
      <w:tr w14:paraId="6D682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68" w:type="pct"/>
            <w:vAlign w:val="center"/>
          </w:tcPr>
          <w:p w14:paraId="23F673A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铅</w:t>
            </w:r>
          </w:p>
        </w:tc>
        <w:tc>
          <w:tcPr>
            <w:tcW w:w="1241" w:type="pct"/>
            <w:vAlign w:val="center"/>
          </w:tcPr>
          <w:p w14:paraId="40BF8CF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14</w:t>
            </w:r>
          </w:p>
        </w:tc>
        <w:tc>
          <w:tcPr>
            <w:tcW w:w="1612" w:type="pct"/>
            <w:vAlign w:val="center"/>
          </w:tcPr>
          <w:p w14:paraId="0F9065A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19</w:t>
            </w:r>
          </w:p>
        </w:tc>
        <w:tc>
          <w:tcPr>
            <w:tcW w:w="1379" w:type="pct"/>
            <w:vAlign w:val="center"/>
          </w:tcPr>
          <w:p w14:paraId="31999EA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16</w:t>
            </w:r>
          </w:p>
        </w:tc>
      </w:tr>
      <w:tr w14:paraId="28F15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68" w:type="pct"/>
            <w:vAlign w:val="center"/>
          </w:tcPr>
          <w:p w14:paraId="50078D3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铬</w:t>
            </w:r>
          </w:p>
        </w:tc>
        <w:tc>
          <w:tcPr>
            <w:tcW w:w="1241" w:type="pct"/>
            <w:vAlign w:val="center"/>
          </w:tcPr>
          <w:p w14:paraId="4CC0FB8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50</w:t>
            </w:r>
          </w:p>
        </w:tc>
        <w:tc>
          <w:tcPr>
            <w:tcW w:w="1612" w:type="pct"/>
            <w:vAlign w:val="center"/>
          </w:tcPr>
          <w:p w14:paraId="227F2D2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41</w:t>
            </w:r>
          </w:p>
        </w:tc>
        <w:tc>
          <w:tcPr>
            <w:tcW w:w="1379" w:type="pct"/>
            <w:vAlign w:val="center"/>
          </w:tcPr>
          <w:p w14:paraId="03F3543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47</w:t>
            </w:r>
          </w:p>
        </w:tc>
      </w:tr>
      <w:tr w14:paraId="09DC4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68" w:type="pct"/>
            <w:vAlign w:val="center"/>
          </w:tcPr>
          <w:p w14:paraId="4DEE663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铜</w:t>
            </w:r>
          </w:p>
        </w:tc>
        <w:tc>
          <w:tcPr>
            <w:tcW w:w="1241" w:type="pct"/>
            <w:vAlign w:val="center"/>
          </w:tcPr>
          <w:p w14:paraId="4DD493E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16</w:t>
            </w:r>
          </w:p>
        </w:tc>
        <w:tc>
          <w:tcPr>
            <w:tcW w:w="1612" w:type="pct"/>
            <w:vAlign w:val="center"/>
          </w:tcPr>
          <w:p w14:paraId="6F3A5CF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18</w:t>
            </w:r>
          </w:p>
        </w:tc>
        <w:tc>
          <w:tcPr>
            <w:tcW w:w="1379" w:type="pct"/>
            <w:vAlign w:val="center"/>
          </w:tcPr>
          <w:p w14:paraId="2D0DEA2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14</w:t>
            </w:r>
          </w:p>
        </w:tc>
      </w:tr>
      <w:tr w14:paraId="5240E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68" w:type="pct"/>
            <w:vAlign w:val="center"/>
          </w:tcPr>
          <w:p w14:paraId="61F845F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镍</w:t>
            </w:r>
          </w:p>
        </w:tc>
        <w:tc>
          <w:tcPr>
            <w:tcW w:w="1241" w:type="pct"/>
            <w:vAlign w:val="center"/>
          </w:tcPr>
          <w:p w14:paraId="0C9FF1C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22</w:t>
            </w:r>
          </w:p>
        </w:tc>
        <w:tc>
          <w:tcPr>
            <w:tcW w:w="1612" w:type="pct"/>
            <w:vAlign w:val="center"/>
          </w:tcPr>
          <w:p w14:paraId="6F0A9D0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18</w:t>
            </w:r>
          </w:p>
        </w:tc>
        <w:tc>
          <w:tcPr>
            <w:tcW w:w="1379" w:type="pct"/>
            <w:vAlign w:val="center"/>
          </w:tcPr>
          <w:p w14:paraId="05380C6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20</w:t>
            </w:r>
          </w:p>
        </w:tc>
      </w:tr>
      <w:tr w14:paraId="775797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68" w:type="pct"/>
            <w:vAlign w:val="center"/>
          </w:tcPr>
          <w:p w14:paraId="1F2032C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锌</w:t>
            </w:r>
          </w:p>
        </w:tc>
        <w:tc>
          <w:tcPr>
            <w:tcW w:w="1241" w:type="pct"/>
            <w:vAlign w:val="center"/>
          </w:tcPr>
          <w:p w14:paraId="3148A5B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62</w:t>
            </w:r>
          </w:p>
        </w:tc>
        <w:tc>
          <w:tcPr>
            <w:tcW w:w="1612" w:type="pct"/>
            <w:vAlign w:val="center"/>
          </w:tcPr>
          <w:p w14:paraId="4B0ABB9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53</w:t>
            </w:r>
          </w:p>
        </w:tc>
        <w:tc>
          <w:tcPr>
            <w:tcW w:w="1379" w:type="pct"/>
            <w:vAlign w:val="center"/>
          </w:tcPr>
          <w:p w14:paraId="75CA923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49</w:t>
            </w:r>
          </w:p>
        </w:tc>
      </w:tr>
      <w:tr w14:paraId="75C38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68" w:type="pct"/>
            <w:vAlign w:val="center"/>
          </w:tcPr>
          <w:p w14:paraId="7653563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石油烃</w:t>
            </w:r>
          </w:p>
        </w:tc>
        <w:tc>
          <w:tcPr>
            <w:tcW w:w="1241" w:type="pct"/>
            <w:vAlign w:val="center"/>
          </w:tcPr>
          <w:p w14:paraId="762014B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612" w:type="pct"/>
            <w:vAlign w:val="center"/>
          </w:tcPr>
          <w:p w14:paraId="47C8618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379" w:type="pct"/>
            <w:vAlign w:val="center"/>
          </w:tcPr>
          <w:p w14:paraId="6D51CA1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r>
    </w:tbl>
    <w:p w14:paraId="69232F96">
      <w:pPr>
        <w:autoSpaceDE/>
        <w:autoSpaceDN/>
        <w:spacing w:line="440" w:lineRule="exact"/>
        <w:jc w:val="both"/>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t>4.3.5.3土壤环境质量现状评价</w:t>
      </w:r>
    </w:p>
    <w:p w14:paraId="05E5756C">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（1）评价方法</w:t>
      </w:r>
    </w:p>
    <w:p w14:paraId="4ED6613D">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评价方法采用标准指数法进行土壤环境质量现状评价，即通过指数的大小反应土壤环境受污染的程度，公式为：</w:t>
      </w:r>
    </w:p>
    <w:p w14:paraId="115D330F">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 xml:space="preserve">                   K</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i</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＝X</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i</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/Xo</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i</w:t>
      </w:r>
    </w:p>
    <w:p w14:paraId="3F7C8E61">
      <w:pPr>
        <w:widowControl/>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式中：K</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i</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——第i项分指数；</w:t>
      </w:r>
    </w:p>
    <w:p w14:paraId="286F0777">
      <w:pPr>
        <w:widowControl/>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 xml:space="preserve">      X</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i</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——土壤中i污染物的实测含量，mg/kg；</w:t>
      </w:r>
    </w:p>
    <w:p w14:paraId="467E2D1B">
      <w:pPr>
        <w:widowControl/>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 xml:space="preserve">      Xo</w:t>
      </w:r>
      <w:r>
        <w:rPr>
          <w:rFonts w:ascii="Times New Roman" w:hAnsi="Times New Roman" w:cs="Times New Roman" w:eastAsiaTheme="minorEastAsia"/>
          <w:color w:val="000000" w:themeColor="text1"/>
          <w:w w:val="99"/>
          <w:sz w:val="24"/>
          <w:szCs w:val="24"/>
          <w:vertAlign w:val="subscript"/>
          <w:lang w:val="en-US" w:bidi="ar-SA"/>
          <w14:textFill>
            <w14:solidFill>
              <w14:schemeClr w14:val="tx1"/>
            </w14:solidFill>
          </w14:textFill>
        </w:rPr>
        <w:t>i</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——土壤中i污染物的标准值，mg/kg。</w:t>
      </w:r>
    </w:p>
    <w:p w14:paraId="71954C95">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（2）评价标准</w:t>
      </w:r>
    </w:p>
    <w:p w14:paraId="07A7DFED">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1#~7#监测点位土壤执行《土壤环境质量 建设用地土壤污染风险管控标准（试行）》（GB36600-2018）中表1建设用地土壤污染风险筛选值（基本项目）中第二类用地筛选值标准，以及表2（其他项目）中第二类用地筛选值标准；8#监测点位土壤执行《土壤环境质量 建设用地土壤污染风险管控标准（试行）》（GB36600-2018）中表1建设用地土壤污染风险筛选值（基本项目）中第一类用地筛选值标准，以及表2（其他项目）中第一类用地筛选值标准；9#~11#监测点位土壤执行《土壤环境质量 农用地土壤污染风险管控标准（试行）》（GB15618-2018）表1农用地土壤风险筛选值（基本项目）中标准。</w:t>
      </w:r>
    </w:p>
    <w:p w14:paraId="4E463ADF">
      <w:pPr>
        <w:widowControl/>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（3）土壤现状评价结果分析</w:t>
      </w:r>
    </w:p>
    <w:p w14:paraId="774D6A8E">
      <w:pPr>
        <w:widowControl/>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建设用地土壤环境质量现状评价结果见表4.3-23。</w:t>
      </w: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农用地土壤环境质量现状评价结果见表</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4.3-24。</w:t>
      </w:r>
    </w:p>
    <w:p w14:paraId="6FFDB8DA">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表4.3-23    建设用地土壤环境质量现状评价结果（Ki值）</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51"/>
        <w:gridCol w:w="869"/>
        <w:gridCol w:w="871"/>
        <w:gridCol w:w="871"/>
        <w:gridCol w:w="871"/>
        <w:gridCol w:w="869"/>
        <w:gridCol w:w="884"/>
        <w:gridCol w:w="866"/>
        <w:gridCol w:w="866"/>
        <w:gridCol w:w="869"/>
      </w:tblGrid>
      <w:tr w14:paraId="1A307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73A9795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监测时间</w:t>
            </w:r>
          </w:p>
        </w:tc>
        <w:tc>
          <w:tcPr>
            <w:tcW w:w="4219" w:type="pct"/>
            <w:gridSpan w:val="9"/>
            <w:vAlign w:val="center"/>
          </w:tcPr>
          <w:p w14:paraId="47A1832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2022.10.16</w:t>
            </w:r>
          </w:p>
        </w:tc>
      </w:tr>
      <w:tr w14:paraId="4783A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Merge w:val="restart"/>
            <w:vAlign w:val="center"/>
          </w:tcPr>
          <w:p w14:paraId="508DCB2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监测项目</w:t>
            </w:r>
          </w:p>
        </w:tc>
        <w:tc>
          <w:tcPr>
            <w:tcW w:w="4219" w:type="pct"/>
            <w:gridSpan w:val="9"/>
            <w:vAlign w:val="center"/>
          </w:tcPr>
          <w:p w14:paraId="6AB89D9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测点位及评价结果</w:t>
            </w:r>
          </w:p>
        </w:tc>
      </w:tr>
      <w:tr w14:paraId="5ACC1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Merge w:val="continue"/>
            <w:vAlign w:val="center"/>
          </w:tcPr>
          <w:p w14:paraId="204C42C9">
            <w:pPr>
              <w:widowControl/>
              <w:autoSpaceDE/>
              <w:autoSpaceDN/>
              <w:adjustRightInd w:val="0"/>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406" w:type="pct"/>
            <w:gridSpan w:val="3"/>
            <w:vAlign w:val="center"/>
          </w:tcPr>
          <w:p w14:paraId="28AAEE2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拟建混输阀组间占地内</w:t>
            </w:r>
          </w:p>
        </w:tc>
        <w:tc>
          <w:tcPr>
            <w:tcW w:w="1413" w:type="pct"/>
            <w:gridSpan w:val="3"/>
            <w:vAlign w:val="center"/>
          </w:tcPr>
          <w:p w14:paraId="407E9BB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4号拉油点占地内</w:t>
            </w:r>
          </w:p>
        </w:tc>
        <w:tc>
          <w:tcPr>
            <w:tcW w:w="1399" w:type="pct"/>
            <w:gridSpan w:val="3"/>
            <w:vAlign w:val="center"/>
          </w:tcPr>
          <w:p w14:paraId="5429987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龙27-5拉油点占地内</w:t>
            </w:r>
          </w:p>
        </w:tc>
      </w:tr>
      <w:tr w14:paraId="6B765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Merge w:val="continue"/>
            <w:vAlign w:val="center"/>
          </w:tcPr>
          <w:p w14:paraId="6386180F">
            <w:pPr>
              <w:widowControl/>
              <w:autoSpaceDE/>
              <w:autoSpaceDN/>
              <w:adjustRightInd w:val="0"/>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468" w:type="pct"/>
            <w:vAlign w:val="center"/>
          </w:tcPr>
          <w:p w14:paraId="2A55E39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0-50cm</w:t>
            </w:r>
          </w:p>
        </w:tc>
        <w:tc>
          <w:tcPr>
            <w:tcW w:w="469" w:type="pct"/>
            <w:vAlign w:val="center"/>
          </w:tcPr>
          <w:p w14:paraId="3C08360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50-150cm</w:t>
            </w:r>
          </w:p>
        </w:tc>
        <w:tc>
          <w:tcPr>
            <w:tcW w:w="469" w:type="pct"/>
            <w:vAlign w:val="center"/>
          </w:tcPr>
          <w:p w14:paraId="220C6F4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150-300cm</w:t>
            </w:r>
          </w:p>
        </w:tc>
        <w:tc>
          <w:tcPr>
            <w:tcW w:w="469" w:type="pct"/>
            <w:vAlign w:val="center"/>
          </w:tcPr>
          <w:p w14:paraId="5216938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0-50cm</w:t>
            </w:r>
          </w:p>
        </w:tc>
        <w:tc>
          <w:tcPr>
            <w:tcW w:w="468" w:type="pct"/>
            <w:vAlign w:val="center"/>
          </w:tcPr>
          <w:p w14:paraId="4726382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50-150cm</w:t>
            </w:r>
          </w:p>
        </w:tc>
        <w:tc>
          <w:tcPr>
            <w:tcW w:w="476" w:type="pct"/>
            <w:vAlign w:val="center"/>
          </w:tcPr>
          <w:p w14:paraId="2044D3B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150-300cm</w:t>
            </w:r>
          </w:p>
        </w:tc>
        <w:tc>
          <w:tcPr>
            <w:tcW w:w="466" w:type="pct"/>
            <w:vAlign w:val="center"/>
          </w:tcPr>
          <w:p w14:paraId="0B79BE2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0-50cm</w:t>
            </w:r>
          </w:p>
        </w:tc>
        <w:tc>
          <w:tcPr>
            <w:tcW w:w="466" w:type="pct"/>
            <w:vAlign w:val="center"/>
          </w:tcPr>
          <w:p w14:paraId="5880FFB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50-150cm</w:t>
            </w:r>
          </w:p>
        </w:tc>
        <w:tc>
          <w:tcPr>
            <w:tcW w:w="468" w:type="pct"/>
            <w:vAlign w:val="center"/>
          </w:tcPr>
          <w:p w14:paraId="67DEDAA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150-300cm</w:t>
            </w:r>
          </w:p>
        </w:tc>
      </w:tr>
      <w:tr w14:paraId="41405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366035B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镉（Cd）</w:t>
            </w:r>
          </w:p>
        </w:tc>
        <w:tc>
          <w:tcPr>
            <w:tcW w:w="468" w:type="pct"/>
            <w:vAlign w:val="bottom"/>
          </w:tcPr>
          <w:p w14:paraId="23F8728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0.0018 </w:t>
            </w:r>
          </w:p>
        </w:tc>
        <w:tc>
          <w:tcPr>
            <w:tcW w:w="469" w:type="pct"/>
            <w:vAlign w:val="bottom"/>
          </w:tcPr>
          <w:p w14:paraId="0D4EC43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0.0011 </w:t>
            </w:r>
          </w:p>
        </w:tc>
        <w:tc>
          <w:tcPr>
            <w:tcW w:w="469" w:type="pct"/>
            <w:vAlign w:val="bottom"/>
          </w:tcPr>
          <w:p w14:paraId="21C95E2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0.0014 </w:t>
            </w:r>
          </w:p>
        </w:tc>
        <w:tc>
          <w:tcPr>
            <w:tcW w:w="469" w:type="pct"/>
            <w:vAlign w:val="bottom"/>
          </w:tcPr>
          <w:p w14:paraId="452DA32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0.0015 </w:t>
            </w:r>
          </w:p>
        </w:tc>
        <w:tc>
          <w:tcPr>
            <w:tcW w:w="468" w:type="pct"/>
            <w:vAlign w:val="bottom"/>
          </w:tcPr>
          <w:p w14:paraId="02DA119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0.0020 </w:t>
            </w:r>
          </w:p>
        </w:tc>
        <w:tc>
          <w:tcPr>
            <w:tcW w:w="476" w:type="pct"/>
            <w:vAlign w:val="bottom"/>
          </w:tcPr>
          <w:p w14:paraId="02E1038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0.0012 </w:t>
            </w:r>
          </w:p>
        </w:tc>
        <w:tc>
          <w:tcPr>
            <w:tcW w:w="466" w:type="pct"/>
            <w:vAlign w:val="bottom"/>
          </w:tcPr>
          <w:p w14:paraId="0D5124B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0.0017 </w:t>
            </w:r>
          </w:p>
        </w:tc>
        <w:tc>
          <w:tcPr>
            <w:tcW w:w="466" w:type="pct"/>
            <w:vAlign w:val="bottom"/>
          </w:tcPr>
          <w:p w14:paraId="7CF9722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0.0012 </w:t>
            </w:r>
          </w:p>
        </w:tc>
        <w:tc>
          <w:tcPr>
            <w:tcW w:w="468" w:type="pct"/>
            <w:vAlign w:val="bottom"/>
          </w:tcPr>
          <w:p w14:paraId="089E702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0.0014 </w:t>
            </w:r>
          </w:p>
        </w:tc>
      </w:tr>
      <w:tr w14:paraId="624CB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5C66448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汞（Hg）</w:t>
            </w:r>
          </w:p>
        </w:tc>
        <w:tc>
          <w:tcPr>
            <w:tcW w:w="468" w:type="pct"/>
            <w:vAlign w:val="bottom"/>
          </w:tcPr>
          <w:p w14:paraId="5A60437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0.0007 </w:t>
            </w:r>
          </w:p>
        </w:tc>
        <w:tc>
          <w:tcPr>
            <w:tcW w:w="469" w:type="pct"/>
            <w:vAlign w:val="bottom"/>
          </w:tcPr>
          <w:p w14:paraId="3A09043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0.0005 </w:t>
            </w:r>
          </w:p>
        </w:tc>
        <w:tc>
          <w:tcPr>
            <w:tcW w:w="469" w:type="pct"/>
            <w:vAlign w:val="bottom"/>
          </w:tcPr>
          <w:p w14:paraId="06F2D57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0.0006 </w:t>
            </w:r>
          </w:p>
        </w:tc>
        <w:tc>
          <w:tcPr>
            <w:tcW w:w="469" w:type="pct"/>
            <w:vAlign w:val="bottom"/>
          </w:tcPr>
          <w:p w14:paraId="2CF343B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0.0005 </w:t>
            </w:r>
          </w:p>
        </w:tc>
        <w:tc>
          <w:tcPr>
            <w:tcW w:w="468" w:type="pct"/>
            <w:vAlign w:val="bottom"/>
          </w:tcPr>
          <w:p w14:paraId="0B7A94E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0.0006 </w:t>
            </w:r>
          </w:p>
        </w:tc>
        <w:tc>
          <w:tcPr>
            <w:tcW w:w="476" w:type="pct"/>
            <w:vAlign w:val="bottom"/>
          </w:tcPr>
          <w:p w14:paraId="78AE792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0.0005 </w:t>
            </w:r>
          </w:p>
        </w:tc>
        <w:tc>
          <w:tcPr>
            <w:tcW w:w="466" w:type="pct"/>
            <w:vAlign w:val="bottom"/>
          </w:tcPr>
          <w:p w14:paraId="586B430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0.0005 </w:t>
            </w:r>
          </w:p>
        </w:tc>
        <w:tc>
          <w:tcPr>
            <w:tcW w:w="466" w:type="pct"/>
            <w:vAlign w:val="bottom"/>
          </w:tcPr>
          <w:p w14:paraId="25F67C3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0.0006 </w:t>
            </w:r>
          </w:p>
        </w:tc>
        <w:tc>
          <w:tcPr>
            <w:tcW w:w="468" w:type="pct"/>
            <w:vAlign w:val="bottom"/>
          </w:tcPr>
          <w:p w14:paraId="7C0837A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0.0004 </w:t>
            </w:r>
          </w:p>
        </w:tc>
      </w:tr>
      <w:tr w14:paraId="0BCC86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353C53D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砷（As）</w:t>
            </w:r>
          </w:p>
        </w:tc>
        <w:tc>
          <w:tcPr>
            <w:tcW w:w="468" w:type="pct"/>
            <w:vAlign w:val="bottom"/>
          </w:tcPr>
          <w:p w14:paraId="6669E44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0.0560 </w:t>
            </w:r>
          </w:p>
        </w:tc>
        <w:tc>
          <w:tcPr>
            <w:tcW w:w="469" w:type="pct"/>
            <w:vAlign w:val="bottom"/>
          </w:tcPr>
          <w:p w14:paraId="076865D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0.0568 </w:t>
            </w:r>
          </w:p>
        </w:tc>
        <w:tc>
          <w:tcPr>
            <w:tcW w:w="469" w:type="pct"/>
            <w:vAlign w:val="bottom"/>
          </w:tcPr>
          <w:p w14:paraId="4B16E8D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0.0548 </w:t>
            </w:r>
          </w:p>
        </w:tc>
        <w:tc>
          <w:tcPr>
            <w:tcW w:w="469" w:type="pct"/>
            <w:vAlign w:val="bottom"/>
          </w:tcPr>
          <w:p w14:paraId="48EEE80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0.0570 </w:t>
            </w:r>
          </w:p>
        </w:tc>
        <w:tc>
          <w:tcPr>
            <w:tcW w:w="468" w:type="pct"/>
            <w:vAlign w:val="bottom"/>
          </w:tcPr>
          <w:p w14:paraId="10492F2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0.0547 </w:t>
            </w:r>
          </w:p>
        </w:tc>
        <w:tc>
          <w:tcPr>
            <w:tcW w:w="476" w:type="pct"/>
            <w:vAlign w:val="bottom"/>
          </w:tcPr>
          <w:p w14:paraId="62A31C1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0.0563 </w:t>
            </w:r>
          </w:p>
        </w:tc>
        <w:tc>
          <w:tcPr>
            <w:tcW w:w="466" w:type="pct"/>
            <w:vAlign w:val="bottom"/>
          </w:tcPr>
          <w:p w14:paraId="2678D92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0.0560 </w:t>
            </w:r>
          </w:p>
        </w:tc>
        <w:tc>
          <w:tcPr>
            <w:tcW w:w="466" w:type="pct"/>
            <w:vAlign w:val="bottom"/>
          </w:tcPr>
          <w:p w14:paraId="052E5A6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0.0572 </w:t>
            </w:r>
          </w:p>
        </w:tc>
        <w:tc>
          <w:tcPr>
            <w:tcW w:w="468" w:type="pct"/>
            <w:vAlign w:val="bottom"/>
          </w:tcPr>
          <w:p w14:paraId="5E4EB04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0.0552 </w:t>
            </w:r>
          </w:p>
        </w:tc>
      </w:tr>
      <w:tr w14:paraId="5BE23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4041812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铅（Pb）</w:t>
            </w:r>
          </w:p>
        </w:tc>
        <w:tc>
          <w:tcPr>
            <w:tcW w:w="468" w:type="pct"/>
            <w:vAlign w:val="bottom"/>
          </w:tcPr>
          <w:p w14:paraId="2C0418E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0.0188 </w:t>
            </w:r>
          </w:p>
        </w:tc>
        <w:tc>
          <w:tcPr>
            <w:tcW w:w="469" w:type="pct"/>
            <w:vAlign w:val="bottom"/>
          </w:tcPr>
          <w:p w14:paraId="343CDD3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0.0275 </w:t>
            </w:r>
          </w:p>
        </w:tc>
        <w:tc>
          <w:tcPr>
            <w:tcW w:w="469" w:type="pct"/>
            <w:vAlign w:val="bottom"/>
          </w:tcPr>
          <w:p w14:paraId="1DFF6BC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0.0238 </w:t>
            </w:r>
          </w:p>
        </w:tc>
        <w:tc>
          <w:tcPr>
            <w:tcW w:w="469" w:type="pct"/>
            <w:vAlign w:val="bottom"/>
          </w:tcPr>
          <w:p w14:paraId="6AD5D71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0.0200 </w:t>
            </w:r>
          </w:p>
        </w:tc>
        <w:tc>
          <w:tcPr>
            <w:tcW w:w="468" w:type="pct"/>
            <w:vAlign w:val="bottom"/>
          </w:tcPr>
          <w:p w14:paraId="28A8FFC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0.0263 </w:t>
            </w:r>
          </w:p>
        </w:tc>
        <w:tc>
          <w:tcPr>
            <w:tcW w:w="476" w:type="pct"/>
            <w:vAlign w:val="bottom"/>
          </w:tcPr>
          <w:p w14:paraId="7669ED6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0.0250 </w:t>
            </w:r>
          </w:p>
        </w:tc>
        <w:tc>
          <w:tcPr>
            <w:tcW w:w="466" w:type="pct"/>
            <w:vAlign w:val="bottom"/>
          </w:tcPr>
          <w:p w14:paraId="58C48BE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0.0275 </w:t>
            </w:r>
          </w:p>
        </w:tc>
        <w:tc>
          <w:tcPr>
            <w:tcW w:w="466" w:type="pct"/>
            <w:vAlign w:val="bottom"/>
          </w:tcPr>
          <w:p w14:paraId="073761C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0.0225 </w:t>
            </w:r>
          </w:p>
        </w:tc>
        <w:tc>
          <w:tcPr>
            <w:tcW w:w="468" w:type="pct"/>
            <w:vAlign w:val="bottom"/>
          </w:tcPr>
          <w:p w14:paraId="72AFC33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0.0288 </w:t>
            </w:r>
          </w:p>
        </w:tc>
      </w:tr>
      <w:tr w14:paraId="47C1B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1053CA5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铬（六价）</w:t>
            </w:r>
          </w:p>
        </w:tc>
        <w:tc>
          <w:tcPr>
            <w:tcW w:w="468" w:type="pct"/>
            <w:vAlign w:val="center"/>
          </w:tcPr>
          <w:p w14:paraId="7987376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364B67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9B9DE6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A96256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7D26CB2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544C30A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09F2FA7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4980715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5F89E27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67759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6D578B3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铜（Cu）</w:t>
            </w:r>
          </w:p>
        </w:tc>
        <w:tc>
          <w:tcPr>
            <w:tcW w:w="468" w:type="pct"/>
            <w:vAlign w:val="bottom"/>
          </w:tcPr>
          <w:p w14:paraId="5284ECC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0.0008 </w:t>
            </w:r>
          </w:p>
        </w:tc>
        <w:tc>
          <w:tcPr>
            <w:tcW w:w="469" w:type="pct"/>
            <w:vAlign w:val="bottom"/>
          </w:tcPr>
          <w:p w14:paraId="507BD3C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0.0010 </w:t>
            </w:r>
          </w:p>
        </w:tc>
        <w:tc>
          <w:tcPr>
            <w:tcW w:w="469" w:type="pct"/>
            <w:vAlign w:val="bottom"/>
          </w:tcPr>
          <w:p w14:paraId="3978321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0.0008 </w:t>
            </w:r>
          </w:p>
        </w:tc>
        <w:tc>
          <w:tcPr>
            <w:tcW w:w="469" w:type="pct"/>
            <w:vAlign w:val="bottom"/>
          </w:tcPr>
          <w:p w14:paraId="53266A0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0.0009 </w:t>
            </w:r>
          </w:p>
        </w:tc>
        <w:tc>
          <w:tcPr>
            <w:tcW w:w="468" w:type="pct"/>
            <w:vAlign w:val="bottom"/>
          </w:tcPr>
          <w:p w14:paraId="03BF82C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0.0012 </w:t>
            </w:r>
          </w:p>
        </w:tc>
        <w:tc>
          <w:tcPr>
            <w:tcW w:w="476" w:type="pct"/>
            <w:vAlign w:val="bottom"/>
          </w:tcPr>
          <w:p w14:paraId="650941D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0.0010 </w:t>
            </w:r>
          </w:p>
        </w:tc>
        <w:tc>
          <w:tcPr>
            <w:tcW w:w="466" w:type="pct"/>
            <w:vAlign w:val="bottom"/>
          </w:tcPr>
          <w:p w14:paraId="2F2FD9B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0.0008 </w:t>
            </w:r>
          </w:p>
        </w:tc>
        <w:tc>
          <w:tcPr>
            <w:tcW w:w="466" w:type="pct"/>
            <w:vAlign w:val="bottom"/>
          </w:tcPr>
          <w:p w14:paraId="59C0A1B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0.0012 </w:t>
            </w:r>
          </w:p>
        </w:tc>
        <w:tc>
          <w:tcPr>
            <w:tcW w:w="468" w:type="pct"/>
            <w:vAlign w:val="bottom"/>
          </w:tcPr>
          <w:p w14:paraId="4E09C27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0.0009 </w:t>
            </w:r>
          </w:p>
        </w:tc>
      </w:tr>
      <w:tr w14:paraId="6D2EE7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25A5DFF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镍（Ni）</w:t>
            </w:r>
          </w:p>
        </w:tc>
        <w:tc>
          <w:tcPr>
            <w:tcW w:w="468" w:type="pct"/>
            <w:vAlign w:val="bottom"/>
          </w:tcPr>
          <w:p w14:paraId="678DDE9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0.0233 </w:t>
            </w:r>
          </w:p>
        </w:tc>
        <w:tc>
          <w:tcPr>
            <w:tcW w:w="469" w:type="pct"/>
            <w:vAlign w:val="bottom"/>
          </w:tcPr>
          <w:p w14:paraId="48A2561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0.0289 </w:t>
            </w:r>
          </w:p>
        </w:tc>
        <w:tc>
          <w:tcPr>
            <w:tcW w:w="469" w:type="pct"/>
            <w:vAlign w:val="bottom"/>
          </w:tcPr>
          <w:p w14:paraId="16CCE85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0.0200 </w:t>
            </w:r>
          </w:p>
        </w:tc>
        <w:tc>
          <w:tcPr>
            <w:tcW w:w="469" w:type="pct"/>
            <w:vAlign w:val="bottom"/>
          </w:tcPr>
          <w:p w14:paraId="4DFA892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0.0244 </w:t>
            </w:r>
          </w:p>
        </w:tc>
        <w:tc>
          <w:tcPr>
            <w:tcW w:w="468" w:type="pct"/>
            <w:vAlign w:val="bottom"/>
          </w:tcPr>
          <w:p w14:paraId="1F6D844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0.0200 </w:t>
            </w:r>
          </w:p>
        </w:tc>
        <w:tc>
          <w:tcPr>
            <w:tcW w:w="476" w:type="pct"/>
            <w:vAlign w:val="bottom"/>
          </w:tcPr>
          <w:p w14:paraId="4779489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0.0267 </w:t>
            </w:r>
          </w:p>
        </w:tc>
        <w:tc>
          <w:tcPr>
            <w:tcW w:w="466" w:type="pct"/>
            <w:vAlign w:val="bottom"/>
          </w:tcPr>
          <w:p w14:paraId="12E3127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0.0233 </w:t>
            </w:r>
          </w:p>
        </w:tc>
        <w:tc>
          <w:tcPr>
            <w:tcW w:w="466" w:type="pct"/>
            <w:vAlign w:val="bottom"/>
          </w:tcPr>
          <w:p w14:paraId="2C49176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0.0211 </w:t>
            </w:r>
          </w:p>
        </w:tc>
        <w:tc>
          <w:tcPr>
            <w:tcW w:w="468" w:type="pct"/>
            <w:vAlign w:val="bottom"/>
          </w:tcPr>
          <w:p w14:paraId="0B12D98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0.0256 </w:t>
            </w:r>
          </w:p>
        </w:tc>
      </w:tr>
      <w:tr w14:paraId="3AC56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3B77F28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w:t>
            </w:r>
          </w:p>
        </w:tc>
        <w:tc>
          <w:tcPr>
            <w:tcW w:w="468" w:type="pct"/>
            <w:vAlign w:val="center"/>
          </w:tcPr>
          <w:p w14:paraId="03A13C4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B9251F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75EAF2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672E0E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202C024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535FFBE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24501A9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30192A3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5075302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1450E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4208218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甲苯</w:t>
            </w:r>
          </w:p>
        </w:tc>
        <w:tc>
          <w:tcPr>
            <w:tcW w:w="468" w:type="pct"/>
            <w:vAlign w:val="center"/>
          </w:tcPr>
          <w:p w14:paraId="4CFBDBF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5325FF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899047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14C180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2F42882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266D2DA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457E684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1D73D74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00172E1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457AF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7FDB31F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乙苯</w:t>
            </w:r>
          </w:p>
        </w:tc>
        <w:tc>
          <w:tcPr>
            <w:tcW w:w="468" w:type="pct"/>
            <w:vAlign w:val="center"/>
          </w:tcPr>
          <w:p w14:paraId="1717D8F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8EA56A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10B8BA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2FA567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68D425A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2DB4DB9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0E58457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6B6D760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615643F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59894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19B6435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氯苯</w:t>
            </w:r>
          </w:p>
        </w:tc>
        <w:tc>
          <w:tcPr>
            <w:tcW w:w="468" w:type="pct"/>
            <w:vAlign w:val="center"/>
          </w:tcPr>
          <w:p w14:paraId="0042FE9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52E668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01F802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383B10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7E2C46F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03AB7B0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649A7FD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1627814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049815C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42F3C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028792F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苯乙烯</w:t>
            </w:r>
          </w:p>
        </w:tc>
        <w:tc>
          <w:tcPr>
            <w:tcW w:w="468" w:type="pct"/>
            <w:vAlign w:val="center"/>
          </w:tcPr>
          <w:p w14:paraId="261D2B4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81202B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5FEC84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A55FC3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5FB8F13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5509B54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707C1B6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64349B4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5136EB7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5750D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1CEB378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间二甲苯+对二甲苯</w:t>
            </w:r>
          </w:p>
        </w:tc>
        <w:tc>
          <w:tcPr>
            <w:tcW w:w="468" w:type="pct"/>
            <w:vAlign w:val="center"/>
          </w:tcPr>
          <w:p w14:paraId="06BE12F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4E9FD7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FADD4D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ACAF35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46E5B25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74F7586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5006FBA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36F0EAF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5371FF0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2B17D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53AD363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邻二甲苯</w:t>
            </w:r>
          </w:p>
        </w:tc>
        <w:tc>
          <w:tcPr>
            <w:tcW w:w="468" w:type="pct"/>
            <w:vAlign w:val="center"/>
          </w:tcPr>
          <w:p w14:paraId="3704B9C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B573E0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CF2E09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C9DEE9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11D727D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06204F2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2089622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5187945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59519D9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08FF0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4D839B4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氯乙烯</w:t>
            </w:r>
          </w:p>
        </w:tc>
        <w:tc>
          <w:tcPr>
            <w:tcW w:w="468" w:type="pct"/>
            <w:vAlign w:val="center"/>
          </w:tcPr>
          <w:p w14:paraId="4CEA016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844FF9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A0D697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F94DE5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5D237C9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356F686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0E05E09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12859CC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2ADD5B2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01974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3A20C99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1,2-二氯苯</w:t>
            </w:r>
          </w:p>
        </w:tc>
        <w:tc>
          <w:tcPr>
            <w:tcW w:w="468" w:type="pct"/>
            <w:vAlign w:val="center"/>
          </w:tcPr>
          <w:p w14:paraId="16E2913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CEA431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21C040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7D4198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7EE4095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0D480CE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2023C4C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1740A50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2607501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4BC6F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235EFC4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1,4-二氯苯</w:t>
            </w:r>
          </w:p>
        </w:tc>
        <w:tc>
          <w:tcPr>
            <w:tcW w:w="468" w:type="pct"/>
            <w:vAlign w:val="center"/>
          </w:tcPr>
          <w:p w14:paraId="0E01325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EF442C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BB38DD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255980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78B6D28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18B6B06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3399232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14E54AB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3B6FD18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5DABC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2B53C1D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四氯化碳</w:t>
            </w:r>
          </w:p>
        </w:tc>
        <w:tc>
          <w:tcPr>
            <w:tcW w:w="468" w:type="pct"/>
            <w:vAlign w:val="center"/>
          </w:tcPr>
          <w:p w14:paraId="47414A6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ED0025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CF6DB4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546656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18AC954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2FE6B5F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40E0301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73A15D8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108F1F2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1DAEB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2316285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氯仿</w:t>
            </w:r>
          </w:p>
        </w:tc>
        <w:tc>
          <w:tcPr>
            <w:tcW w:w="468" w:type="pct"/>
            <w:vAlign w:val="center"/>
          </w:tcPr>
          <w:p w14:paraId="2416F05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F1020A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8C1DD6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0582C8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61B1555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6B24C99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7D55B86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5C8F796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0731D46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6C79F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52E8159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氯甲烷</w:t>
            </w:r>
          </w:p>
        </w:tc>
        <w:tc>
          <w:tcPr>
            <w:tcW w:w="468" w:type="pct"/>
            <w:vAlign w:val="center"/>
          </w:tcPr>
          <w:p w14:paraId="2C90D93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BEAA00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30AD09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0F1F23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6CE650B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5AB395C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36860C1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4F89F66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7ABE2AB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5D046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1E1C236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1,1-二氯乙烷</w:t>
            </w:r>
          </w:p>
        </w:tc>
        <w:tc>
          <w:tcPr>
            <w:tcW w:w="468" w:type="pct"/>
            <w:vAlign w:val="center"/>
          </w:tcPr>
          <w:p w14:paraId="38875EF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C53122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9ED507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035CD3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2B0D74F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3E4E03D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51F6804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78A546C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7799A96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6DCA7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0C9CEA7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1,2-二氯乙烷</w:t>
            </w:r>
          </w:p>
        </w:tc>
        <w:tc>
          <w:tcPr>
            <w:tcW w:w="468" w:type="pct"/>
            <w:vAlign w:val="center"/>
          </w:tcPr>
          <w:p w14:paraId="7ADB9BB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5F1961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016FB3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CB1570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3A64C21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4677EE9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0209BE3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4AD36B9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2BD38CB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787539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0A8E8B7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1,1-二氯乙烯</w:t>
            </w:r>
          </w:p>
        </w:tc>
        <w:tc>
          <w:tcPr>
            <w:tcW w:w="468" w:type="pct"/>
            <w:vAlign w:val="center"/>
          </w:tcPr>
          <w:p w14:paraId="198962A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69B1F6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811624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DF3204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532ABE6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29D84BF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69E8146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0764B2E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3D3013D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2E63A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4420588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顺-1,2-二氯乙烯</w:t>
            </w:r>
          </w:p>
        </w:tc>
        <w:tc>
          <w:tcPr>
            <w:tcW w:w="468" w:type="pct"/>
            <w:vAlign w:val="center"/>
          </w:tcPr>
          <w:p w14:paraId="27F12EC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A9B515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38B7AE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8F6A7A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298B03F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5524FC0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06E5100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1CA3B51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4F669B6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71833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40FB833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反-1,2-二氯乙烯</w:t>
            </w:r>
          </w:p>
        </w:tc>
        <w:tc>
          <w:tcPr>
            <w:tcW w:w="468" w:type="pct"/>
            <w:vAlign w:val="center"/>
          </w:tcPr>
          <w:p w14:paraId="0BE5A99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4A7490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0A8E56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A75C78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6373A25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6626B9F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76B92FF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39710A0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409A10C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68A2C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51FBD25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二氯甲烷</w:t>
            </w:r>
          </w:p>
        </w:tc>
        <w:tc>
          <w:tcPr>
            <w:tcW w:w="468" w:type="pct"/>
            <w:vAlign w:val="center"/>
          </w:tcPr>
          <w:p w14:paraId="44C071F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5E143A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DED7AF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A92538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4A9A618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1F9CD7A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5F0915E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7A9B082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28949EF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2AF08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47DD1F1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1,2-二氯丙烷</w:t>
            </w:r>
          </w:p>
        </w:tc>
        <w:tc>
          <w:tcPr>
            <w:tcW w:w="468" w:type="pct"/>
            <w:vAlign w:val="center"/>
          </w:tcPr>
          <w:p w14:paraId="08FEE4E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5A0AEE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062180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E417F8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31C6C2A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31263B5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22BF34B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1C55846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17C63BC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3FF193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68847E4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1,1,1,2-四氯乙烷</w:t>
            </w:r>
          </w:p>
        </w:tc>
        <w:tc>
          <w:tcPr>
            <w:tcW w:w="468" w:type="pct"/>
            <w:vAlign w:val="center"/>
          </w:tcPr>
          <w:p w14:paraId="3DED3EB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18AB80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1C3F44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57F706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65072D9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5F6D4A2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7EC2B8D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0F3B22C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6AB1BEC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1A829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31A6AFA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1,1,2,2-四氯乙烷</w:t>
            </w:r>
          </w:p>
        </w:tc>
        <w:tc>
          <w:tcPr>
            <w:tcW w:w="468" w:type="pct"/>
            <w:vAlign w:val="center"/>
          </w:tcPr>
          <w:p w14:paraId="62ADA93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B42172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17FCB8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EB0AE8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6B241D7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638BA02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7E8B889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4A03672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7F988DB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5451E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200DEEA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四氯乙烯</w:t>
            </w:r>
          </w:p>
        </w:tc>
        <w:tc>
          <w:tcPr>
            <w:tcW w:w="468" w:type="pct"/>
            <w:vAlign w:val="center"/>
          </w:tcPr>
          <w:p w14:paraId="518918B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385159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39A332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DA904D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582C2D7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31D9C57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0A7A254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0AF4D89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6E26748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0B856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6546593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1,1,1-三氯乙烷</w:t>
            </w:r>
          </w:p>
        </w:tc>
        <w:tc>
          <w:tcPr>
            <w:tcW w:w="468" w:type="pct"/>
            <w:vAlign w:val="center"/>
          </w:tcPr>
          <w:p w14:paraId="56D9D85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E4D6C6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B4398D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B4BFEA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5D75E2B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0E87D61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0C2DB02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4FCBF36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5E44ABF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10CFB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191B31D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1,1,2-三氯乙烷</w:t>
            </w:r>
          </w:p>
        </w:tc>
        <w:tc>
          <w:tcPr>
            <w:tcW w:w="468" w:type="pct"/>
            <w:vAlign w:val="center"/>
          </w:tcPr>
          <w:p w14:paraId="4354030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9063D4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F68A22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C22A80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5896301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14C10C0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4CF7183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3E68241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3C3D256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21421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0B6D49F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三氯乙烯</w:t>
            </w:r>
          </w:p>
        </w:tc>
        <w:tc>
          <w:tcPr>
            <w:tcW w:w="468" w:type="pct"/>
            <w:vAlign w:val="center"/>
          </w:tcPr>
          <w:p w14:paraId="7ABB3D6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C2F8CD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73B91E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35893B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0826F28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5932D6D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0E69FAD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12C8A4B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366379B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4D784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7F0C543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1,2,3-三氯丙烷</w:t>
            </w:r>
          </w:p>
        </w:tc>
        <w:tc>
          <w:tcPr>
            <w:tcW w:w="468" w:type="pct"/>
            <w:vAlign w:val="center"/>
          </w:tcPr>
          <w:p w14:paraId="1706B9D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8141F1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6F9486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45ADD3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7CE4C23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6EFADBB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28CCF14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5951D26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330121B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49CA9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19523D5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硝基苯</w:t>
            </w:r>
          </w:p>
        </w:tc>
        <w:tc>
          <w:tcPr>
            <w:tcW w:w="468" w:type="pct"/>
            <w:vAlign w:val="center"/>
          </w:tcPr>
          <w:p w14:paraId="030808B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642898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1A3CDD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41CF6B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0630BD9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16E71DA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3B6985E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5A42E0E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52BA228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24B4B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7C3598A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苯胺</w:t>
            </w:r>
          </w:p>
        </w:tc>
        <w:tc>
          <w:tcPr>
            <w:tcW w:w="468" w:type="pct"/>
            <w:vAlign w:val="center"/>
          </w:tcPr>
          <w:p w14:paraId="2F2F27E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F1A708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45CD4C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85C6E7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7D06119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6CDE73B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2D0A695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0377B5B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22835DD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59877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42FA95F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2-氯酚</w:t>
            </w:r>
          </w:p>
        </w:tc>
        <w:tc>
          <w:tcPr>
            <w:tcW w:w="468" w:type="pct"/>
            <w:vAlign w:val="center"/>
          </w:tcPr>
          <w:p w14:paraId="22584A6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02AF5D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B25D0D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4CA51A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10AB435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1542579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2D2600B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25F51D7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4777C9D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5B45D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3D7167D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䓛</w:t>
            </w:r>
          </w:p>
        </w:tc>
        <w:tc>
          <w:tcPr>
            <w:tcW w:w="468" w:type="pct"/>
            <w:vAlign w:val="center"/>
          </w:tcPr>
          <w:p w14:paraId="42A989A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D13CB9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B76A24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13CFEE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6C0A92F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6CB410E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52F9306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3CC1D79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7377F02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479CA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223CC73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萘</w:t>
            </w:r>
          </w:p>
        </w:tc>
        <w:tc>
          <w:tcPr>
            <w:tcW w:w="468" w:type="pct"/>
            <w:vAlign w:val="center"/>
          </w:tcPr>
          <w:p w14:paraId="10B4080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5A526C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BCE3EA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24708C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7A2982C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258AF22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5E777A5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289CFE6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29D7672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716C8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5FDC11C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苯并[a]蒽</w:t>
            </w:r>
          </w:p>
        </w:tc>
        <w:tc>
          <w:tcPr>
            <w:tcW w:w="468" w:type="pct"/>
            <w:vAlign w:val="center"/>
          </w:tcPr>
          <w:p w14:paraId="18A3768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2080F4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A402ED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B52434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0DEBCBB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29F30BE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6C1CE11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2AF3AAA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60E5F81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5969E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6C69839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苯并[b]荧蒽</w:t>
            </w:r>
          </w:p>
        </w:tc>
        <w:tc>
          <w:tcPr>
            <w:tcW w:w="468" w:type="pct"/>
            <w:vAlign w:val="center"/>
          </w:tcPr>
          <w:p w14:paraId="26E98B2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88B13A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A7ED7D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F2C61C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54B0BC8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1B3C823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7B5B902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02B5254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7A63957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10CAA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4F06614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苯并[k]荧蒽</w:t>
            </w:r>
          </w:p>
        </w:tc>
        <w:tc>
          <w:tcPr>
            <w:tcW w:w="468" w:type="pct"/>
            <w:vAlign w:val="center"/>
          </w:tcPr>
          <w:p w14:paraId="42CDFBA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33B942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FB054C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AB0DBE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2DF16B6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21B1847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3233985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0068ADB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4ADCB9A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27765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4A806F0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苯并[a]芘</w:t>
            </w:r>
          </w:p>
        </w:tc>
        <w:tc>
          <w:tcPr>
            <w:tcW w:w="468" w:type="pct"/>
            <w:vAlign w:val="center"/>
          </w:tcPr>
          <w:p w14:paraId="3C2FAC3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BEEA9E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DF9AAC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E1AAC8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70589A8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122CA90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565C1FF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2743451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5ABD33B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23359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0271813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茚并[1,2,3-cd]芘</w:t>
            </w:r>
          </w:p>
        </w:tc>
        <w:tc>
          <w:tcPr>
            <w:tcW w:w="468" w:type="pct"/>
            <w:vAlign w:val="center"/>
          </w:tcPr>
          <w:p w14:paraId="5776589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2319B9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42B78B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2C3554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5AAC742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24F15F8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5AE98F1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4D2313C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55BBDDB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39798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59D9222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二苯并[a, h]蒽</w:t>
            </w:r>
          </w:p>
        </w:tc>
        <w:tc>
          <w:tcPr>
            <w:tcW w:w="468" w:type="pct"/>
            <w:vAlign w:val="center"/>
          </w:tcPr>
          <w:p w14:paraId="7A00E9D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018DB7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4A83AC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4E38FE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09145FD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76" w:type="pct"/>
            <w:vAlign w:val="center"/>
          </w:tcPr>
          <w:p w14:paraId="6DACB90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1643352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6" w:type="pct"/>
            <w:vAlign w:val="center"/>
          </w:tcPr>
          <w:p w14:paraId="2B5B23D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627B911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53839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1" w:type="pct"/>
            <w:vAlign w:val="center"/>
          </w:tcPr>
          <w:p w14:paraId="05CFCED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石油烃（C</w:t>
            </w:r>
            <w:r>
              <w:rPr>
                <w:rFonts w:ascii="Times New Roman" w:hAnsi="Times New Roman" w:cs="Times New Roman" w:eastAsiaTheme="minorEastAsia"/>
                <w:color w:val="000000" w:themeColor="text1"/>
                <w:w w:val="99"/>
                <w:sz w:val="21"/>
                <w:szCs w:val="21"/>
                <w:vertAlign w:val="subscript"/>
                <w:lang w:val="en-US" w:bidi="ar-SA"/>
                <w14:textFill>
                  <w14:solidFill>
                    <w14:schemeClr w14:val="tx1"/>
                  </w14:solidFill>
                </w14:textFill>
              </w:rPr>
              <w:t>10</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-C</w:t>
            </w:r>
            <w:r>
              <w:rPr>
                <w:rFonts w:ascii="Times New Roman" w:hAnsi="Times New Roman" w:cs="Times New Roman" w:eastAsiaTheme="minorEastAsia"/>
                <w:color w:val="000000" w:themeColor="text1"/>
                <w:w w:val="99"/>
                <w:sz w:val="21"/>
                <w:szCs w:val="21"/>
                <w:vertAlign w:val="subscript"/>
                <w:lang w:val="en-US" w:bidi="ar-SA"/>
                <w14:textFill>
                  <w14:solidFill>
                    <w14:schemeClr w14:val="tx1"/>
                  </w14:solidFill>
                </w14:textFill>
              </w:rPr>
              <w:t>40</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468" w:type="pct"/>
            <w:vAlign w:val="center"/>
          </w:tcPr>
          <w:p w14:paraId="103F05E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0.0033 </w:t>
            </w:r>
          </w:p>
        </w:tc>
        <w:tc>
          <w:tcPr>
            <w:tcW w:w="469" w:type="pct"/>
            <w:vAlign w:val="center"/>
          </w:tcPr>
          <w:p w14:paraId="5CD2CCD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0.0049 </w:t>
            </w:r>
          </w:p>
        </w:tc>
        <w:tc>
          <w:tcPr>
            <w:tcW w:w="469" w:type="pct"/>
            <w:vAlign w:val="center"/>
          </w:tcPr>
          <w:p w14:paraId="1E09C82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0.0038 </w:t>
            </w:r>
          </w:p>
        </w:tc>
        <w:tc>
          <w:tcPr>
            <w:tcW w:w="469" w:type="pct"/>
            <w:vAlign w:val="center"/>
          </w:tcPr>
          <w:p w14:paraId="7850246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0.0053 </w:t>
            </w:r>
          </w:p>
        </w:tc>
        <w:tc>
          <w:tcPr>
            <w:tcW w:w="468" w:type="pct"/>
            <w:vAlign w:val="center"/>
          </w:tcPr>
          <w:p w14:paraId="35928CD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0.0033 </w:t>
            </w:r>
          </w:p>
        </w:tc>
        <w:tc>
          <w:tcPr>
            <w:tcW w:w="476" w:type="pct"/>
            <w:vAlign w:val="center"/>
          </w:tcPr>
          <w:p w14:paraId="5232F2B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0.0044 </w:t>
            </w:r>
          </w:p>
        </w:tc>
        <w:tc>
          <w:tcPr>
            <w:tcW w:w="466" w:type="pct"/>
            <w:vAlign w:val="center"/>
          </w:tcPr>
          <w:p w14:paraId="07956C8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0.0036 </w:t>
            </w:r>
          </w:p>
        </w:tc>
        <w:tc>
          <w:tcPr>
            <w:tcW w:w="466" w:type="pct"/>
            <w:vAlign w:val="center"/>
          </w:tcPr>
          <w:p w14:paraId="0A717D6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0.0058 </w:t>
            </w:r>
          </w:p>
        </w:tc>
        <w:tc>
          <w:tcPr>
            <w:tcW w:w="468" w:type="pct"/>
            <w:vAlign w:val="center"/>
          </w:tcPr>
          <w:p w14:paraId="3EE432F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0.0047 </w:t>
            </w:r>
          </w:p>
        </w:tc>
      </w:tr>
    </w:tbl>
    <w:p w14:paraId="7AEC7874">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续表4.3-23    建设用地土壤环境质量现状评价结果（Ki值）</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53"/>
        <w:gridCol w:w="870"/>
        <w:gridCol w:w="871"/>
        <w:gridCol w:w="871"/>
        <w:gridCol w:w="869"/>
        <w:gridCol w:w="869"/>
        <w:gridCol w:w="871"/>
        <w:gridCol w:w="871"/>
        <w:gridCol w:w="871"/>
        <w:gridCol w:w="871"/>
      </w:tblGrid>
      <w:tr w14:paraId="762E4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5CD5FE6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监测时间</w:t>
            </w:r>
          </w:p>
        </w:tc>
        <w:tc>
          <w:tcPr>
            <w:tcW w:w="4218" w:type="pct"/>
            <w:gridSpan w:val="9"/>
            <w:vAlign w:val="center"/>
          </w:tcPr>
          <w:p w14:paraId="188D0CB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2022.10.16</w:t>
            </w:r>
          </w:p>
        </w:tc>
      </w:tr>
      <w:tr w14:paraId="3F532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Merge w:val="restart"/>
            <w:vAlign w:val="center"/>
          </w:tcPr>
          <w:p w14:paraId="68D7342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监测项目</w:t>
            </w:r>
          </w:p>
        </w:tc>
        <w:tc>
          <w:tcPr>
            <w:tcW w:w="4218" w:type="pct"/>
            <w:gridSpan w:val="9"/>
            <w:vAlign w:val="center"/>
          </w:tcPr>
          <w:p w14:paraId="22F8D6B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测点位及评价结果</w:t>
            </w:r>
          </w:p>
        </w:tc>
      </w:tr>
      <w:tr w14:paraId="4C9ED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Merge w:val="continue"/>
            <w:vAlign w:val="center"/>
          </w:tcPr>
          <w:p w14:paraId="74E52FF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406" w:type="pct"/>
            <w:gridSpan w:val="3"/>
            <w:vAlign w:val="center"/>
          </w:tcPr>
          <w:p w14:paraId="176E68D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龙26-平54拉油点占地内</w:t>
            </w:r>
          </w:p>
        </w:tc>
        <w:tc>
          <w:tcPr>
            <w:tcW w:w="1405" w:type="pct"/>
            <w:gridSpan w:val="3"/>
            <w:vAlign w:val="center"/>
          </w:tcPr>
          <w:p w14:paraId="01B8732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8号拉油点占地内</w:t>
            </w:r>
          </w:p>
        </w:tc>
        <w:tc>
          <w:tcPr>
            <w:tcW w:w="469" w:type="pct"/>
            <w:vAlign w:val="center"/>
          </w:tcPr>
          <w:p w14:paraId="1C261C0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5号拉油点占地内</w:t>
            </w:r>
          </w:p>
        </w:tc>
        <w:tc>
          <w:tcPr>
            <w:tcW w:w="469" w:type="pct"/>
            <w:vAlign w:val="center"/>
          </w:tcPr>
          <w:p w14:paraId="7D0DD3E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龙242-斜3拉油点占地内</w:t>
            </w:r>
          </w:p>
        </w:tc>
        <w:tc>
          <w:tcPr>
            <w:tcW w:w="469" w:type="pct"/>
            <w:vAlign w:val="center"/>
          </w:tcPr>
          <w:p w14:paraId="1686CE2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杏树岗村</w:t>
            </w:r>
          </w:p>
        </w:tc>
      </w:tr>
      <w:tr w14:paraId="7A40F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Merge w:val="continue"/>
            <w:vAlign w:val="center"/>
          </w:tcPr>
          <w:p w14:paraId="046CBAB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468" w:type="pct"/>
            <w:vAlign w:val="center"/>
          </w:tcPr>
          <w:p w14:paraId="5A43B51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0-50cm</w:t>
            </w:r>
          </w:p>
        </w:tc>
        <w:tc>
          <w:tcPr>
            <w:tcW w:w="469" w:type="pct"/>
            <w:vAlign w:val="center"/>
          </w:tcPr>
          <w:p w14:paraId="7287903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50-150cm</w:t>
            </w:r>
          </w:p>
        </w:tc>
        <w:tc>
          <w:tcPr>
            <w:tcW w:w="469" w:type="pct"/>
            <w:vAlign w:val="center"/>
          </w:tcPr>
          <w:p w14:paraId="55B586A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150-300cm</w:t>
            </w:r>
          </w:p>
        </w:tc>
        <w:tc>
          <w:tcPr>
            <w:tcW w:w="468" w:type="pct"/>
            <w:vAlign w:val="center"/>
          </w:tcPr>
          <w:p w14:paraId="2FFB45F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0-50cm</w:t>
            </w:r>
          </w:p>
        </w:tc>
        <w:tc>
          <w:tcPr>
            <w:tcW w:w="468" w:type="pct"/>
            <w:vAlign w:val="center"/>
          </w:tcPr>
          <w:p w14:paraId="55B8601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50-150cm</w:t>
            </w:r>
          </w:p>
        </w:tc>
        <w:tc>
          <w:tcPr>
            <w:tcW w:w="469" w:type="pct"/>
            <w:vAlign w:val="center"/>
          </w:tcPr>
          <w:p w14:paraId="1D4B04C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150-300cm</w:t>
            </w:r>
          </w:p>
        </w:tc>
        <w:tc>
          <w:tcPr>
            <w:tcW w:w="469" w:type="pct"/>
            <w:vAlign w:val="center"/>
          </w:tcPr>
          <w:p w14:paraId="62034FD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0-20cm</w:t>
            </w:r>
          </w:p>
        </w:tc>
        <w:tc>
          <w:tcPr>
            <w:tcW w:w="469" w:type="pct"/>
            <w:vAlign w:val="center"/>
          </w:tcPr>
          <w:p w14:paraId="341B97A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0-20cm</w:t>
            </w:r>
          </w:p>
        </w:tc>
        <w:tc>
          <w:tcPr>
            <w:tcW w:w="469" w:type="pct"/>
            <w:vAlign w:val="center"/>
          </w:tcPr>
          <w:p w14:paraId="21955DE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0-20cm</w:t>
            </w:r>
          </w:p>
        </w:tc>
      </w:tr>
      <w:tr w14:paraId="18043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2A471E8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镉（Cd）</w:t>
            </w:r>
          </w:p>
        </w:tc>
        <w:tc>
          <w:tcPr>
            <w:tcW w:w="468" w:type="pct"/>
            <w:vAlign w:val="bottom"/>
          </w:tcPr>
          <w:p w14:paraId="056A27E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0.0014 </w:t>
            </w:r>
          </w:p>
        </w:tc>
        <w:tc>
          <w:tcPr>
            <w:tcW w:w="469" w:type="pct"/>
            <w:vAlign w:val="bottom"/>
          </w:tcPr>
          <w:p w14:paraId="5488EDF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0.0018 </w:t>
            </w:r>
          </w:p>
        </w:tc>
        <w:tc>
          <w:tcPr>
            <w:tcW w:w="469" w:type="pct"/>
            <w:vAlign w:val="bottom"/>
          </w:tcPr>
          <w:p w14:paraId="241D963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0.0015 </w:t>
            </w:r>
          </w:p>
        </w:tc>
        <w:tc>
          <w:tcPr>
            <w:tcW w:w="468" w:type="pct"/>
            <w:vAlign w:val="bottom"/>
          </w:tcPr>
          <w:p w14:paraId="1E18770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0.0012 </w:t>
            </w:r>
          </w:p>
        </w:tc>
        <w:tc>
          <w:tcPr>
            <w:tcW w:w="468" w:type="pct"/>
            <w:vAlign w:val="bottom"/>
          </w:tcPr>
          <w:p w14:paraId="2B9B001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0.0017 </w:t>
            </w:r>
          </w:p>
        </w:tc>
        <w:tc>
          <w:tcPr>
            <w:tcW w:w="469" w:type="pct"/>
            <w:vAlign w:val="bottom"/>
          </w:tcPr>
          <w:p w14:paraId="746037B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0.0011 </w:t>
            </w:r>
          </w:p>
        </w:tc>
        <w:tc>
          <w:tcPr>
            <w:tcW w:w="469" w:type="pct"/>
            <w:vAlign w:val="bottom"/>
          </w:tcPr>
          <w:p w14:paraId="2A45755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0.0015 </w:t>
            </w:r>
          </w:p>
        </w:tc>
        <w:tc>
          <w:tcPr>
            <w:tcW w:w="469" w:type="pct"/>
            <w:vAlign w:val="bottom"/>
          </w:tcPr>
          <w:p w14:paraId="45B4589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0.0020 </w:t>
            </w:r>
          </w:p>
        </w:tc>
        <w:tc>
          <w:tcPr>
            <w:tcW w:w="469" w:type="pct"/>
            <w:vAlign w:val="bottom"/>
          </w:tcPr>
          <w:p w14:paraId="32B655B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0.0040 </w:t>
            </w:r>
          </w:p>
        </w:tc>
      </w:tr>
      <w:tr w14:paraId="317B6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7451F67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汞（Hg）</w:t>
            </w:r>
          </w:p>
        </w:tc>
        <w:tc>
          <w:tcPr>
            <w:tcW w:w="468" w:type="pct"/>
            <w:vAlign w:val="bottom"/>
          </w:tcPr>
          <w:p w14:paraId="076815F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0.0007 </w:t>
            </w:r>
          </w:p>
        </w:tc>
        <w:tc>
          <w:tcPr>
            <w:tcW w:w="469" w:type="pct"/>
            <w:vAlign w:val="bottom"/>
          </w:tcPr>
          <w:p w14:paraId="3F1F27C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0.0005 </w:t>
            </w:r>
          </w:p>
        </w:tc>
        <w:tc>
          <w:tcPr>
            <w:tcW w:w="469" w:type="pct"/>
            <w:vAlign w:val="bottom"/>
          </w:tcPr>
          <w:p w14:paraId="2946CE7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0.0005 </w:t>
            </w:r>
          </w:p>
        </w:tc>
        <w:tc>
          <w:tcPr>
            <w:tcW w:w="468" w:type="pct"/>
            <w:vAlign w:val="bottom"/>
          </w:tcPr>
          <w:p w14:paraId="1C6BBA1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0.0006 </w:t>
            </w:r>
          </w:p>
        </w:tc>
        <w:tc>
          <w:tcPr>
            <w:tcW w:w="468" w:type="pct"/>
            <w:vAlign w:val="bottom"/>
          </w:tcPr>
          <w:p w14:paraId="6BCFF9A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0.0007 </w:t>
            </w:r>
          </w:p>
        </w:tc>
        <w:tc>
          <w:tcPr>
            <w:tcW w:w="469" w:type="pct"/>
            <w:vAlign w:val="bottom"/>
          </w:tcPr>
          <w:p w14:paraId="24A92C9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0.0006 </w:t>
            </w:r>
          </w:p>
        </w:tc>
        <w:tc>
          <w:tcPr>
            <w:tcW w:w="469" w:type="pct"/>
            <w:vAlign w:val="bottom"/>
          </w:tcPr>
          <w:p w14:paraId="0920B49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0.0006 </w:t>
            </w:r>
          </w:p>
        </w:tc>
        <w:tc>
          <w:tcPr>
            <w:tcW w:w="469" w:type="pct"/>
            <w:vAlign w:val="bottom"/>
          </w:tcPr>
          <w:p w14:paraId="46BCB18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0.0007 </w:t>
            </w:r>
          </w:p>
        </w:tc>
        <w:tc>
          <w:tcPr>
            <w:tcW w:w="469" w:type="pct"/>
            <w:vAlign w:val="bottom"/>
          </w:tcPr>
          <w:p w14:paraId="4FF2D25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0.0021 </w:t>
            </w:r>
          </w:p>
        </w:tc>
      </w:tr>
      <w:tr w14:paraId="13D2D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65CDBAC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砷（As）</w:t>
            </w:r>
          </w:p>
        </w:tc>
        <w:tc>
          <w:tcPr>
            <w:tcW w:w="468" w:type="pct"/>
            <w:vAlign w:val="bottom"/>
          </w:tcPr>
          <w:p w14:paraId="2084708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0.0567 </w:t>
            </w:r>
          </w:p>
        </w:tc>
        <w:tc>
          <w:tcPr>
            <w:tcW w:w="469" w:type="pct"/>
            <w:vAlign w:val="bottom"/>
          </w:tcPr>
          <w:p w14:paraId="13DD3F3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0.0577 </w:t>
            </w:r>
          </w:p>
        </w:tc>
        <w:tc>
          <w:tcPr>
            <w:tcW w:w="469" w:type="pct"/>
            <w:vAlign w:val="bottom"/>
          </w:tcPr>
          <w:p w14:paraId="29CECA7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0.0553 </w:t>
            </w:r>
          </w:p>
        </w:tc>
        <w:tc>
          <w:tcPr>
            <w:tcW w:w="468" w:type="pct"/>
            <w:vAlign w:val="bottom"/>
          </w:tcPr>
          <w:p w14:paraId="7D3B0F5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0.0563 </w:t>
            </w:r>
          </w:p>
        </w:tc>
        <w:tc>
          <w:tcPr>
            <w:tcW w:w="468" w:type="pct"/>
            <w:vAlign w:val="bottom"/>
          </w:tcPr>
          <w:p w14:paraId="5DC9BA4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0.0578 </w:t>
            </w:r>
          </w:p>
        </w:tc>
        <w:tc>
          <w:tcPr>
            <w:tcW w:w="469" w:type="pct"/>
            <w:vAlign w:val="bottom"/>
          </w:tcPr>
          <w:p w14:paraId="1EFC1EE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0.0547 </w:t>
            </w:r>
          </w:p>
        </w:tc>
        <w:tc>
          <w:tcPr>
            <w:tcW w:w="469" w:type="pct"/>
            <w:vAlign w:val="bottom"/>
          </w:tcPr>
          <w:p w14:paraId="493AF12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0.0567 </w:t>
            </w:r>
          </w:p>
        </w:tc>
        <w:tc>
          <w:tcPr>
            <w:tcW w:w="469" w:type="pct"/>
            <w:vAlign w:val="bottom"/>
          </w:tcPr>
          <w:p w14:paraId="7541CEC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0.0560 </w:t>
            </w:r>
          </w:p>
        </w:tc>
        <w:tc>
          <w:tcPr>
            <w:tcW w:w="469" w:type="pct"/>
            <w:vAlign w:val="bottom"/>
          </w:tcPr>
          <w:p w14:paraId="78A6032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0.1635 </w:t>
            </w:r>
          </w:p>
        </w:tc>
      </w:tr>
      <w:tr w14:paraId="45FA8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1BCAB6F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铅（Pb）</w:t>
            </w:r>
          </w:p>
        </w:tc>
        <w:tc>
          <w:tcPr>
            <w:tcW w:w="468" w:type="pct"/>
            <w:vAlign w:val="bottom"/>
          </w:tcPr>
          <w:p w14:paraId="4ADA2E7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0.0263 </w:t>
            </w:r>
          </w:p>
        </w:tc>
        <w:tc>
          <w:tcPr>
            <w:tcW w:w="469" w:type="pct"/>
            <w:vAlign w:val="bottom"/>
          </w:tcPr>
          <w:p w14:paraId="2F34A9E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0.0300 </w:t>
            </w:r>
          </w:p>
        </w:tc>
        <w:tc>
          <w:tcPr>
            <w:tcW w:w="469" w:type="pct"/>
            <w:vAlign w:val="bottom"/>
          </w:tcPr>
          <w:p w14:paraId="1266B84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0.0238 </w:t>
            </w:r>
          </w:p>
        </w:tc>
        <w:tc>
          <w:tcPr>
            <w:tcW w:w="468" w:type="pct"/>
            <w:vAlign w:val="bottom"/>
          </w:tcPr>
          <w:p w14:paraId="09B7EF2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0.0250 </w:t>
            </w:r>
          </w:p>
        </w:tc>
        <w:tc>
          <w:tcPr>
            <w:tcW w:w="468" w:type="pct"/>
            <w:vAlign w:val="bottom"/>
          </w:tcPr>
          <w:p w14:paraId="705DAA7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0.0288 </w:t>
            </w:r>
          </w:p>
        </w:tc>
        <w:tc>
          <w:tcPr>
            <w:tcW w:w="469" w:type="pct"/>
            <w:vAlign w:val="bottom"/>
          </w:tcPr>
          <w:p w14:paraId="546088A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0.0263 </w:t>
            </w:r>
          </w:p>
        </w:tc>
        <w:tc>
          <w:tcPr>
            <w:tcW w:w="469" w:type="pct"/>
            <w:vAlign w:val="bottom"/>
          </w:tcPr>
          <w:p w14:paraId="1666E27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0.0188 </w:t>
            </w:r>
          </w:p>
        </w:tc>
        <w:tc>
          <w:tcPr>
            <w:tcW w:w="469" w:type="pct"/>
            <w:vAlign w:val="bottom"/>
          </w:tcPr>
          <w:p w14:paraId="040A650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0.0275 </w:t>
            </w:r>
          </w:p>
        </w:tc>
        <w:tc>
          <w:tcPr>
            <w:tcW w:w="469" w:type="pct"/>
            <w:vAlign w:val="bottom"/>
          </w:tcPr>
          <w:p w14:paraId="1DD315D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0.0400 </w:t>
            </w:r>
          </w:p>
        </w:tc>
      </w:tr>
      <w:tr w14:paraId="30C06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3658FA4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铬（六价）</w:t>
            </w:r>
          </w:p>
        </w:tc>
        <w:tc>
          <w:tcPr>
            <w:tcW w:w="468" w:type="pct"/>
            <w:vAlign w:val="center"/>
          </w:tcPr>
          <w:p w14:paraId="0E8596C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5F66A9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9633CC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7F20758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1B4A0CA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2D3E3C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5D6B20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8784A6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9CB211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4C9DF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601EFC9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铜（Cu）</w:t>
            </w:r>
          </w:p>
        </w:tc>
        <w:tc>
          <w:tcPr>
            <w:tcW w:w="468" w:type="pct"/>
            <w:vAlign w:val="bottom"/>
          </w:tcPr>
          <w:p w14:paraId="1FCC085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0.0014 </w:t>
            </w:r>
          </w:p>
        </w:tc>
        <w:tc>
          <w:tcPr>
            <w:tcW w:w="469" w:type="pct"/>
            <w:vAlign w:val="bottom"/>
          </w:tcPr>
          <w:p w14:paraId="7167C36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0.0011 </w:t>
            </w:r>
          </w:p>
        </w:tc>
        <w:tc>
          <w:tcPr>
            <w:tcW w:w="469" w:type="pct"/>
            <w:vAlign w:val="bottom"/>
          </w:tcPr>
          <w:p w14:paraId="34BFEDD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0.0009 </w:t>
            </w:r>
          </w:p>
        </w:tc>
        <w:tc>
          <w:tcPr>
            <w:tcW w:w="468" w:type="pct"/>
            <w:vAlign w:val="bottom"/>
          </w:tcPr>
          <w:p w14:paraId="4213CCD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0.0012 </w:t>
            </w:r>
          </w:p>
        </w:tc>
        <w:tc>
          <w:tcPr>
            <w:tcW w:w="468" w:type="pct"/>
            <w:vAlign w:val="bottom"/>
          </w:tcPr>
          <w:p w14:paraId="0CA5FA0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0.0009 </w:t>
            </w:r>
          </w:p>
        </w:tc>
        <w:tc>
          <w:tcPr>
            <w:tcW w:w="469" w:type="pct"/>
            <w:vAlign w:val="bottom"/>
          </w:tcPr>
          <w:p w14:paraId="5675683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0.0011 </w:t>
            </w:r>
          </w:p>
        </w:tc>
        <w:tc>
          <w:tcPr>
            <w:tcW w:w="469" w:type="pct"/>
            <w:vAlign w:val="bottom"/>
          </w:tcPr>
          <w:p w14:paraId="712BA3A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0.0011 </w:t>
            </w:r>
          </w:p>
        </w:tc>
        <w:tc>
          <w:tcPr>
            <w:tcW w:w="469" w:type="pct"/>
            <w:vAlign w:val="bottom"/>
          </w:tcPr>
          <w:p w14:paraId="323214D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0.0012 </w:t>
            </w:r>
          </w:p>
        </w:tc>
        <w:tc>
          <w:tcPr>
            <w:tcW w:w="469" w:type="pct"/>
            <w:vAlign w:val="bottom"/>
          </w:tcPr>
          <w:p w14:paraId="46552CA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0.0080 </w:t>
            </w:r>
          </w:p>
        </w:tc>
      </w:tr>
      <w:tr w14:paraId="6F043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633663B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镍（Ni）</w:t>
            </w:r>
          </w:p>
        </w:tc>
        <w:tc>
          <w:tcPr>
            <w:tcW w:w="468" w:type="pct"/>
            <w:vAlign w:val="bottom"/>
          </w:tcPr>
          <w:p w14:paraId="389CD4C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0.0200 </w:t>
            </w:r>
          </w:p>
        </w:tc>
        <w:tc>
          <w:tcPr>
            <w:tcW w:w="469" w:type="pct"/>
            <w:vAlign w:val="bottom"/>
          </w:tcPr>
          <w:p w14:paraId="739A9F1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0.0300 </w:t>
            </w:r>
          </w:p>
        </w:tc>
        <w:tc>
          <w:tcPr>
            <w:tcW w:w="469" w:type="pct"/>
            <w:vAlign w:val="bottom"/>
          </w:tcPr>
          <w:p w14:paraId="0DD6314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0.0267 </w:t>
            </w:r>
          </w:p>
        </w:tc>
        <w:tc>
          <w:tcPr>
            <w:tcW w:w="468" w:type="pct"/>
            <w:vAlign w:val="bottom"/>
          </w:tcPr>
          <w:p w14:paraId="6D2DA82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0.0211 </w:t>
            </w:r>
          </w:p>
        </w:tc>
        <w:tc>
          <w:tcPr>
            <w:tcW w:w="468" w:type="pct"/>
            <w:vAlign w:val="bottom"/>
          </w:tcPr>
          <w:p w14:paraId="0B98592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0.0289 </w:t>
            </w:r>
          </w:p>
        </w:tc>
        <w:tc>
          <w:tcPr>
            <w:tcW w:w="469" w:type="pct"/>
            <w:vAlign w:val="bottom"/>
          </w:tcPr>
          <w:p w14:paraId="6E9FF7C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0.0278 </w:t>
            </w:r>
          </w:p>
        </w:tc>
        <w:tc>
          <w:tcPr>
            <w:tcW w:w="469" w:type="pct"/>
            <w:vAlign w:val="bottom"/>
          </w:tcPr>
          <w:p w14:paraId="09F0FD9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0.0267 </w:t>
            </w:r>
          </w:p>
        </w:tc>
        <w:tc>
          <w:tcPr>
            <w:tcW w:w="469" w:type="pct"/>
            <w:vAlign w:val="bottom"/>
          </w:tcPr>
          <w:p w14:paraId="7D3C2B6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0.0289 </w:t>
            </w:r>
          </w:p>
        </w:tc>
        <w:tc>
          <w:tcPr>
            <w:tcW w:w="469" w:type="pct"/>
            <w:vAlign w:val="bottom"/>
          </w:tcPr>
          <w:p w14:paraId="0859905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0.1267 </w:t>
            </w:r>
          </w:p>
        </w:tc>
      </w:tr>
      <w:tr w14:paraId="68EF0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0F8530B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w:t>
            </w:r>
          </w:p>
        </w:tc>
        <w:tc>
          <w:tcPr>
            <w:tcW w:w="468" w:type="pct"/>
            <w:vAlign w:val="center"/>
          </w:tcPr>
          <w:p w14:paraId="03A9AAF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F1106E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B42635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6CEB07B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0F94711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CC274D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B082F0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400BC6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B481F8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570C98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3425A57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甲苯</w:t>
            </w:r>
          </w:p>
        </w:tc>
        <w:tc>
          <w:tcPr>
            <w:tcW w:w="468" w:type="pct"/>
            <w:vAlign w:val="center"/>
          </w:tcPr>
          <w:p w14:paraId="2349875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6DA0EE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67A051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1222090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3EC19BA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47C1E8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8AC970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02AF44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AE9667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36DA3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19464C3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乙苯</w:t>
            </w:r>
          </w:p>
        </w:tc>
        <w:tc>
          <w:tcPr>
            <w:tcW w:w="468" w:type="pct"/>
            <w:vAlign w:val="center"/>
          </w:tcPr>
          <w:p w14:paraId="38E5D94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4CC6A3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11333B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28B2EF3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739093C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C82485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D1DB54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7C03AC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49D051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7A4B8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6D31EA4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氯苯</w:t>
            </w:r>
          </w:p>
        </w:tc>
        <w:tc>
          <w:tcPr>
            <w:tcW w:w="468" w:type="pct"/>
            <w:vAlign w:val="center"/>
          </w:tcPr>
          <w:p w14:paraId="2EF6210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35DE50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428356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0596886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7AFC20F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589E1D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5A92EC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673401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E6E58A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2EA5A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3E32F55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苯乙烯</w:t>
            </w:r>
          </w:p>
        </w:tc>
        <w:tc>
          <w:tcPr>
            <w:tcW w:w="468" w:type="pct"/>
            <w:vAlign w:val="center"/>
          </w:tcPr>
          <w:p w14:paraId="43FB7D2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1FCF38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017118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10093F1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4DC537C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1F9DB8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967929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56EE4A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A46869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64C39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22FEB1F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间二甲苯+对二甲苯</w:t>
            </w:r>
          </w:p>
        </w:tc>
        <w:tc>
          <w:tcPr>
            <w:tcW w:w="468" w:type="pct"/>
            <w:vAlign w:val="center"/>
          </w:tcPr>
          <w:p w14:paraId="1FFE45D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8CA45A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2DE53B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263E2A5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39EAE81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3D6390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C55D13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3486D3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C91E9C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177BB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3DAFCE2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邻二甲苯</w:t>
            </w:r>
          </w:p>
        </w:tc>
        <w:tc>
          <w:tcPr>
            <w:tcW w:w="468" w:type="pct"/>
            <w:vAlign w:val="center"/>
          </w:tcPr>
          <w:p w14:paraId="1C84A52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7C0B41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6C9B7E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23A1528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7EE768D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EAF017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AD7EC9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89C968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A47971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2A202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7F7FC41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氯乙烯</w:t>
            </w:r>
          </w:p>
        </w:tc>
        <w:tc>
          <w:tcPr>
            <w:tcW w:w="468" w:type="pct"/>
            <w:vAlign w:val="center"/>
          </w:tcPr>
          <w:p w14:paraId="63919F4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497942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61B423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7EC8B5C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74F1DBF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D919DA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65AE02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756C83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74C6DE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2749C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2D92D28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1,2-二氯苯</w:t>
            </w:r>
          </w:p>
        </w:tc>
        <w:tc>
          <w:tcPr>
            <w:tcW w:w="468" w:type="pct"/>
            <w:vAlign w:val="center"/>
          </w:tcPr>
          <w:p w14:paraId="74A2A58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EB455B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74990D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2C45905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03C05C5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5A22DB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9BFEE3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321903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9A558B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46213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54AB925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1,4-二氯苯</w:t>
            </w:r>
          </w:p>
        </w:tc>
        <w:tc>
          <w:tcPr>
            <w:tcW w:w="468" w:type="pct"/>
            <w:vAlign w:val="center"/>
          </w:tcPr>
          <w:p w14:paraId="5519D51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B10CA1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E26B6E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1E441CE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36169BD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C658EF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F29E62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5704DC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0638CE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7C838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046F4F7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四氯化碳</w:t>
            </w:r>
          </w:p>
        </w:tc>
        <w:tc>
          <w:tcPr>
            <w:tcW w:w="468" w:type="pct"/>
            <w:vAlign w:val="center"/>
          </w:tcPr>
          <w:p w14:paraId="3D494EE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065656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CF0576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7B5586E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1B24EAC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2501AE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625E43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6B1F8F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4A8D86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4CC7E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5CBEFEC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氯仿</w:t>
            </w:r>
          </w:p>
        </w:tc>
        <w:tc>
          <w:tcPr>
            <w:tcW w:w="468" w:type="pct"/>
            <w:vAlign w:val="center"/>
          </w:tcPr>
          <w:p w14:paraId="26410C8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889A68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3C55D1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0590CDA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1F2DCC5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B05158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D1883E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08A4D2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4BDB4A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1F920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2BE742F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氯甲烷</w:t>
            </w:r>
          </w:p>
        </w:tc>
        <w:tc>
          <w:tcPr>
            <w:tcW w:w="468" w:type="pct"/>
            <w:vAlign w:val="center"/>
          </w:tcPr>
          <w:p w14:paraId="620007F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63D941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366697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3AE95F9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2604D77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2CB694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093336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A2778A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74CFCF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5B10A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3F2073A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1,1-二氯乙烷</w:t>
            </w:r>
          </w:p>
        </w:tc>
        <w:tc>
          <w:tcPr>
            <w:tcW w:w="468" w:type="pct"/>
            <w:vAlign w:val="center"/>
          </w:tcPr>
          <w:p w14:paraId="5B010CA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24E633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4410FF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6F0D7E0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73A86E1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F9548B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D1484C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735B0E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1CFC6F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4DA03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288A94D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1,2-二氯乙烷</w:t>
            </w:r>
          </w:p>
        </w:tc>
        <w:tc>
          <w:tcPr>
            <w:tcW w:w="468" w:type="pct"/>
            <w:vAlign w:val="center"/>
          </w:tcPr>
          <w:p w14:paraId="677C7F4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E2AAC3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61D9E6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2951FEB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49A5F95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F5B5B4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ECA1A2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A5AE03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B58ED9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14134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16D0E70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1,1-二氯乙烯</w:t>
            </w:r>
          </w:p>
        </w:tc>
        <w:tc>
          <w:tcPr>
            <w:tcW w:w="468" w:type="pct"/>
            <w:vAlign w:val="center"/>
          </w:tcPr>
          <w:p w14:paraId="673BE13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F3AF2F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38893C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7998FD4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7D3A308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C65EA2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CD43B3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4F0D2D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5D694B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7489FB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42DBEB8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顺-1,2-二氯乙烯</w:t>
            </w:r>
          </w:p>
        </w:tc>
        <w:tc>
          <w:tcPr>
            <w:tcW w:w="468" w:type="pct"/>
            <w:vAlign w:val="center"/>
          </w:tcPr>
          <w:p w14:paraId="09E6C5A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53A437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73AAF8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016CA79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4065DB4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E9A8FC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A89DDA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609BAF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E5596E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25C95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6C8AB4B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反-1,2-二氯乙烯</w:t>
            </w:r>
          </w:p>
        </w:tc>
        <w:tc>
          <w:tcPr>
            <w:tcW w:w="468" w:type="pct"/>
            <w:vAlign w:val="center"/>
          </w:tcPr>
          <w:p w14:paraId="20436F2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60B03B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F99EB8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4EEC88E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634D0C6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DE21A1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60EFD0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80DE33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7D3720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5DCDE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383BDE4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二氯甲烷</w:t>
            </w:r>
          </w:p>
        </w:tc>
        <w:tc>
          <w:tcPr>
            <w:tcW w:w="468" w:type="pct"/>
            <w:vAlign w:val="center"/>
          </w:tcPr>
          <w:p w14:paraId="6BC9FC7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EE82CF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C10D1D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5C4E4EF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43372B8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68D817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DAC2DC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16642E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B21768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3D3B1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3F6B9CA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1,2-二氯丙烷</w:t>
            </w:r>
          </w:p>
        </w:tc>
        <w:tc>
          <w:tcPr>
            <w:tcW w:w="468" w:type="pct"/>
            <w:vAlign w:val="center"/>
          </w:tcPr>
          <w:p w14:paraId="1E65DD9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4F25CF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0E566A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1B9F858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51D2981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7214A2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325881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1E1B0D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A4B139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32BAC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1F6C6D9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1,1,1,2-四氯乙烷</w:t>
            </w:r>
          </w:p>
        </w:tc>
        <w:tc>
          <w:tcPr>
            <w:tcW w:w="468" w:type="pct"/>
            <w:vAlign w:val="center"/>
          </w:tcPr>
          <w:p w14:paraId="1DB4F22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1B99F4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9201E9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3043533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21DD1BB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A7CD2B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1AC4F6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A701B7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9DA31F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3F72C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436E921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1,1,2,2-四氯乙烷</w:t>
            </w:r>
          </w:p>
        </w:tc>
        <w:tc>
          <w:tcPr>
            <w:tcW w:w="468" w:type="pct"/>
            <w:vAlign w:val="center"/>
          </w:tcPr>
          <w:p w14:paraId="03E773F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157BA7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D9A5AB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25975B1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3A8DC91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C681B0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0E17A5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51F284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7583EE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564FC2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304F9D0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四氯乙烯</w:t>
            </w:r>
          </w:p>
        </w:tc>
        <w:tc>
          <w:tcPr>
            <w:tcW w:w="468" w:type="pct"/>
            <w:vAlign w:val="center"/>
          </w:tcPr>
          <w:p w14:paraId="79480E0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C4EFF6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DA8082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124E7B5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67DDAB8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E09BFA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70ADF5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72796E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4D4E48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77175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4CF4995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1,1,1-三氯乙烷</w:t>
            </w:r>
          </w:p>
        </w:tc>
        <w:tc>
          <w:tcPr>
            <w:tcW w:w="468" w:type="pct"/>
            <w:vAlign w:val="center"/>
          </w:tcPr>
          <w:p w14:paraId="5EAB89C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5D0813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AF9D52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3D7204A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5A29D80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2508DE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761CF0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E5145F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EF70F6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4C3C7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5551380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1,1,2-三氯乙烷</w:t>
            </w:r>
          </w:p>
        </w:tc>
        <w:tc>
          <w:tcPr>
            <w:tcW w:w="468" w:type="pct"/>
            <w:vAlign w:val="center"/>
          </w:tcPr>
          <w:p w14:paraId="27DEB21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563F96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7628E8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6B0187E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34C8C7F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5AB6CF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C7F7E8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226734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8219AC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68534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46CF983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三氯乙烯</w:t>
            </w:r>
          </w:p>
        </w:tc>
        <w:tc>
          <w:tcPr>
            <w:tcW w:w="468" w:type="pct"/>
            <w:vAlign w:val="center"/>
          </w:tcPr>
          <w:p w14:paraId="250ED5D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52E4F8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CACDCC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2E9DD09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77585A6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39196B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350787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129989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3CE9C6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67EF1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5E1706B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1,2,3-三氯丙烷</w:t>
            </w:r>
          </w:p>
        </w:tc>
        <w:tc>
          <w:tcPr>
            <w:tcW w:w="468" w:type="pct"/>
            <w:vAlign w:val="center"/>
          </w:tcPr>
          <w:p w14:paraId="3469380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396479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744714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17BA5DF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63B407A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C97591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54231C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77D933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786581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607F6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5A9E948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硝基苯</w:t>
            </w:r>
          </w:p>
        </w:tc>
        <w:tc>
          <w:tcPr>
            <w:tcW w:w="468" w:type="pct"/>
            <w:vAlign w:val="center"/>
          </w:tcPr>
          <w:p w14:paraId="10B5BB9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6EB606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EDF597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49780D9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1DAE07C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86D911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E6529B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9FDB74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56C22C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2B5334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11D0DA1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苯胺</w:t>
            </w:r>
          </w:p>
        </w:tc>
        <w:tc>
          <w:tcPr>
            <w:tcW w:w="468" w:type="pct"/>
            <w:vAlign w:val="center"/>
          </w:tcPr>
          <w:p w14:paraId="144C841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67371D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5E3340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184EB74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1ED8BE2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C03EF4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E0056F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E14C3C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DA6994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147B7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3217A7E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2-氯酚</w:t>
            </w:r>
          </w:p>
        </w:tc>
        <w:tc>
          <w:tcPr>
            <w:tcW w:w="468" w:type="pct"/>
            <w:vAlign w:val="center"/>
          </w:tcPr>
          <w:p w14:paraId="5090724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07DCEB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56FF4B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330AABE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3B70831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6621DF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D23617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15E236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3815A8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7BE2D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5FFCE8F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䓛</w:t>
            </w:r>
          </w:p>
        </w:tc>
        <w:tc>
          <w:tcPr>
            <w:tcW w:w="468" w:type="pct"/>
            <w:vAlign w:val="center"/>
          </w:tcPr>
          <w:p w14:paraId="0481513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015D23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02E985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669828E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7665650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AE1B23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F7E6E0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050B78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39E52F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79277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479F7A9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萘</w:t>
            </w:r>
          </w:p>
        </w:tc>
        <w:tc>
          <w:tcPr>
            <w:tcW w:w="468" w:type="pct"/>
            <w:vAlign w:val="center"/>
          </w:tcPr>
          <w:p w14:paraId="4C2F6B1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22C48F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7F71B7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2DE697B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0257841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272AE0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48A6C2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D63F47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EA5C94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4AA870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7A5B631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苯并[a]蒽</w:t>
            </w:r>
          </w:p>
        </w:tc>
        <w:tc>
          <w:tcPr>
            <w:tcW w:w="468" w:type="pct"/>
            <w:vAlign w:val="center"/>
          </w:tcPr>
          <w:p w14:paraId="1EF4C63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F64FEA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089276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38B8734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172A553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E14C9B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E8B796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7BD2AE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F249D0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68F62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3B002E9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苯并[b]荧蒽</w:t>
            </w:r>
          </w:p>
        </w:tc>
        <w:tc>
          <w:tcPr>
            <w:tcW w:w="468" w:type="pct"/>
            <w:vAlign w:val="center"/>
          </w:tcPr>
          <w:p w14:paraId="1107A36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D13A23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54414D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3FE060B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1DEBE3F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D95422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217168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AC7FC6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52AE09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4B03C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45AE2D2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苯并[k]荧蒽</w:t>
            </w:r>
          </w:p>
        </w:tc>
        <w:tc>
          <w:tcPr>
            <w:tcW w:w="468" w:type="pct"/>
            <w:vAlign w:val="center"/>
          </w:tcPr>
          <w:p w14:paraId="4608448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639004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3CD51F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46CED30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0782093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2A81E6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6A341B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01BE8D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29C022C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0F2C4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6B60665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苯并[a]芘</w:t>
            </w:r>
          </w:p>
        </w:tc>
        <w:tc>
          <w:tcPr>
            <w:tcW w:w="468" w:type="pct"/>
            <w:vAlign w:val="center"/>
          </w:tcPr>
          <w:p w14:paraId="6C43781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362EBA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4F896F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3FC4DF2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7EB15E9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587948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D59399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302FAC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45C2CB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4EFF3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300774D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茚并[1,2,3-cd]芘</w:t>
            </w:r>
          </w:p>
        </w:tc>
        <w:tc>
          <w:tcPr>
            <w:tcW w:w="468" w:type="pct"/>
            <w:vAlign w:val="center"/>
          </w:tcPr>
          <w:p w14:paraId="29193AB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7EE283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689A67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39C4E17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5109E30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03574CC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72826F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A6C651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5B6F118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38DAA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2FBF5B8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二苯并[a, h]蒽</w:t>
            </w:r>
          </w:p>
        </w:tc>
        <w:tc>
          <w:tcPr>
            <w:tcW w:w="468" w:type="pct"/>
            <w:vAlign w:val="center"/>
          </w:tcPr>
          <w:p w14:paraId="5B26248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61541F8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349E7F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7553CBF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8" w:type="pct"/>
            <w:vAlign w:val="center"/>
          </w:tcPr>
          <w:p w14:paraId="2AC56EA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7333742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17FBFAC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38D13D0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469" w:type="pct"/>
            <w:vAlign w:val="center"/>
          </w:tcPr>
          <w:p w14:paraId="4E1FE68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r w14:paraId="02DDE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2" w:type="pct"/>
            <w:vAlign w:val="center"/>
          </w:tcPr>
          <w:p w14:paraId="365E86E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石油烃</w:t>
            </w:r>
          </w:p>
        </w:tc>
        <w:tc>
          <w:tcPr>
            <w:tcW w:w="468" w:type="pct"/>
            <w:vAlign w:val="bottom"/>
          </w:tcPr>
          <w:p w14:paraId="636A8EA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0.0044 </w:t>
            </w:r>
          </w:p>
        </w:tc>
        <w:tc>
          <w:tcPr>
            <w:tcW w:w="469" w:type="pct"/>
            <w:vAlign w:val="bottom"/>
          </w:tcPr>
          <w:p w14:paraId="09EFA01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0.0056 </w:t>
            </w:r>
          </w:p>
        </w:tc>
        <w:tc>
          <w:tcPr>
            <w:tcW w:w="469" w:type="pct"/>
            <w:vAlign w:val="bottom"/>
          </w:tcPr>
          <w:p w14:paraId="48DD831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0.0040 </w:t>
            </w:r>
          </w:p>
        </w:tc>
        <w:tc>
          <w:tcPr>
            <w:tcW w:w="468" w:type="pct"/>
            <w:vAlign w:val="bottom"/>
          </w:tcPr>
          <w:p w14:paraId="74FC244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0.0033 </w:t>
            </w:r>
          </w:p>
        </w:tc>
        <w:tc>
          <w:tcPr>
            <w:tcW w:w="468" w:type="pct"/>
            <w:vAlign w:val="bottom"/>
          </w:tcPr>
          <w:p w14:paraId="0807FCA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0.0038 </w:t>
            </w:r>
          </w:p>
        </w:tc>
        <w:tc>
          <w:tcPr>
            <w:tcW w:w="469" w:type="pct"/>
            <w:vAlign w:val="bottom"/>
          </w:tcPr>
          <w:p w14:paraId="357546B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0.0029 </w:t>
            </w:r>
          </w:p>
        </w:tc>
        <w:tc>
          <w:tcPr>
            <w:tcW w:w="469" w:type="pct"/>
            <w:vAlign w:val="bottom"/>
          </w:tcPr>
          <w:p w14:paraId="6F26104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0.0029 </w:t>
            </w:r>
          </w:p>
        </w:tc>
        <w:tc>
          <w:tcPr>
            <w:tcW w:w="469" w:type="pct"/>
            <w:vAlign w:val="bottom"/>
          </w:tcPr>
          <w:p w14:paraId="224C3A8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0.0038 </w:t>
            </w:r>
          </w:p>
        </w:tc>
        <w:tc>
          <w:tcPr>
            <w:tcW w:w="469" w:type="pct"/>
            <w:vAlign w:val="bottom"/>
          </w:tcPr>
          <w:p w14:paraId="616F38A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0.0133 </w:t>
            </w:r>
          </w:p>
        </w:tc>
      </w:tr>
    </w:tbl>
    <w:p w14:paraId="15AF5ACE">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表4.3-24    农用地土壤环境质量现状评价结果（K</w:t>
      </w:r>
      <w:r>
        <w:rPr>
          <w:rFonts w:ascii="Times New Roman" w:hAnsi="Times New Roman" w:cs="Times New Roman" w:eastAsiaTheme="minorEastAsia"/>
          <w:b/>
          <w:color w:val="000000" w:themeColor="text1"/>
          <w:w w:val="99"/>
          <w:kern w:val="2"/>
          <w:sz w:val="24"/>
          <w:szCs w:val="24"/>
          <w:vertAlign w:val="subscript"/>
          <w:lang w:val="en-US" w:bidi="ar-SA"/>
          <w14:textFill>
            <w14:solidFill>
              <w14:schemeClr w14:val="tx1"/>
            </w14:solidFill>
          </w14:textFill>
        </w:rPr>
        <w:t>i</w:t>
      </w: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 xml:space="preserve">值） </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26"/>
        <w:gridCol w:w="2305"/>
        <w:gridCol w:w="2994"/>
        <w:gridCol w:w="2562"/>
      </w:tblGrid>
      <w:tr w14:paraId="2B916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68" w:type="pct"/>
            <w:vAlign w:val="center"/>
          </w:tcPr>
          <w:p w14:paraId="033B52E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监测时间</w:t>
            </w:r>
          </w:p>
        </w:tc>
        <w:tc>
          <w:tcPr>
            <w:tcW w:w="4232" w:type="pct"/>
            <w:gridSpan w:val="3"/>
            <w:vAlign w:val="center"/>
          </w:tcPr>
          <w:p w14:paraId="15E9208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2022.10.16</w:t>
            </w:r>
          </w:p>
        </w:tc>
      </w:tr>
      <w:tr w14:paraId="76FD2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68" w:type="pct"/>
            <w:vMerge w:val="restart"/>
            <w:vAlign w:val="center"/>
          </w:tcPr>
          <w:p w14:paraId="03363C2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监测项目</w:t>
            </w:r>
          </w:p>
        </w:tc>
        <w:tc>
          <w:tcPr>
            <w:tcW w:w="4232" w:type="pct"/>
            <w:gridSpan w:val="3"/>
            <w:vAlign w:val="center"/>
          </w:tcPr>
          <w:p w14:paraId="52ADF78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监测点位及评价结果</w:t>
            </w:r>
          </w:p>
        </w:tc>
      </w:tr>
      <w:tr w14:paraId="07F83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68" w:type="pct"/>
            <w:vMerge w:val="continue"/>
            <w:vAlign w:val="center"/>
          </w:tcPr>
          <w:p w14:paraId="69A293B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241" w:type="pct"/>
            <w:vAlign w:val="center"/>
          </w:tcPr>
          <w:p w14:paraId="1D095E0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4号拉油点西侧100m草地</w:t>
            </w:r>
          </w:p>
        </w:tc>
        <w:tc>
          <w:tcPr>
            <w:tcW w:w="1612" w:type="pct"/>
            <w:vAlign w:val="center"/>
          </w:tcPr>
          <w:p w14:paraId="0B69BD4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龙242-1拉油点东北侧100m耕地</w:t>
            </w:r>
          </w:p>
        </w:tc>
        <w:tc>
          <w:tcPr>
            <w:tcW w:w="1379" w:type="pct"/>
            <w:vAlign w:val="center"/>
          </w:tcPr>
          <w:p w14:paraId="728F8BE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龙27-1号拉油点南侧100m耕地</w:t>
            </w:r>
          </w:p>
        </w:tc>
      </w:tr>
      <w:tr w14:paraId="6833E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68" w:type="pct"/>
            <w:vMerge w:val="continue"/>
            <w:vAlign w:val="center"/>
          </w:tcPr>
          <w:p w14:paraId="587CB86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241" w:type="pct"/>
            <w:vAlign w:val="center"/>
          </w:tcPr>
          <w:p w14:paraId="43BADEA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(0-20cm)</w:t>
            </w:r>
          </w:p>
        </w:tc>
        <w:tc>
          <w:tcPr>
            <w:tcW w:w="1612" w:type="pct"/>
            <w:vAlign w:val="center"/>
          </w:tcPr>
          <w:p w14:paraId="72FC459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(0-20cm)</w:t>
            </w:r>
          </w:p>
        </w:tc>
        <w:tc>
          <w:tcPr>
            <w:tcW w:w="1379" w:type="pct"/>
            <w:vAlign w:val="center"/>
          </w:tcPr>
          <w:p w14:paraId="5307AAE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(0-20cm)</w:t>
            </w:r>
          </w:p>
        </w:tc>
      </w:tr>
      <w:tr w14:paraId="5E225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68" w:type="pct"/>
            <w:vAlign w:val="center"/>
          </w:tcPr>
          <w:p w14:paraId="2B301C8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镉</w:t>
            </w:r>
          </w:p>
        </w:tc>
        <w:tc>
          <w:tcPr>
            <w:tcW w:w="1241" w:type="pct"/>
            <w:vAlign w:val="bottom"/>
          </w:tcPr>
          <w:p w14:paraId="6FC3DF4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0.1333 </w:t>
            </w:r>
          </w:p>
        </w:tc>
        <w:tc>
          <w:tcPr>
            <w:tcW w:w="1612" w:type="pct"/>
            <w:vAlign w:val="bottom"/>
          </w:tcPr>
          <w:p w14:paraId="48599E6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0.1667 </w:t>
            </w:r>
          </w:p>
        </w:tc>
        <w:tc>
          <w:tcPr>
            <w:tcW w:w="1379" w:type="pct"/>
            <w:vAlign w:val="bottom"/>
          </w:tcPr>
          <w:p w14:paraId="311DC52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0.1167 </w:t>
            </w:r>
          </w:p>
        </w:tc>
      </w:tr>
      <w:tr w14:paraId="1248E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68" w:type="pct"/>
            <w:vAlign w:val="center"/>
          </w:tcPr>
          <w:p w14:paraId="6749AF4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汞</w:t>
            </w:r>
          </w:p>
        </w:tc>
        <w:tc>
          <w:tcPr>
            <w:tcW w:w="1241" w:type="pct"/>
            <w:vAlign w:val="bottom"/>
          </w:tcPr>
          <w:p w14:paraId="10D57E7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0.0038 </w:t>
            </w:r>
          </w:p>
        </w:tc>
        <w:tc>
          <w:tcPr>
            <w:tcW w:w="1612" w:type="pct"/>
            <w:vAlign w:val="bottom"/>
          </w:tcPr>
          <w:p w14:paraId="6960C4D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0.0059 </w:t>
            </w:r>
          </w:p>
        </w:tc>
        <w:tc>
          <w:tcPr>
            <w:tcW w:w="1379" w:type="pct"/>
            <w:vAlign w:val="bottom"/>
          </w:tcPr>
          <w:p w14:paraId="406C356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0.0047 </w:t>
            </w:r>
          </w:p>
        </w:tc>
      </w:tr>
      <w:tr w14:paraId="5D0A9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68" w:type="pct"/>
            <w:vAlign w:val="center"/>
          </w:tcPr>
          <w:p w14:paraId="113FB80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砷</w:t>
            </w:r>
          </w:p>
        </w:tc>
        <w:tc>
          <w:tcPr>
            <w:tcW w:w="1241" w:type="pct"/>
            <w:vAlign w:val="bottom"/>
          </w:tcPr>
          <w:p w14:paraId="54846C8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0.1284 </w:t>
            </w:r>
          </w:p>
        </w:tc>
        <w:tc>
          <w:tcPr>
            <w:tcW w:w="1612" w:type="pct"/>
            <w:vAlign w:val="bottom"/>
          </w:tcPr>
          <w:p w14:paraId="7743DAB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0.1348 </w:t>
            </w:r>
          </w:p>
        </w:tc>
        <w:tc>
          <w:tcPr>
            <w:tcW w:w="1379" w:type="pct"/>
            <w:vAlign w:val="bottom"/>
          </w:tcPr>
          <w:p w14:paraId="012AABB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0.1312 </w:t>
            </w:r>
          </w:p>
        </w:tc>
      </w:tr>
      <w:tr w14:paraId="37F28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68" w:type="pct"/>
            <w:vAlign w:val="center"/>
          </w:tcPr>
          <w:p w14:paraId="7AE2301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铅</w:t>
            </w:r>
          </w:p>
        </w:tc>
        <w:tc>
          <w:tcPr>
            <w:tcW w:w="1241" w:type="pct"/>
            <w:vAlign w:val="bottom"/>
          </w:tcPr>
          <w:p w14:paraId="525D05A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0.0824 </w:t>
            </w:r>
          </w:p>
        </w:tc>
        <w:tc>
          <w:tcPr>
            <w:tcW w:w="1612" w:type="pct"/>
            <w:vAlign w:val="bottom"/>
          </w:tcPr>
          <w:p w14:paraId="55AEC33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0.1118 </w:t>
            </w:r>
          </w:p>
        </w:tc>
        <w:tc>
          <w:tcPr>
            <w:tcW w:w="1379" w:type="pct"/>
            <w:vAlign w:val="bottom"/>
          </w:tcPr>
          <w:p w14:paraId="2C82FB6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0.0941 </w:t>
            </w:r>
          </w:p>
        </w:tc>
      </w:tr>
      <w:tr w14:paraId="7DC5A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68" w:type="pct"/>
            <w:vAlign w:val="center"/>
          </w:tcPr>
          <w:p w14:paraId="6DC432F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铬</w:t>
            </w:r>
          </w:p>
        </w:tc>
        <w:tc>
          <w:tcPr>
            <w:tcW w:w="1241" w:type="pct"/>
            <w:vAlign w:val="bottom"/>
          </w:tcPr>
          <w:p w14:paraId="1AE512E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0.2000 </w:t>
            </w:r>
          </w:p>
        </w:tc>
        <w:tc>
          <w:tcPr>
            <w:tcW w:w="1612" w:type="pct"/>
            <w:vAlign w:val="bottom"/>
          </w:tcPr>
          <w:p w14:paraId="6113705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0.1640 </w:t>
            </w:r>
          </w:p>
        </w:tc>
        <w:tc>
          <w:tcPr>
            <w:tcW w:w="1379" w:type="pct"/>
            <w:vAlign w:val="bottom"/>
          </w:tcPr>
          <w:p w14:paraId="41CA024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0.1880 </w:t>
            </w:r>
          </w:p>
        </w:tc>
      </w:tr>
      <w:tr w14:paraId="676B3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68" w:type="pct"/>
            <w:vAlign w:val="center"/>
          </w:tcPr>
          <w:p w14:paraId="23D03FA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铜</w:t>
            </w:r>
          </w:p>
        </w:tc>
        <w:tc>
          <w:tcPr>
            <w:tcW w:w="1241" w:type="pct"/>
            <w:vAlign w:val="bottom"/>
          </w:tcPr>
          <w:p w14:paraId="072788B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0.1600 </w:t>
            </w:r>
          </w:p>
        </w:tc>
        <w:tc>
          <w:tcPr>
            <w:tcW w:w="1612" w:type="pct"/>
            <w:vAlign w:val="bottom"/>
          </w:tcPr>
          <w:p w14:paraId="12B4CF8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0.1800 </w:t>
            </w:r>
          </w:p>
        </w:tc>
        <w:tc>
          <w:tcPr>
            <w:tcW w:w="1379" w:type="pct"/>
            <w:vAlign w:val="bottom"/>
          </w:tcPr>
          <w:p w14:paraId="3D89B82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0.1400 </w:t>
            </w:r>
          </w:p>
        </w:tc>
      </w:tr>
      <w:tr w14:paraId="53AE0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68" w:type="pct"/>
            <w:vAlign w:val="center"/>
          </w:tcPr>
          <w:p w14:paraId="16897D0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镍</w:t>
            </w:r>
          </w:p>
        </w:tc>
        <w:tc>
          <w:tcPr>
            <w:tcW w:w="1241" w:type="pct"/>
            <w:vAlign w:val="bottom"/>
          </w:tcPr>
          <w:p w14:paraId="338E4E1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0.1158 </w:t>
            </w:r>
          </w:p>
        </w:tc>
        <w:tc>
          <w:tcPr>
            <w:tcW w:w="1612" w:type="pct"/>
            <w:vAlign w:val="bottom"/>
          </w:tcPr>
          <w:p w14:paraId="7557567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0.0947 </w:t>
            </w:r>
          </w:p>
        </w:tc>
        <w:tc>
          <w:tcPr>
            <w:tcW w:w="1379" w:type="pct"/>
            <w:vAlign w:val="bottom"/>
          </w:tcPr>
          <w:p w14:paraId="329D32A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0.1053 </w:t>
            </w:r>
          </w:p>
        </w:tc>
      </w:tr>
      <w:tr w14:paraId="466C1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68" w:type="pct"/>
            <w:vAlign w:val="center"/>
          </w:tcPr>
          <w:p w14:paraId="56053E6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锌</w:t>
            </w:r>
          </w:p>
        </w:tc>
        <w:tc>
          <w:tcPr>
            <w:tcW w:w="1241" w:type="pct"/>
            <w:vAlign w:val="bottom"/>
          </w:tcPr>
          <w:p w14:paraId="2238F95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0.2067 </w:t>
            </w:r>
          </w:p>
        </w:tc>
        <w:tc>
          <w:tcPr>
            <w:tcW w:w="1612" w:type="pct"/>
            <w:vAlign w:val="bottom"/>
          </w:tcPr>
          <w:p w14:paraId="7EC1A63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0.1767 </w:t>
            </w:r>
          </w:p>
        </w:tc>
        <w:tc>
          <w:tcPr>
            <w:tcW w:w="1379" w:type="pct"/>
            <w:vAlign w:val="bottom"/>
          </w:tcPr>
          <w:p w14:paraId="661172C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0.1633 </w:t>
            </w:r>
          </w:p>
        </w:tc>
      </w:tr>
      <w:tr w14:paraId="71E6E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768" w:type="pct"/>
            <w:vAlign w:val="center"/>
          </w:tcPr>
          <w:p w14:paraId="3CDD935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石油烃</w:t>
            </w:r>
          </w:p>
        </w:tc>
        <w:tc>
          <w:tcPr>
            <w:tcW w:w="1241" w:type="pct"/>
            <w:vAlign w:val="center"/>
          </w:tcPr>
          <w:p w14:paraId="1B6960D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1612" w:type="pct"/>
            <w:vAlign w:val="center"/>
          </w:tcPr>
          <w:p w14:paraId="34B41C5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c>
          <w:tcPr>
            <w:tcW w:w="1379" w:type="pct"/>
            <w:vAlign w:val="center"/>
          </w:tcPr>
          <w:p w14:paraId="7CAF734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ND</w:t>
            </w:r>
          </w:p>
        </w:tc>
      </w:tr>
    </w:tbl>
    <w:p w14:paraId="424FD364">
      <w:pPr>
        <w:widowControl/>
        <w:autoSpaceDE/>
        <w:autoSpaceDN/>
        <w:spacing w:line="440" w:lineRule="exact"/>
        <w:ind w:firstLine="474" w:firstLineChars="200"/>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土壤现状评价统计结果见</w:t>
      </w:r>
      <w:r>
        <w:rPr>
          <w:rFonts w:ascii="Times New Roman" w:hAnsi="Times New Roman" w:cs="Times New Roman" w:eastAsiaTheme="minorEastAsia"/>
          <w:color w:val="000000" w:themeColor="text1"/>
          <w:w w:val="99"/>
          <w:kern w:val="21"/>
          <w:sz w:val="24"/>
          <w:szCs w:val="24"/>
          <w:lang w:val="en-US"/>
          <w14:textFill>
            <w14:solidFill>
              <w14:schemeClr w14:val="tx1"/>
            </w14:solidFill>
          </w14:textFill>
        </w:rPr>
        <w:t>表</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4.3-25、表4.3-26。</w:t>
      </w:r>
    </w:p>
    <w:p w14:paraId="0B6D7215">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表4.3-25    建设用地二类用地土壤现状评价统计结果</w:t>
      </w:r>
    </w:p>
    <w:tbl>
      <w:tblPr>
        <w:tblStyle w:val="81"/>
        <w:tblW w:w="929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0"/>
        <w:gridCol w:w="708"/>
        <w:gridCol w:w="1276"/>
        <w:gridCol w:w="1276"/>
        <w:gridCol w:w="1276"/>
        <w:gridCol w:w="708"/>
        <w:gridCol w:w="851"/>
        <w:gridCol w:w="850"/>
        <w:gridCol w:w="785"/>
      </w:tblGrid>
      <w:tr w14:paraId="2E709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00BE3F70">
            <w:pPr>
              <w:autoSpaceDE/>
              <w:autoSpaceDN/>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监测因子</w:t>
            </w:r>
          </w:p>
        </w:tc>
        <w:tc>
          <w:tcPr>
            <w:tcW w:w="708" w:type="dxa"/>
            <w:vAlign w:val="center"/>
          </w:tcPr>
          <w:p w14:paraId="1D945AD2">
            <w:pPr>
              <w:autoSpaceDE/>
              <w:autoSpaceDN/>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样本数量</w:t>
            </w:r>
          </w:p>
        </w:tc>
        <w:tc>
          <w:tcPr>
            <w:tcW w:w="1276" w:type="dxa"/>
            <w:vAlign w:val="center"/>
          </w:tcPr>
          <w:p w14:paraId="5F6CE76E">
            <w:pPr>
              <w:autoSpaceDE/>
              <w:autoSpaceDN/>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最大值</w:t>
            </w:r>
          </w:p>
          <w:p w14:paraId="6FF754B1">
            <w:pPr>
              <w:autoSpaceDE/>
              <w:autoSpaceDN/>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（mg/kg）</w:t>
            </w:r>
          </w:p>
        </w:tc>
        <w:tc>
          <w:tcPr>
            <w:tcW w:w="1276" w:type="dxa"/>
            <w:vAlign w:val="center"/>
          </w:tcPr>
          <w:p w14:paraId="7E78F7D8">
            <w:pPr>
              <w:autoSpaceDE/>
              <w:autoSpaceDN/>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最小值</w:t>
            </w:r>
          </w:p>
          <w:p w14:paraId="01C908E4">
            <w:pPr>
              <w:autoSpaceDE/>
              <w:autoSpaceDN/>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（mg/kg）</w:t>
            </w:r>
          </w:p>
        </w:tc>
        <w:tc>
          <w:tcPr>
            <w:tcW w:w="1276" w:type="dxa"/>
            <w:vAlign w:val="center"/>
          </w:tcPr>
          <w:p w14:paraId="1866CA34">
            <w:pPr>
              <w:autoSpaceDE/>
              <w:autoSpaceDN/>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均值（mg/kg）</w:t>
            </w:r>
          </w:p>
        </w:tc>
        <w:tc>
          <w:tcPr>
            <w:tcW w:w="708" w:type="dxa"/>
            <w:vAlign w:val="center"/>
          </w:tcPr>
          <w:p w14:paraId="3A67E949">
            <w:pPr>
              <w:autoSpaceDE/>
              <w:autoSpaceDN/>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标准差</w:t>
            </w:r>
          </w:p>
        </w:tc>
        <w:tc>
          <w:tcPr>
            <w:tcW w:w="851" w:type="dxa"/>
            <w:vAlign w:val="center"/>
          </w:tcPr>
          <w:p w14:paraId="3F6D6F6F">
            <w:pPr>
              <w:autoSpaceDE/>
              <w:autoSpaceDN/>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检出率（%）</w:t>
            </w:r>
          </w:p>
        </w:tc>
        <w:tc>
          <w:tcPr>
            <w:tcW w:w="850" w:type="dxa"/>
            <w:vAlign w:val="center"/>
          </w:tcPr>
          <w:p w14:paraId="6458CDF6">
            <w:pPr>
              <w:autoSpaceDE/>
              <w:autoSpaceDN/>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超标率（%）</w:t>
            </w:r>
          </w:p>
        </w:tc>
        <w:tc>
          <w:tcPr>
            <w:tcW w:w="785" w:type="dxa"/>
            <w:vAlign w:val="center"/>
          </w:tcPr>
          <w:p w14:paraId="3DE25200">
            <w:pPr>
              <w:autoSpaceDE/>
              <w:autoSpaceDN/>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最大超标倍数</w:t>
            </w:r>
          </w:p>
        </w:tc>
      </w:tr>
      <w:tr w14:paraId="1D53A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309B142D">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pH</w:t>
            </w:r>
          </w:p>
        </w:tc>
        <w:tc>
          <w:tcPr>
            <w:tcW w:w="708" w:type="dxa"/>
            <w:vAlign w:val="center"/>
          </w:tcPr>
          <w:p w14:paraId="4861E015">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6DDE686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8.34</w:t>
            </w:r>
          </w:p>
        </w:tc>
        <w:tc>
          <w:tcPr>
            <w:tcW w:w="1276" w:type="dxa"/>
            <w:vAlign w:val="center"/>
          </w:tcPr>
          <w:p w14:paraId="085760E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7.95</w:t>
            </w:r>
          </w:p>
        </w:tc>
        <w:tc>
          <w:tcPr>
            <w:tcW w:w="1276" w:type="dxa"/>
            <w:vAlign w:val="center"/>
          </w:tcPr>
          <w:p w14:paraId="1B2C532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8.17 </w:t>
            </w:r>
          </w:p>
        </w:tc>
        <w:tc>
          <w:tcPr>
            <w:tcW w:w="708" w:type="dxa"/>
            <w:vAlign w:val="center"/>
          </w:tcPr>
          <w:p w14:paraId="0E7F00F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0.124 </w:t>
            </w:r>
          </w:p>
        </w:tc>
        <w:tc>
          <w:tcPr>
            <w:tcW w:w="851" w:type="dxa"/>
            <w:vAlign w:val="center"/>
          </w:tcPr>
          <w:p w14:paraId="39540E7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100</w:t>
            </w:r>
          </w:p>
        </w:tc>
        <w:tc>
          <w:tcPr>
            <w:tcW w:w="850" w:type="dxa"/>
            <w:vAlign w:val="center"/>
          </w:tcPr>
          <w:p w14:paraId="68BBE12A">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0ABA04B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03DDE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2E6DA0FE">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镉（Cd）</w:t>
            </w:r>
          </w:p>
        </w:tc>
        <w:tc>
          <w:tcPr>
            <w:tcW w:w="708" w:type="dxa"/>
            <w:vAlign w:val="center"/>
          </w:tcPr>
          <w:p w14:paraId="3EC5EBC4">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49F2A09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0.13</w:t>
            </w:r>
          </w:p>
        </w:tc>
        <w:tc>
          <w:tcPr>
            <w:tcW w:w="1276" w:type="dxa"/>
            <w:vAlign w:val="center"/>
          </w:tcPr>
          <w:p w14:paraId="7C0760E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0.07</w:t>
            </w:r>
          </w:p>
        </w:tc>
        <w:tc>
          <w:tcPr>
            <w:tcW w:w="1276" w:type="dxa"/>
            <w:vAlign w:val="center"/>
          </w:tcPr>
          <w:p w14:paraId="421E340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0.098 </w:t>
            </w:r>
          </w:p>
        </w:tc>
        <w:tc>
          <w:tcPr>
            <w:tcW w:w="708" w:type="dxa"/>
            <w:vAlign w:val="center"/>
          </w:tcPr>
          <w:p w14:paraId="1BBF830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0.019 </w:t>
            </w:r>
          </w:p>
        </w:tc>
        <w:tc>
          <w:tcPr>
            <w:tcW w:w="851" w:type="dxa"/>
            <w:vAlign w:val="center"/>
          </w:tcPr>
          <w:p w14:paraId="1D11A49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100</w:t>
            </w:r>
          </w:p>
        </w:tc>
        <w:tc>
          <w:tcPr>
            <w:tcW w:w="850" w:type="dxa"/>
            <w:vAlign w:val="center"/>
          </w:tcPr>
          <w:p w14:paraId="48E5006A">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144DB32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7068F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727D4333">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汞（Hg）</w:t>
            </w:r>
          </w:p>
        </w:tc>
        <w:tc>
          <w:tcPr>
            <w:tcW w:w="708" w:type="dxa"/>
            <w:vAlign w:val="center"/>
          </w:tcPr>
          <w:p w14:paraId="4A87E866">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5AEB680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0.027 </w:t>
            </w:r>
          </w:p>
        </w:tc>
        <w:tc>
          <w:tcPr>
            <w:tcW w:w="1276" w:type="dxa"/>
            <w:vAlign w:val="center"/>
          </w:tcPr>
          <w:p w14:paraId="140369C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0.017 </w:t>
            </w:r>
          </w:p>
        </w:tc>
        <w:tc>
          <w:tcPr>
            <w:tcW w:w="1276" w:type="dxa"/>
            <w:vAlign w:val="center"/>
          </w:tcPr>
          <w:p w14:paraId="61FDD3D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0.022 </w:t>
            </w:r>
          </w:p>
        </w:tc>
        <w:tc>
          <w:tcPr>
            <w:tcW w:w="708" w:type="dxa"/>
            <w:vAlign w:val="center"/>
          </w:tcPr>
          <w:p w14:paraId="61B4525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0.003 </w:t>
            </w:r>
          </w:p>
        </w:tc>
        <w:tc>
          <w:tcPr>
            <w:tcW w:w="851" w:type="dxa"/>
            <w:vAlign w:val="center"/>
          </w:tcPr>
          <w:p w14:paraId="5DC8BEA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100</w:t>
            </w:r>
          </w:p>
        </w:tc>
        <w:tc>
          <w:tcPr>
            <w:tcW w:w="850" w:type="dxa"/>
            <w:vAlign w:val="center"/>
          </w:tcPr>
          <w:p w14:paraId="79462890">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138F02B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42E56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051FFA00">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砷（As）</w:t>
            </w:r>
          </w:p>
        </w:tc>
        <w:tc>
          <w:tcPr>
            <w:tcW w:w="708" w:type="dxa"/>
            <w:vAlign w:val="center"/>
          </w:tcPr>
          <w:p w14:paraId="36C68E78">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7A545B7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3.47</w:t>
            </w:r>
          </w:p>
        </w:tc>
        <w:tc>
          <w:tcPr>
            <w:tcW w:w="1276" w:type="dxa"/>
            <w:vAlign w:val="center"/>
          </w:tcPr>
          <w:p w14:paraId="11460E8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3.28</w:t>
            </w:r>
          </w:p>
        </w:tc>
        <w:tc>
          <w:tcPr>
            <w:tcW w:w="1276" w:type="dxa"/>
            <w:vAlign w:val="center"/>
          </w:tcPr>
          <w:p w14:paraId="47A8BF6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3.372 </w:t>
            </w:r>
          </w:p>
        </w:tc>
        <w:tc>
          <w:tcPr>
            <w:tcW w:w="708" w:type="dxa"/>
            <w:vAlign w:val="center"/>
          </w:tcPr>
          <w:p w14:paraId="2FC3317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0.06 </w:t>
            </w:r>
          </w:p>
        </w:tc>
        <w:tc>
          <w:tcPr>
            <w:tcW w:w="851" w:type="dxa"/>
            <w:vAlign w:val="center"/>
          </w:tcPr>
          <w:p w14:paraId="6E4CE59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100</w:t>
            </w:r>
          </w:p>
        </w:tc>
        <w:tc>
          <w:tcPr>
            <w:tcW w:w="850" w:type="dxa"/>
            <w:vAlign w:val="center"/>
          </w:tcPr>
          <w:p w14:paraId="171193E6">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1863ACB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0957D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74B55E3A">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铅（Pb）</w:t>
            </w:r>
          </w:p>
        </w:tc>
        <w:tc>
          <w:tcPr>
            <w:tcW w:w="708" w:type="dxa"/>
            <w:vAlign w:val="center"/>
          </w:tcPr>
          <w:p w14:paraId="6CECDDF0">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560B3E9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24</w:t>
            </w:r>
          </w:p>
        </w:tc>
        <w:tc>
          <w:tcPr>
            <w:tcW w:w="1276" w:type="dxa"/>
            <w:vAlign w:val="center"/>
          </w:tcPr>
          <w:p w14:paraId="086D112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15 </w:t>
            </w:r>
          </w:p>
        </w:tc>
        <w:tc>
          <w:tcPr>
            <w:tcW w:w="1276" w:type="dxa"/>
            <w:vAlign w:val="center"/>
          </w:tcPr>
          <w:p w14:paraId="5B38E1E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20 </w:t>
            </w:r>
          </w:p>
        </w:tc>
        <w:tc>
          <w:tcPr>
            <w:tcW w:w="708" w:type="dxa"/>
            <w:vAlign w:val="center"/>
          </w:tcPr>
          <w:p w14:paraId="303E829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2.749 </w:t>
            </w:r>
          </w:p>
        </w:tc>
        <w:tc>
          <w:tcPr>
            <w:tcW w:w="851" w:type="dxa"/>
            <w:vAlign w:val="center"/>
          </w:tcPr>
          <w:p w14:paraId="69243BA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100</w:t>
            </w:r>
          </w:p>
        </w:tc>
        <w:tc>
          <w:tcPr>
            <w:tcW w:w="850" w:type="dxa"/>
            <w:vAlign w:val="center"/>
          </w:tcPr>
          <w:p w14:paraId="2E129333">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19A5D13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76D8E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0A90C518">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铬（六价）</w:t>
            </w:r>
          </w:p>
        </w:tc>
        <w:tc>
          <w:tcPr>
            <w:tcW w:w="708" w:type="dxa"/>
            <w:vAlign w:val="center"/>
          </w:tcPr>
          <w:p w14:paraId="6EE5DFE4">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03CB142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20D2075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3470A49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60681F9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15907D5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6324F66D">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1C0E978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750AA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795F210C">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铜（Cu）</w:t>
            </w:r>
          </w:p>
        </w:tc>
        <w:tc>
          <w:tcPr>
            <w:tcW w:w="708" w:type="dxa"/>
            <w:vAlign w:val="center"/>
          </w:tcPr>
          <w:p w14:paraId="5183CA29">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47EF6A0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25 </w:t>
            </w:r>
          </w:p>
        </w:tc>
        <w:tc>
          <w:tcPr>
            <w:tcW w:w="1276" w:type="dxa"/>
            <w:vAlign w:val="center"/>
          </w:tcPr>
          <w:p w14:paraId="46C34DE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14 </w:t>
            </w:r>
          </w:p>
        </w:tc>
        <w:tc>
          <w:tcPr>
            <w:tcW w:w="1276" w:type="dxa"/>
            <w:vAlign w:val="center"/>
          </w:tcPr>
          <w:p w14:paraId="4D9196E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18.789 </w:t>
            </w:r>
          </w:p>
        </w:tc>
        <w:tc>
          <w:tcPr>
            <w:tcW w:w="708" w:type="dxa"/>
            <w:vAlign w:val="center"/>
          </w:tcPr>
          <w:p w14:paraId="6557D86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3.037 </w:t>
            </w:r>
          </w:p>
        </w:tc>
        <w:tc>
          <w:tcPr>
            <w:tcW w:w="851" w:type="dxa"/>
            <w:vAlign w:val="center"/>
          </w:tcPr>
          <w:p w14:paraId="76163DE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100</w:t>
            </w:r>
          </w:p>
        </w:tc>
        <w:tc>
          <w:tcPr>
            <w:tcW w:w="850" w:type="dxa"/>
            <w:vAlign w:val="center"/>
          </w:tcPr>
          <w:p w14:paraId="4E52FB73">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60854DE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087D2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341D5D5F">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镍（Ni）</w:t>
            </w:r>
          </w:p>
        </w:tc>
        <w:tc>
          <w:tcPr>
            <w:tcW w:w="708" w:type="dxa"/>
            <w:vAlign w:val="center"/>
          </w:tcPr>
          <w:p w14:paraId="6593DBE7">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7468175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27 </w:t>
            </w:r>
          </w:p>
        </w:tc>
        <w:tc>
          <w:tcPr>
            <w:tcW w:w="1276" w:type="dxa"/>
            <w:vAlign w:val="center"/>
          </w:tcPr>
          <w:p w14:paraId="5853559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18 </w:t>
            </w:r>
          </w:p>
        </w:tc>
        <w:tc>
          <w:tcPr>
            <w:tcW w:w="1276" w:type="dxa"/>
            <w:vAlign w:val="center"/>
          </w:tcPr>
          <w:p w14:paraId="10067F1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22.421 </w:t>
            </w:r>
          </w:p>
        </w:tc>
        <w:tc>
          <w:tcPr>
            <w:tcW w:w="708" w:type="dxa"/>
            <w:vAlign w:val="center"/>
          </w:tcPr>
          <w:p w14:paraId="64470A1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3.163 </w:t>
            </w:r>
          </w:p>
        </w:tc>
        <w:tc>
          <w:tcPr>
            <w:tcW w:w="851" w:type="dxa"/>
            <w:vAlign w:val="center"/>
          </w:tcPr>
          <w:p w14:paraId="145A378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100</w:t>
            </w:r>
          </w:p>
        </w:tc>
        <w:tc>
          <w:tcPr>
            <w:tcW w:w="850" w:type="dxa"/>
            <w:vAlign w:val="center"/>
          </w:tcPr>
          <w:p w14:paraId="6410C121">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71CE0AB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764C2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43E3D60E">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w:t>
            </w:r>
          </w:p>
        </w:tc>
        <w:tc>
          <w:tcPr>
            <w:tcW w:w="708" w:type="dxa"/>
            <w:vAlign w:val="center"/>
          </w:tcPr>
          <w:p w14:paraId="1697C323">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5725C65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5F36F36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5A23F98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312789D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54E04EA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3C3744EC">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2F5BF82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5380D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61CE87EC">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甲苯</w:t>
            </w:r>
          </w:p>
        </w:tc>
        <w:tc>
          <w:tcPr>
            <w:tcW w:w="708" w:type="dxa"/>
            <w:vAlign w:val="center"/>
          </w:tcPr>
          <w:p w14:paraId="4B414F9C">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2397FC9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18C1524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4B7DE3C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37972FE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3E1604D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6DC39379">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02FD891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4E1AF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117ED8EC">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乙苯</w:t>
            </w:r>
          </w:p>
        </w:tc>
        <w:tc>
          <w:tcPr>
            <w:tcW w:w="708" w:type="dxa"/>
            <w:vAlign w:val="center"/>
          </w:tcPr>
          <w:p w14:paraId="4A548BFB">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288B098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78F8743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6E8FB12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198C2E8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31E12F7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26E75DFF">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150DD11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65EC1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7C7B0BE8">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氯苯</w:t>
            </w:r>
          </w:p>
        </w:tc>
        <w:tc>
          <w:tcPr>
            <w:tcW w:w="708" w:type="dxa"/>
            <w:vAlign w:val="center"/>
          </w:tcPr>
          <w:p w14:paraId="1784B447">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5904B7F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25129D6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562E53D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4A54030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1404F0C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1C968001">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54B95B3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13648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2E0C43B7">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苯乙烯</w:t>
            </w:r>
          </w:p>
        </w:tc>
        <w:tc>
          <w:tcPr>
            <w:tcW w:w="708" w:type="dxa"/>
            <w:vAlign w:val="center"/>
          </w:tcPr>
          <w:p w14:paraId="278E9873">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247B4CD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2940B95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3314010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21780DA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15B0D50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3BE83B37">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57347B2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7F2A6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1360EAD1">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间二甲苯+对二甲苯</w:t>
            </w:r>
          </w:p>
        </w:tc>
        <w:tc>
          <w:tcPr>
            <w:tcW w:w="708" w:type="dxa"/>
            <w:vAlign w:val="center"/>
          </w:tcPr>
          <w:p w14:paraId="081D0E13">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5DB1A09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026A380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3FF3BAA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044CAAA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0C3ACD0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46D8B759">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02FEAC7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715E3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18A97691">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邻二甲苯</w:t>
            </w:r>
          </w:p>
        </w:tc>
        <w:tc>
          <w:tcPr>
            <w:tcW w:w="708" w:type="dxa"/>
            <w:vAlign w:val="center"/>
          </w:tcPr>
          <w:p w14:paraId="38365DFC">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18C0671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283E947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03D2C0A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4734655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40214CD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588DCCD0">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52F7394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57E8E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461DC4DE">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氯乙烯</w:t>
            </w:r>
          </w:p>
        </w:tc>
        <w:tc>
          <w:tcPr>
            <w:tcW w:w="708" w:type="dxa"/>
            <w:vAlign w:val="center"/>
          </w:tcPr>
          <w:p w14:paraId="7F164B4A">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1553638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3B1CE4A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5E7D2C5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031A021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17CFA81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1471465E">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58A548D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16680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1D417C5B">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1,2-二氯苯</w:t>
            </w:r>
          </w:p>
        </w:tc>
        <w:tc>
          <w:tcPr>
            <w:tcW w:w="708" w:type="dxa"/>
            <w:vAlign w:val="center"/>
          </w:tcPr>
          <w:p w14:paraId="744C605C">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3119973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3DCA10B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0BEEFA4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6A03E3B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324485C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09CC0A85">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73BC35C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41A4A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30B84CC8">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1,4-二氯苯</w:t>
            </w:r>
          </w:p>
        </w:tc>
        <w:tc>
          <w:tcPr>
            <w:tcW w:w="708" w:type="dxa"/>
            <w:vAlign w:val="center"/>
          </w:tcPr>
          <w:p w14:paraId="29667085">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59F76C5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04033CA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0B3A118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4DC0545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6670930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07C646D2">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5C97ABB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3A319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64A14186">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四氯化碳</w:t>
            </w:r>
          </w:p>
        </w:tc>
        <w:tc>
          <w:tcPr>
            <w:tcW w:w="708" w:type="dxa"/>
            <w:vAlign w:val="center"/>
          </w:tcPr>
          <w:p w14:paraId="195B8D18">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68409C4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11B7F90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59D8717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5F85640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1B5B482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17EC7B7B">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6649D9B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44C63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1B27329A">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氯仿</w:t>
            </w:r>
          </w:p>
        </w:tc>
        <w:tc>
          <w:tcPr>
            <w:tcW w:w="708" w:type="dxa"/>
            <w:vAlign w:val="center"/>
          </w:tcPr>
          <w:p w14:paraId="49CD1084">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5AFF783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15B47F4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488456D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1804FE0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12913C2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68BDDBE4">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56A9A25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61622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047CCFB6">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氯甲烷</w:t>
            </w:r>
          </w:p>
        </w:tc>
        <w:tc>
          <w:tcPr>
            <w:tcW w:w="708" w:type="dxa"/>
            <w:vAlign w:val="center"/>
          </w:tcPr>
          <w:p w14:paraId="43391DAF">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01348EA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585077F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2217823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7AEB7FD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3793A78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368FCDA0">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45D0413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77823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0D4D64FA">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1,1-二氯乙烷</w:t>
            </w:r>
          </w:p>
        </w:tc>
        <w:tc>
          <w:tcPr>
            <w:tcW w:w="708" w:type="dxa"/>
            <w:vAlign w:val="center"/>
          </w:tcPr>
          <w:p w14:paraId="6D278496">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2016706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17E3918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105223D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3A367D8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577A45E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08D8D962">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021840F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7C77B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59E69191">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1,2-二氯乙烷</w:t>
            </w:r>
          </w:p>
        </w:tc>
        <w:tc>
          <w:tcPr>
            <w:tcW w:w="708" w:type="dxa"/>
            <w:vAlign w:val="center"/>
          </w:tcPr>
          <w:p w14:paraId="7D6B5332">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1963981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1CCF0FD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4EA052C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7794465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0E5ADA8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4E7E8153">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663438E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2D565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16CF8C2D">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1,1-二氯乙烯</w:t>
            </w:r>
          </w:p>
        </w:tc>
        <w:tc>
          <w:tcPr>
            <w:tcW w:w="708" w:type="dxa"/>
            <w:vAlign w:val="center"/>
          </w:tcPr>
          <w:p w14:paraId="33414F06">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6B81674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5E630CC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18EE9C0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14E512B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330C8DB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03A66487">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216B52D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6F891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65592476">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顺-1,2-二氯乙烯</w:t>
            </w:r>
          </w:p>
        </w:tc>
        <w:tc>
          <w:tcPr>
            <w:tcW w:w="708" w:type="dxa"/>
            <w:vAlign w:val="center"/>
          </w:tcPr>
          <w:p w14:paraId="27D8BC67">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40C086B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34FD2FB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701D38E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2C1CEE8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6CF8822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14A5A700">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320471A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5BA26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7A72B0AB">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反-1,2-二氯乙烯</w:t>
            </w:r>
          </w:p>
        </w:tc>
        <w:tc>
          <w:tcPr>
            <w:tcW w:w="708" w:type="dxa"/>
            <w:vAlign w:val="center"/>
          </w:tcPr>
          <w:p w14:paraId="1CF097F8">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5502C4B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664135C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6EB843C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2E0DA74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5CD805D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666422C0">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w:t>
            </w:r>
          </w:p>
        </w:tc>
        <w:tc>
          <w:tcPr>
            <w:tcW w:w="785" w:type="dxa"/>
            <w:vAlign w:val="center"/>
          </w:tcPr>
          <w:p w14:paraId="2A961B4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611C7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0149223C">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二氯甲烷</w:t>
            </w:r>
          </w:p>
        </w:tc>
        <w:tc>
          <w:tcPr>
            <w:tcW w:w="708" w:type="dxa"/>
            <w:vAlign w:val="center"/>
          </w:tcPr>
          <w:p w14:paraId="6DB30ECB">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094B680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2CE2915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0AED697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50F3543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21F3A4D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1B07AF8A">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w:t>
            </w:r>
          </w:p>
        </w:tc>
        <w:tc>
          <w:tcPr>
            <w:tcW w:w="785" w:type="dxa"/>
            <w:vAlign w:val="center"/>
          </w:tcPr>
          <w:p w14:paraId="10E5F60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7054F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1B96A349">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1,2-二氯丙烷</w:t>
            </w:r>
          </w:p>
        </w:tc>
        <w:tc>
          <w:tcPr>
            <w:tcW w:w="708" w:type="dxa"/>
            <w:vAlign w:val="center"/>
          </w:tcPr>
          <w:p w14:paraId="7D02D67F">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70EBC21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1F80F0C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30A2AE3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6C02EB6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470D52F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653590E5">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w:t>
            </w:r>
          </w:p>
        </w:tc>
        <w:tc>
          <w:tcPr>
            <w:tcW w:w="785" w:type="dxa"/>
            <w:vAlign w:val="center"/>
          </w:tcPr>
          <w:p w14:paraId="53048AF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335EE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06BC28DF">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1,1,1,2-四氯乙烷</w:t>
            </w:r>
          </w:p>
        </w:tc>
        <w:tc>
          <w:tcPr>
            <w:tcW w:w="708" w:type="dxa"/>
            <w:vAlign w:val="center"/>
          </w:tcPr>
          <w:p w14:paraId="7B789E18">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5D55E99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43EE3A6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2543CD1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351F203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06233D9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10FF77E5">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w:t>
            </w:r>
          </w:p>
        </w:tc>
        <w:tc>
          <w:tcPr>
            <w:tcW w:w="785" w:type="dxa"/>
            <w:vAlign w:val="center"/>
          </w:tcPr>
          <w:p w14:paraId="33A7471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73A7E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5AF6BC4F">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1,1,2,2-四氯乙烷</w:t>
            </w:r>
          </w:p>
        </w:tc>
        <w:tc>
          <w:tcPr>
            <w:tcW w:w="708" w:type="dxa"/>
            <w:vAlign w:val="center"/>
          </w:tcPr>
          <w:p w14:paraId="46A31604">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79905FD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32B95A0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0BC07F5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72E0EAB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39985ED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257B5684">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07B2DBD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783B7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0B60360F">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四氯乙烯</w:t>
            </w:r>
          </w:p>
        </w:tc>
        <w:tc>
          <w:tcPr>
            <w:tcW w:w="708" w:type="dxa"/>
            <w:vAlign w:val="center"/>
          </w:tcPr>
          <w:p w14:paraId="050697D3">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68FB19D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041C5DE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4F4B0AE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0CED612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09B437D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61CDCD99">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2F5558C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3FA9A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1C4C4C24">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1,1,1-三氯乙烷</w:t>
            </w:r>
          </w:p>
        </w:tc>
        <w:tc>
          <w:tcPr>
            <w:tcW w:w="708" w:type="dxa"/>
            <w:vAlign w:val="center"/>
          </w:tcPr>
          <w:p w14:paraId="3611AFC2">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5F90858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465FAD5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5F8AA56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64F8010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194BAA7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06D7003B">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013093F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444C8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6B9EAF96">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1,1,2-三氯乙烷</w:t>
            </w:r>
          </w:p>
        </w:tc>
        <w:tc>
          <w:tcPr>
            <w:tcW w:w="708" w:type="dxa"/>
            <w:vAlign w:val="center"/>
          </w:tcPr>
          <w:p w14:paraId="41C2EE26">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6E370DE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511E536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13727EA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2A714CD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579CD5B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36BF23D2">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5DCE096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5DA81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470FBC59">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三氯乙烯</w:t>
            </w:r>
          </w:p>
        </w:tc>
        <w:tc>
          <w:tcPr>
            <w:tcW w:w="708" w:type="dxa"/>
            <w:vAlign w:val="center"/>
          </w:tcPr>
          <w:p w14:paraId="41B9720E">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0259671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3AD5B02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32D4BD1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2666E6C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54B169A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352F9020">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7CB8EEA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408F8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14077E56">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1,2,3-三氯丙烷</w:t>
            </w:r>
          </w:p>
        </w:tc>
        <w:tc>
          <w:tcPr>
            <w:tcW w:w="708" w:type="dxa"/>
            <w:vAlign w:val="center"/>
          </w:tcPr>
          <w:p w14:paraId="7E865C57">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0391712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7DAF1FF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426A1A0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7B763DF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0233ED0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1D18ACF7">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56B0328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1CB3B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5C7EA1C4">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硝基苯</w:t>
            </w:r>
          </w:p>
        </w:tc>
        <w:tc>
          <w:tcPr>
            <w:tcW w:w="708" w:type="dxa"/>
            <w:vAlign w:val="center"/>
          </w:tcPr>
          <w:p w14:paraId="0110CE40">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7CC50BE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2E66353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22139ED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65C1C2F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5560AF2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792B706F">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12853E4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1E196B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35E83543">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苯胺</w:t>
            </w:r>
          </w:p>
        </w:tc>
        <w:tc>
          <w:tcPr>
            <w:tcW w:w="708" w:type="dxa"/>
            <w:vAlign w:val="center"/>
          </w:tcPr>
          <w:p w14:paraId="28502362">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256A2A7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74ECC69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3A8C60A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3663FA6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3489E2D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28D00608">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4F84360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228EC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5032A0BA">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2-氯酚</w:t>
            </w:r>
          </w:p>
        </w:tc>
        <w:tc>
          <w:tcPr>
            <w:tcW w:w="708" w:type="dxa"/>
            <w:vAlign w:val="center"/>
          </w:tcPr>
          <w:p w14:paraId="414CDC8E">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3CB61D6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319224B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4E97AB2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2B8E61E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104F514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4DEE19FC">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4267C8C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412D7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5B0D60E9">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䓛</w:t>
            </w:r>
          </w:p>
        </w:tc>
        <w:tc>
          <w:tcPr>
            <w:tcW w:w="708" w:type="dxa"/>
            <w:vAlign w:val="center"/>
          </w:tcPr>
          <w:p w14:paraId="2B4BBC2A">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137E51D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7016F3A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3B8F521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044D548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25B0E23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0DE4092B">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0040634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485705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095BAB75">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萘</w:t>
            </w:r>
          </w:p>
        </w:tc>
        <w:tc>
          <w:tcPr>
            <w:tcW w:w="708" w:type="dxa"/>
            <w:vAlign w:val="center"/>
          </w:tcPr>
          <w:p w14:paraId="1CCD6206">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0E3654B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555C2CA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4C2A8D9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1785A74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7D70149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4FD26947">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561D97D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72288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4D6D47D0">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苯并[a]蒽</w:t>
            </w:r>
          </w:p>
        </w:tc>
        <w:tc>
          <w:tcPr>
            <w:tcW w:w="708" w:type="dxa"/>
            <w:vAlign w:val="center"/>
          </w:tcPr>
          <w:p w14:paraId="7468DB90">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75BC1DD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4CD0DA8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035C53C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0806878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7D8A338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39E710E4">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707FCEA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1D2FA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16C8AF09">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苯并[b]荧蒽</w:t>
            </w:r>
          </w:p>
        </w:tc>
        <w:tc>
          <w:tcPr>
            <w:tcW w:w="708" w:type="dxa"/>
            <w:vAlign w:val="center"/>
          </w:tcPr>
          <w:p w14:paraId="2BEFAA89">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246E217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30058D1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6002AF8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6214B7C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4FDABF5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15EBE825">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16357E0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2CC18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4810C165">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苯并[k]荧蒽</w:t>
            </w:r>
          </w:p>
        </w:tc>
        <w:tc>
          <w:tcPr>
            <w:tcW w:w="708" w:type="dxa"/>
            <w:vAlign w:val="center"/>
          </w:tcPr>
          <w:p w14:paraId="45D82E10">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116BE4A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732F56B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7A1DD2D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652D61F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1914D41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4F196480">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1C315CC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32619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1751C387">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苯并[a]芘</w:t>
            </w:r>
          </w:p>
        </w:tc>
        <w:tc>
          <w:tcPr>
            <w:tcW w:w="708" w:type="dxa"/>
            <w:vAlign w:val="center"/>
          </w:tcPr>
          <w:p w14:paraId="36C6E284">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06ECBEF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4365E6F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375B3DAB">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4259A71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046BA1E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302FDE03">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3764D58F">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54D9E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6530DA99">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茚并[1,2,3-cd]芘</w:t>
            </w:r>
          </w:p>
        </w:tc>
        <w:tc>
          <w:tcPr>
            <w:tcW w:w="708" w:type="dxa"/>
            <w:vAlign w:val="center"/>
          </w:tcPr>
          <w:p w14:paraId="1E3F1AC4">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75F29C5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7765300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7FEFE51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313482E4">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468E2F1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57B112B1">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3F26F6E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65039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45DD488D">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二苯并[a, h]蒽</w:t>
            </w:r>
          </w:p>
        </w:tc>
        <w:tc>
          <w:tcPr>
            <w:tcW w:w="708" w:type="dxa"/>
            <w:vAlign w:val="center"/>
          </w:tcPr>
          <w:p w14:paraId="553530C6">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749CF6D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44B5966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0558C00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38CB534A">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6B46FEB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1DA5D113">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7D529AA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77442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55B11EA3">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石油烃（C</w:t>
            </w:r>
            <w:r>
              <w:rPr>
                <w:rFonts w:ascii="Times New Roman" w:hAnsi="Times New Roman" w:cs="Times New Roman" w:eastAsiaTheme="minorEastAsia"/>
                <w:color w:val="000000" w:themeColor="text1"/>
                <w:w w:val="99"/>
                <w:sz w:val="21"/>
                <w:szCs w:val="21"/>
                <w:vertAlign w:val="subscript"/>
                <w:lang w:val="en-US" w:bidi="ar-SA"/>
                <w14:textFill>
                  <w14:solidFill>
                    <w14:schemeClr w14:val="tx1"/>
                  </w14:solidFill>
                </w14:textFill>
              </w:rPr>
              <w:t>10-</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C</w:t>
            </w:r>
            <w:r>
              <w:rPr>
                <w:rFonts w:ascii="Times New Roman" w:hAnsi="Times New Roman" w:cs="Times New Roman" w:eastAsiaTheme="minorEastAsia"/>
                <w:color w:val="000000" w:themeColor="text1"/>
                <w:w w:val="99"/>
                <w:sz w:val="21"/>
                <w:szCs w:val="21"/>
                <w:vertAlign w:val="subscript"/>
                <w:lang w:val="en-US" w:bidi="ar-SA"/>
                <w14:textFill>
                  <w14:solidFill>
                    <w14:schemeClr w14:val="tx1"/>
                  </w14:solidFill>
                </w14:textFill>
              </w:rPr>
              <w:t>40</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708" w:type="dxa"/>
            <w:vAlign w:val="center"/>
          </w:tcPr>
          <w:p w14:paraId="06F13C45">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17</w:t>
            </w:r>
          </w:p>
        </w:tc>
        <w:tc>
          <w:tcPr>
            <w:tcW w:w="1276" w:type="dxa"/>
            <w:vAlign w:val="center"/>
          </w:tcPr>
          <w:p w14:paraId="6FA1C98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26 </w:t>
            </w:r>
          </w:p>
        </w:tc>
        <w:tc>
          <w:tcPr>
            <w:tcW w:w="1276" w:type="dxa"/>
            <w:vAlign w:val="center"/>
          </w:tcPr>
          <w:p w14:paraId="2CBC3AA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13 </w:t>
            </w:r>
          </w:p>
        </w:tc>
        <w:tc>
          <w:tcPr>
            <w:tcW w:w="1276" w:type="dxa"/>
            <w:vAlign w:val="center"/>
          </w:tcPr>
          <w:p w14:paraId="4C23A60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18.579 </w:t>
            </w:r>
          </w:p>
        </w:tc>
        <w:tc>
          <w:tcPr>
            <w:tcW w:w="708" w:type="dxa"/>
            <w:vAlign w:val="center"/>
          </w:tcPr>
          <w:p w14:paraId="0EA5810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4.048 </w:t>
            </w:r>
          </w:p>
        </w:tc>
        <w:tc>
          <w:tcPr>
            <w:tcW w:w="851" w:type="dxa"/>
            <w:vAlign w:val="center"/>
          </w:tcPr>
          <w:p w14:paraId="7E5400F8">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100</w:t>
            </w:r>
          </w:p>
        </w:tc>
        <w:tc>
          <w:tcPr>
            <w:tcW w:w="850" w:type="dxa"/>
            <w:vAlign w:val="center"/>
          </w:tcPr>
          <w:p w14:paraId="77B62DF7">
            <w:pPr>
              <w:autoSpaceDE/>
              <w:autoSpaceDN/>
              <w:snapToGrid w:val="0"/>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230E50F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bl>
    <w:p w14:paraId="5A9D5C63">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表4.3-26    农用地土壤现状评价统计结果</w:t>
      </w:r>
    </w:p>
    <w:tbl>
      <w:tblPr>
        <w:tblStyle w:val="81"/>
        <w:tblW w:w="929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0"/>
        <w:gridCol w:w="708"/>
        <w:gridCol w:w="1276"/>
        <w:gridCol w:w="1276"/>
        <w:gridCol w:w="1276"/>
        <w:gridCol w:w="708"/>
        <w:gridCol w:w="851"/>
        <w:gridCol w:w="850"/>
        <w:gridCol w:w="785"/>
      </w:tblGrid>
      <w:tr w14:paraId="709A5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61EE162F">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监测因子</w:t>
            </w:r>
          </w:p>
        </w:tc>
        <w:tc>
          <w:tcPr>
            <w:tcW w:w="708" w:type="dxa"/>
            <w:vAlign w:val="center"/>
          </w:tcPr>
          <w:p w14:paraId="05D5E936">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样本数量</w:t>
            </w:r>
          </w:p>
        </w:tc>
        <w:tc>
          <w:tcPr>
            <w:tcW w:w="1276" w:type="dxa"/>
            <w:vAlign w:val="center"/>
          </w:tcPr>
          <w:p w14:paraId="7A6071D0">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最大值</w:t>
            </w:r>
          </w:p>
          <w:p w14:paraId="60FB376A">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（mg/kg）</w:t>
            </w:r>
          </w:p>
        </w:tc>
        <w:tc>
          <w:tcPr>
            <w:tcW w:w="1276" w:type="dxa"/>
            <w:vAlign w:val="center"/>
          </w:tcPr>
          <w:p w14:paraId="2089CB48">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最小值</w:t>
            </w:r>
          </w:p>
          <w:p w14:paraId="6148409A">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（mg/kg）</w:t>
            </w:r>
          </w:p>
        </w:tc>
        <w:tc>
          <w:tcPr>
            <w:tcW w:w="1276" w:type="dxa"/>
            <w:vAlign w:val="center"/>
          </w:tcPr>
          <w:p w14:paraId="2BE33DAC">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均值（mg/kg）</w:t>
            </w:r>
          </w:p>
        </w:tc>
        <w:tc>
          <w:tcPr>
            <w:tcW w:w="708" w:type="dxa"/>
            <w:vAlign w:val="center"/>
          </w:tcPr>
          <w:p w14:paraId="47C1AE46">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标准差</w:t>
            </w:r>
          </w:p>
        </w:tc>
        <w:tc>
          <w:tcPr>
            <w:tcW w:w="851" w:type="dxa"/>
            <w:vAlign w:val="center"/>
          </w:tcPr>
          <w:p w14:paraId="6C479582">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检出率（%）</w:t>
            </w:r>
          </w:p>
        </w:tc>
        <w:tc>
          <w:tcPr>
            <w:tcW w:w="850" w:type="dxa"/>
            <w:vAlign w:val="center"/>
          </w:tcPr>
          <w:p w14:paraId="113F9384">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超标率（%）</w:t>
            </w:r>
          </w:p>
        </w:tc>
        <w:tc>
          <w:tcPr>
            <w:tcW w:w="785" w:type="dxa"/>
            <w:vAlign w:val="center"/>
          </w:tcPr>
          <w:p w14:paraId="4F0AE906">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最大超标倍数</w:t>
            </w:r>
          </w:p>
        </w:tc>
      </w:tr>
      <w:tr w14:paraId="20C75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6CD1F19E">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pH</w:t>
            </w:r>
          </w:p>
        </w:tc>
        <w:tc>
          <w:tcPr>
            <w:tcW w:w="708" w:type="dxa"/>
            <w:vAlign w:val="center"/>
          </w:tcPr>
          <w:p w14:paraId="4D2F29AB">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w:t>
            </w:r>
          </w:p>
        </w:tc>
        <w:tc>
          <w:tcPr>
            <w:tcW w:w="1276" w:type="dxa"/>
            <w:vAlign w:val="bottom"/>
          </w:tcPr>
          <w:p w14:paraId="255E54EC">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8.07</w:t>
            </w:r>
          </w:p>
        </w:tc>
        <w:tc>
          <w:tcPr>
            <w:tcW w:w="1276" w:type="dxa"/>
            <w:vAlign w:val="bottom"/>
          </w:tcPr>
          <w:p w14:paraId="2EECA65F">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7.79 </w:t>
            </w:r>
          </w:p>
        </w:tc>
        <w:tc>
          <w:tcPr>
            <w:tcW w:w="1276" w:type="dxa"/>
            <w:vAlign w:val="bottom"/>
          </w:tcPr>
          <w:p w14:paraId="47B74CAC">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7.922 </w:t>
            </w:r>
          </w:p>
        </w:tc>
        <w:tc>
          <w:tcPr>
            <w:tcW w:w="708" w:type="dxa"/>
            <w:vAlign w:val="bottom"/>
          </w:tcPr>
          <w:p w14:paraId="5E054B3C">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0.142 </w:t>
            </w:r>
          </w:p>
        </w:tc>
        <w:tc>
          <w:tcPr>
            <w:tcW w:w="851" w:type="dxa"/>
            <w:vAlign w:val="center"/>
          </w:tcPr>
          <w:p w14:paraId="0C241418">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100</w:t>
            </w:r>
          </w:p>
        </w:tc>
        <w:tc>
          <w:tcPr>
            <w:tcW w:w="850" w:type="dxa"/>
            <w:vAlign w:val="center"/>
          </w:tcPr>
          <w:p w14:paraId="5F238148">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70239992">
            <w:pPr>
              <w:autoSpaceDE/>
              <w:autoSpaceDN/>
              <w:spacing w:line="320" w:lineRule="exact"/>
              <w:jc w:val="center"/>
              <w:textAlignment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37F46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1B69C461">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镉</w:t>
            </w:r>
          </w:p>
        </w:tc>
        <w:tc>
          <w:tcPr>
            <w:tcW w:w="708" w:type="dxa"/>
            <w:vAlign w:val="center"/>
          </w:tcPr>
          <w:p w14:paraId="439F7AD4">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w:t>
            </w:r>
          </w:p>
        </w:tc>
        <w:tc>
          <w:tcPr>
            <w:tcW w:w="1276" w:type="dxa"/>
            <w:vAlign w:val="bottom"/>
          </w:tcPr>
          <w:p w14:paraId="5837FCB1">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0.1 </w:t>
            </w:r>
          </w:p>
        </w:tc>
        <w:tc>
          <w:tcPr>
            <w:tcW w:w="1276" w:type="dxa"/>
            <w:vAlign w:val="bottom"/>
          </w:tcPr>
          <w:p w14:paraId="76E5FECB">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0.07 </w:t>
            </w:r>
          </w:p>
        </w:tc>
        <w:tc>
          <w:tcPr>
            <w:tcW w:w="1276" w:type="dxa"/>
            <w:vAlign w:val="bottom"/>
          </w:tcPr>
          <w:p w14:paraId="706CB28C">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0.084 </w:t>
            </w:r>
          </w:p>
        </w:tc>
        <w:tc>
          <w:tcPr>
            <w:tcW w:w="708" w:type="dxa"/>
            <w:vAlign w:val="bottom"/>
          </w:tcPr>
          <w:p w14:paraId="150A87FE">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0.015 </w:t>
            </w:r>
          </w:p>
        </w:tc>
        <w:tc>
          <w:tcPr>
            <w:tcW w:w="851" w:type="dxa"/>
            <w:vAlign w:val="center"/>
          </w:tcPr>
          <w:p w14:paraId="500FDABD">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100</w:t>
            </w:r>
          </w:p>
        </w:tc>
        <w:tc>
          <w:tcPr>
            <w:tcW w:w="850" w:type="dxa"/>
            <w:vAlign w:val="center"/>
          </w:tcPr>
          <w:p w14:paraId="0B4758BC">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4B23D021">
            <w:pPr>
              <w:widowControl/>
              <w:autoSpaceDE/>
              <w:autoSpaceDN/>
              <w:spacing w:line="320" w:lineRule="exact"/>
              <w:jc w:val="center"/>
              <w:textAlignment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392D0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35F1F47D">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汞</w:t>
            </w:r>
          </w:p>
        </w:tc>
        <w:tc>
          <w:tcPr>
            <w:tcW w:w="708" w:type="dxa"/>
            <w:vAlign w:val="center"/>
          </w:tcPr>
          <w:p w14:paraId="1E3D2DCA">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w:t>
            </w:r>
          </w:p>
        </w:tc>
        <w:tc>
          <w:tcPr>
            <w:tcW w:w="1276" w:type="dxa"/>
            <w:vAlign w:val="bottom"/>
          </w:tcPr>
          <w:p w14:paraId="2C1251B6">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0.02 </w:t>
            </w:r>
          </w:p>
        </w:tc>
        <w:tc>
          <w:tcPr>
            <w:tcW w:w="1276" w:type="dxa"/>
            <w:vAlign w:val="bottom"/>
          </w:tcPr>
          <w:p w14:paraId="55D576DA">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0.013 </w:t>
            </w:r>
          </w:p>
        </w:tc>
        <w:tc>
          <w:tcPr>
            <w:tcW w:w="1276" w:type="dxa"/>
            <w:vAlign w:val="bottom"/>
          </w:tcPr>
          <w:p w14:paraId="793D6AD3">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0.016 </w:t>
            </w:r>
          </w:p>
        </w:tc>
        <w:tc>
          <w:tcPr>
            <w:tcW w:w="708" w:type="dxa"/>
            <w:vAlign w:val="bottom"/>
          </w:tcPr>
          <w:p w14:paraId="4438147E">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0.004 </w:t>
            </w:r>
          </w:p>
        </w:tc>
        <w:tc>
          <w:tcPr>
            <w:tcW w:w="851" w:type="dxa"/>
            <w:vAlign w:val="center"/>
          </w:tcPr>
          <w:p w14:paraId="3676F8B8">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100</w:t>
            </w:r>
          </w:p>
        </w:tc>
        <w:tc>
          <w:tcPr>
            <w:tcW w:w="850" w:type="dxa"/>
            <w:vAlign w:val="center"/>
          </w:tcPr>
          <w:p w14:paraId="0D30879C">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19CF1A34">
            <w:pPr>
              <w:widowControl/>
              <w:autoSpaceDE/>
              <w:autoSpaceDN/>
              <w:spacing w:line="320" w:lineRule="exact"/>
              <w:jc w:val="center"/>
              <w:textAlignment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03144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10A5C2EE">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砷</w:t>
            </w:r>
          </w:p>
        </w:tc>
        <w:tc>
          <w:tcPr>
            <w:tcW w:w="708" w:type="dxa"/>
            <w:vAlign w:val="center"/>
          </w:tcPr>
          <w:p w14:paraId="4233D9F6">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w:t>
            </w:r>
          </w:p>
        </w:tc>
        <w:tc>
          <w:tcPr>
            <w:tcW w:w="1276" w:type="dxa"/>
            <w:vAlign w:val="bottom"/>
          </w:tcPr>
          <w:p w14:paraId="5A3D805E">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3.37 </w:t>
            </w:r>
          </w:p>
        </w:tc>
        <w:tc>
          <w:tcPr>
            <w:tcW w:w="1276" w:type="dxa"/>
            <w:vAlign w:val="bottom"/>
          </w:tcPr>
          <w:p w14:paraId="0472735D">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3.21 </w:t>
            </w:r>
          </w:p>
        </w:tc>
        <w:tc>
          <w:tcPr>
            <w:tcW w:w="1276" w:type="dxa"/>
            <w:vAlign w:val="bottom"/>
          </w:tcPr>
          <w:p w14:paraId="35C068C3">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3.288 </w:t>
            </w:r>
          </w:p>
        </w:tc>
        <w:tc>
          <w:tcPr>
            <w:tcW w:w="708" w:type="dxa"/>
            <w:vAlign w:val="bottom"/>
          </w:tcPr>
          <w:p w14:paraId="317FE099">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0.08 </w:t>
            </w:r>
          </w:p>
        </w:tc>
        <w:tc>
          <w:tcPr>
            <w:tcW w:w="851" w:type="dxa"/>
            <w:vAlign w:val="center"/>
          </w:tcPr>
          <w:p w14:paraId="11D82CAB">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100</w:t>
            </w:r>
          </w:p>
        </w:tc>
        <w:tc>
          <w:tcPr>
            <w:tcW w:w="850" w:type="dxa"/>
            <w:vAlign w:val="center"/>
          </w:tcPr>
          <w:p w14:paraId="2D3662DB">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1A7B3105">
            <w:pPr>
              <w:widowControl/>
              <w:autoSpaceDE/>
              <w:autoSpaceDN/>
              <w:spacing w:line="320" w:lineRule="exact"/>
              <w:jc w:val="center"/>
              <w:textAlignment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026A0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3D23D5B3">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铅</w:t>
            </w:r>
          </w:p>
        </w:tc>
        <w:tc>
          <w:tcPr>
            <w:tcW w:w="708" w:type="dxa"/>
            <w:vAlign w:val="center"/>
          </w:tcPr>
          <w:p w14:paraId="22CA0F72">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w:t>
            </w:r>
          </w:p>
        </w:tc>
        <w:tc>
          <w:tcPr>
            <w:tcW w:w="1276" w:type="dxa"/>
            <w:vAlign w:val="bottom"/>
          </w:tcPr>
          <w:p w14:paraId="3CBF439C">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19 </w:t>
            </w:r>
          </w:p>
        </w:tc>
        <w:tc>
          <w:tcPr>
            <w:tcW w:w="1276" w:type="dxa"/>
            <w:vAlign w:val="bottom"/>
          </w:tcPr>
          <w:p w14:paraId="10917E2F">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14 </w:t>
            </w:r>
          </w:p>
        </w:tc>
        <w:tc>
          <w:tcPr>
            <w:tcW w:w="1276" w:type="dxa"/>
            <w:vAlign w:val="bottom"/>
          </w:tcPr>
          <w:p w14:paraId="38A281A1">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16.4 </w:t>
            </w:r>
          </w:p>
        </w:tc>
        <w:tc>
          <w:tcPr>
            <w:tcW w:w="708" w:type="dxa"/>
            <w:vAlign w:val="bottom"/>
          </w:tcPr>
          <w:p w14:paraId="4D53CBF0">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2.517 </w:t>
            </w:r>
          </w:p>
        </w:tc>
        <w:tc>
          <w:tcPr>
            <w:tcW w:w="851" w:type="dxa"/>
            <w:vAlign w:val="center"/>
          </w:tcPr>
          <w:p w14:paraId="22C396D9">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100</w:t>
            </w:r>
          </w:p>
        </w:tc>
        <w:tc>
          <w:tcPr>
            <w:tcW w:w="850" w:type="dxa"/>
            <w:vAlign w:val="center"/>
          </w:tcPr>
          <w:p w14:paraId="447EC272">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4DF6716B">
            <w:pPr>
              <w:widowControl/>
              <w:autoSpaceDE/>
              <w:autoSpaceDN/>
              <w:spacing w:line="320" w:lineRule="exact"/>
              <w:jc w:val="center"/>
              <w:textAlignment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4AA90B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387C43FE">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铬</w:t>
            </w:r>
          </w:p>
        </w:tc>
        <w:tc>
          <w:tcPr>
            <w:tcW w:w="708" w:type="dxa"/>
            <w:vAlign w:val="center"/>
          </w:tcPr>
          <w:p w14:paraId="124937FA">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w:t>
            </w:r>
          </w:p>
        </w:tc>
        <w:tc>
          <w:tcPr>
            <w:tcW w:w="1276" w:type="dxa"/>
            <w:vAlign w:val="bottom"/>
          </w:tcPr>
          <w:p w14:paraId="1DF52DFD">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50 </w:t>
            </w:r>
          </w:p>
        </w:tc>
        <w:tc>
          <w:tcPr>
            <w:tcW w:w="1276" w:type="dxa"/>
            <w:vAlign w:val="bottom"/>
          </w:tcPr>
          <w:p w14:paraId="61F21747">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41 </w:t>
            </w:r>
          </w:p>
        </w:tc>
        <w:tc>
          <w:tcPr>
            <w:tcW w:w="1276" w:type="dxa"/>
            <w:vAlign w:val="bottom"/>
          </w:tcPr>
          <w:p w14:paraId="1F73ECDD">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45.8 </w:t>
            </w:r>
          </w:p>
        </w:tc>
        <w:tc>
          <w:tcPr>
            <w:tcW w:w="708" w:type="dxa"/>
            <w:vAlign w:val="bottom"/>
          </w:tcPr>
          <w:p w14:paraId="3D52AD9B">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4.583 </w:t>
            </w:r>
          </w:p>
        </w:tc>
        <w:tc>
          <w:tcPr>
            <w:tcW w:w="851" w:type="dxa"/>
            <w:vAlign w:val="center"/>
          </w:tcPr>
          <w:p w14:paraId="27DAEC8D">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100</w:t>
            </w:r>
          </w:p>
        </w:tc>
        <w:tc>
          <w:tcPr>
            <w:tcW w:w="850" w:type="dxa"/>
            <w:vAlign w:val="center"/>
          </w:tcPr>
          <w:p w14:paraId="14B19D84">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7CF47E95">
            <w:pPr>
              <w:widowControl/>
              <w:autoSpaceDE/>
              <w:autoSpaceDN/>
              <w:spacing w:line="320" w:lineRule="exact"/>
              <w:jc w:val="center"/>
              <w:textAlignment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301D4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523379C5">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铜</w:t>
            </w:r>
          </w:p>
        </w:tc>
        <w:tc>
          <w:tcPr>
            <w:tcW w:w="708" w:type="dxa"/>
            <w:vAlign w:val="center"/>
          </w:tcPr>
          <w:p w14:paraId="1BD351EF">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w:t>
            </w:r>
          </w:p>
        </w:tc>
        <w:tc>
          <w:tcPr>
            <w:tcW w:w="1276" w:type="dxa"/>
            <w:vAlign w:val="bottom"/>
          </w:tcPr>
          <w:p w14:paraId="14FB0FB9">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18 </w:t>
            </w:r>
          </w:p>
        </w:tc>
        <w:tc>
          <w:tcPr>
            <w:tcW w:w="1276" w:type="dxa"/>
            <w:vAlign w:val="bottom"/>
          </w:tcPr>
          <w:p w14:paraId="7E96F422">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14 </w:t>
            </w:r>
          </w:p>
        </w:tc>
        <w:tc>
          <w:tcPr>
            <w:tcW w:w="1276" w:type="dxa"/>
            <w:vAlign w:val="bottom"/>
          </w:tcPr>
          <w:p w14:paraId="0020CAF2">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16 </w:t>
            </w:r>
          </w:p>
        </w:tc>
        <w:tc>
          <w:tcPr>
            <w:tcW w:w="708" w:type="dxa"/>
            <w:vAlign w:val="bottom"/>
          </w:tcPr>
          <w:p w14:paraId="05164C82">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2 </w:t>
            </w:r>
          </w:p>
        </w:tc>
        <w:tc>
          <w:tcPr>
            <w:tcW w:w="851" w:type="dxa"/>
            <w:vAlign w:val="center"/>
          </w:tcPr>
          <w:p w14:paraId="4381B93F">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100</w:t>
            </w:r>
          </w:p>
        </w:tc>
        <w:tc>
          <w:tcPr>
            <w:tcW w:w="850" w:type="dxa"/>
            <w:vAlign w:val="center"/>
          </w:tcPr>
          <w:p w14:paraId="62AC7991">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0DC094E8">
            <w:pPr>
              <w:widowControl/>
              <w:autoSpaceDE/>
              <w:autoSpaceDN/>
              <w:spacing w:line="320" w:lineRule="exact"/>
              <w:jc w:val="center"/>
              <w:textAlignment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1DE25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6ED1D8E5">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镍</w:t>
            </w:r>
          </w:p>
        </w:tc>
        <w:tc>
          <w:tcPr>
            <w:tcW w:w="708" w:type="dxa"/>
            <w:vAlign w:val="center"/>
          </w:tcPr>
          <w:p w14:paraId="037AAA01">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w:t>
            </w:r>
          </w:p>
        </w:tc>
        <w:tc>
          <w:tcPr>
            <w:tcW w:w="1276" w:type="dxa"/>
            <w:vAlign w:val="bottom"/>
          </w:tcPr>
          <w:p w14:paraId="13D88F8E">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22 </w:t>
            </w:r>
          </w:p>
        </w:tc>
        <w:tc>
          <w:tcPr>
            <w:tcW w:w="1276" w:type="dxa"/>
            <w:vAlign w:val="bottom"/>
          </w:tcPr>
          <w:p w14:paraId="7607EDFC">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18 </w:t>
            </w:r>
          </w:p>
        </w:tc>
        <w:tc>
          <w:tcPr>
            <w:tcW w:w="1276" w:type="dxa"/>
            <w:vAlign w:val="bottom"/>
          </w:tcPr>
          <w:p w14:paraId="2941CD9E">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20 </w:t>
            </w:r>
          </w:p>
        </w:tc>
        <w:tc>
          <w:tcPr>
            <w:tcW w:w="708" w:type="dxa"/>
            <w:vAlign w:val="bottom"/>
          </w:tcPr>
          <w:p w14:paraId="5C79DD9F">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2 </w:t>
            </w:r>
          </w:p>
        </w:tc>
        <w:tc>
          <w:tcPr>
            <w:tcW w:w="851" w:type="dxa"/>
            <w:vAlign w:val="center"/>
          </w:tcPr>
          <w:p w14:paraId="4A37F195">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100</w:t>
            </w:r>
          </w:p>
        </w:tc>
        <w:tc>
          <w:tcPr>
            <w:tcW w:w="850" w:type="dxa"/>
            <w:vAlign w:val="center"/>
          </w:tcPr>
          <w:p w14:paraId="5F3BAC48">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0F4D271E">
            <w:pPr>
              <w:widowControl/>
              <w:autoSpaceDE/>
              <w:autoSpaceDN/>
              <w:spacing w:line="320" w:lineRule="exact"/>
              <w:jc w:val="center"/>
              <w:textAlignment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71C8D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10643AB4">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锌</w:t>
            </w:r>
          </w:p>
        </w:tc>
        <w:tc>
          <w:tcPr>
            <w:tcW w:w="708" w:type="dxa"/>
            <w:vAlign w:val="center"/>
          </w:tcPr>
          <w:p w14:paraId="702CD6D7">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w:t>
            </w:r>
          </w:p>
        </w:tc>
        <w:tc>
          <w:tcPr>
            <w:tcW w:w="1276" w:type="dxa"/>
            <w:vAlign w:val="bottom"/>
          </w:tcPr>
          <w:p w14:paraId="033AF2F1">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62.000 </w:t>
            </w:r>
          </w:p>
        </w:tc>
        <w:tc>
          <w:tcPr>
            <w:tcW w:w="1276" w:type="dxa"/>
            <w:vAlign w:val="bottom"/>
          </w:tcPr>
          <w:p w14:paraId="0786AC58">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49.000 </w:t>
            </w:r>
          </w:p>
        </w:tc>
        <w:tc>
          <w:tcPr>
            <w:tcW w:w="1276" w:type="dxa"/>
            <w:vAlign w:val="bottom"/>
          </w:tcPr>
          <w:p w14:paraId="548E6690">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55 </w:t>
            </w:r>
          </w:p>
        </w:tc>
        <w:tc>
          <w:tcPr>
            <w:tcW w:w="708" w:type="dxa"/>
            <w:vAlign w:val="bottom"/>
          </w:tcPr>
          <w:p w14:paraId="760194CA">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6.658 </w:t>
            </w:r>
          </w:p>
        </w:tc>
        <w:tc>
          <w:tcPr>
            <w:tcW w:w="851" w:type="dxa"/>
            <w:vAlign w:val="center"/>
          </w:tcPr>
          <w:p w14:paraId="35B60F48">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100</w:t>
            </w:r>
          </w:p>
        </w:tc>
        <w:tc>
          <w:tcPr>
            <w:tcW w:w="850" w:type="dxa"/>
            <w:vAlign w:val="center"/>
          </w:tcPr>
          <w:p w14:paraId="2475076A">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38AA2136">
            <w:pPr>
              <w:widowControl/>
              <w:autoSpaceDE/>
              <w:autoSpaceDN/>
              <w:spacing w:line="320" w:lineRule="exact"/>
              <w:jc w:val="center"/>
              <w:textAlignment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r w14:paraId="1C453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vAlign w:val="center"/>
          </w:tcPr>
          <w:p w14:paraId="4099BC68">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石油烃</w:t>
            </w:r>
          </w:p>
        </w:tc>
        <w:tc>
          <w:tcPr>
            <w:tcW w:w="708" w:type="dxa"/>
            <w:vAlign w:val="center"/>
          </w:tcPr>
          <w:p w14:paraId="64DDB121">
            <w:pPr>
              <w:widowControl/>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w:t>
            </w:r>
          </w:p>
        </w:tc>
        <w:tc>
          <w:tcPr>
            <w:tcW w:w="1276" w:type="dxa"/>
            <w:vAlign w:val="center"/>
          </w:tcPr>
          <w:p w14:paraId="27E1268A">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03905706">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1276" w:type="dxa"/>
            <w:vAlign w:val="center"/>
          </w:tcPr>
          <w:p w14:paraId="53674151">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未检出</w:t>
            </w:r>
          </w:p>
        </w:tc>
        <w:tc>
          <w:tcPr>
            <w:tcW w:w="708" w:type="dxa"/>
            <w:vAlign w:val="center"/>
          </w:tcPr>
          <w:p w14:paraId="3B41ACD9">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c>
          <w:tcPr>
            <w:tcW w:w="851" w:type="dxa"/>
            <w:vAlign w:val="center"/>
          </w:tcPr>
          <w:p w14:paraId="6190D44D">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850" w:type="dxa"/>
            <w:vAlign w:val="center"/>
          </w:tcPr>
          <w:p w14:paraId="0C2D7527">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w:t>
            </w:r>
          </w:p>
        </w:tc>
        <w:tc>
          <w:tcPr>
            <w:tcW w:w="785" w:type="dxa"/>
            <w:vAlign w:val="center"/>
          </w:tcPr>
          <w:p w14:paraId="46F41137">
            <w:pPr>
              <w:widowControl/>
              <w:autoSpaceDE/>
              <w:autoSpaceDN/>
              <w:spacing w:line="320" w:lineRule="exact"/>
              <w:jc w:val="center"/>
              <w:textAlignment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w:t>
            </w:r>
          </w:p>
        </w:tc>
      </w:tr>
    </w:tbl>
    <w:p w14:paraId="27AA86C2">
      <w:pPr>
        <w:widowControl/>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（4）评价结论</w:t>
      </w:r>
    </w:p>
    <w:p w14:paraId="54007F31">
      <w:pPr>
        <w:autoSpaceDE/>
        <w:autoSpaceDN/>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从表中可以看出，评价区域内土壤环境质量较好，没有出现超标情况。本项目永久占地内土壤满足《土壤环境质量 建设用地土壤污染风险管控标准（试行）》（GB36600-2018）中表1建设用地土壤污染风险筛选值（基本项目）中第二类用地筛选值标准，以及表2（其他项目）中第二类用地筛选值标准；评价范围内居住区土壤满足《土壤环境质量 建设用地土壤污染风险管控标准（试行）》（GB36600-2018）中表1建设用地土壤污染风险筛选值（基本项目）中第一类用地筛选值标准，以及表2（其他项目）中第一类用地筛选值标准；评价范围内农用地土壤满足《土壤环境质量 农用地土壤污染风险管控标准（试行）》（GB15618-2018）表1农用地土壤风险筛选值（基本项目）中标准。</w:t>
      </w:r>
    </w:p>
    <w:p w14:paraId="7751195E">
      <w:pPr>
        <w:pStyle w:val="101"/>
        <w:spacing w:before="120" w:after="48"/>
        <w:rPr>
          <w:color w:val="000000" w:themeColor="text1"/>
          <w14:textFill>
            <w14:solidFill>
              <w14:schemeClr w14:val="tx1"/>
            </w14:solidFill>
          </w14:textFill>
        </w:rPr>
      </w:pPr>
    </w:p>
    <w:p w14:paraId="321C55EA">
      <w:pPr>
        <w:autoSpaceDE/>
        <w:autoSpaceDN/>
        <w:spacing w:line="440" w:lineRule="exact"/>
        <w:jc w:val="both"/>
        <w:outlineLvl w:val="2"/>
        <w:rPr>
          <w:rFonts w:ascii="Times New Roman" w:hAnsi="Times New Roman" w:cs="Times New Roman" w:eastAsiaTheme="minorEastAsia"/>
          <w:b/>
          <w:bCs/>
          <w:color w:val="000000" w:themeColor="text1"/>
          <w:w w:val="99"/>
          <w:kern w:val="2"/>
          <w:sz w:val="24"/>
          <w:szCs w:val="24"/>
          <w:lang w:val="en-US" w:bidi="ar-SA"/>
          <w14:textFill>
            <w14:solidFill>
              <w14:schemeClr w14:val="tx1"/>
            </w14:solidFill>
          </w14:textFill>
        </w:rPr>
      </w:pPr>
      <w:bookmarkStart w:id="374" w:name="_Toc12972"/>
      <w:bookmarkStart w:id="375" w:name="_Toc106810341"/>
      <w:bookmarkStart w:id="376" w:name="_Toc57976711"/>
      <w:bookmarkStart w:id="377" w:name="_Toc84929276"/>
      <w:bookmarkStart w:id="378" w:name="_Toc77067702"/>
      <w:bookmarkStart w:id="379" w:name="_Toc61597275"/>
      <w:bookmarkStart w:id="380" w:name="_Toc100822155"/>
      <w:bookmarkStart w:id="381" w:name="_Toc83209521"/>
      <w:bookmarkStart w:id="382" w:name="_Toc70050225"/>
      <w:bookmarkStart w:id="383" w:name="_Toc508022098"/>
      <w:bookmarkStart w:id="384" w:name="_Toc76976290"/>
      <w:bookmarkStart w:id="385" w:name="_Toc57203289"/>
      <w:bookmarkStart w:id="386" w:name="_Toc103610914"/>
      <w:bookmarkStart w:id="387" w:name="_Toc17898212"/>
      <w:bookmarkStart w:id="388" w:name="_Toc80588299"/>
      <w:bookmarkStart w:id="389" w:name="_Toc67860176"/>
      <w:bookmarkStart w:id="390" w:name="_Toc57707959"/>
      <w:bookmarkStart w:id="391" w:name="_Toc86141975"/>
      <w:bookmarkStart w:id="392" w:name="_Toc80971421"/>
      <w:bookmarkStart w:id="393" w:name="_Toc85640800"/>
      <w:bookmarkStart w:id="394" w:name="_Toc78816504"/>
      <w:bookmarkStart w:id="395" w:name="_Toc117794583"/>
      <w:bookmarkStart w:id="396" w:name="_Toc45678581"/>
      <w:bookmarkStart w:id="397" w:name="_Toc75075744"/>
      <w:bookmarkStart w:id="398" w:name="_Toc480447669"/>
      <w:bookmarkStart w:id="399" w:name="_Toc415146701"/>
      <w:bookmarkStart w:id="400" w:name="_Toc75075806"/>
      <w:bookmarkStart w:id="401" w:name="_Toc502736497"/>
      <w:bookmarkStart w:id="402" w:name="_Toc371751574"/>
      <w:r>
        <w:rPr>
          <w:rFonts w:ascii="Times New Roman" w:hAnsi="Times New Roman" w:cs="Times New Roman" w:eastAsiaTheme="minorEastAsia"/>
          <w:b/>
          <w:bCs/>
          <w:color w:val="000000" w:themeColor="text1"/>
          <w:w w:val="99"/>
          <w:kern w:val="2"/>
          <w:sz w:val="24"/>
          <w:szCs w:val="24"/>
          <w:lang w:val="en-US" w:bidi="ar-SA"/>
          <w14:textFill>
            <w14:solidFill>
              <w14:schemeClr w14:val="tx1"/>
            </w14:solidFill>
          </w14:textFill>
        </w:rPr>
        <w:t>4.3.6生态环境现状</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r>
        <w:rPr>
          <w:rFonts w:ascii="Times New Roman" w:hAnsi="Times New Roman" w:cs="Times New Roman" w:eastAsiaTheme="minorEastAsia"/>
          <w:b/>
          <w:bCs/>
          <w:color w:val="000000" w:themeColor="text1"/>
          <w:w w:val="99"/>
          <w:kern w:val="2"/>
          <w:sz w:val="24"/>
          <w:szCs w:val="24"/>
          <w:lang w:val="en-US" w:bidi="ar-SA"/>
          <w14:textFill>
            <w14:solidFill>
              <w14:schemeClr w14:val="tx1"/>
            </w14:solidFill>
          </w14:textFill>
        </w:rPr>
        <w:t>调查与评价</w:t>
      </w:r>
      <w:bookmarkEnd w:id="395"/>
    </w:p>
    <w:p w14:paraId="0418C70E">
      <w:pPr>
        <w:autoSpaceDE/>
        <w:autoSpaceDN/>
        <w:snapToGrid w:val="0"/>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bookmarkStart w:id="403" w:name="_Toc43686764"/>
      <w:bookmarkStart w:id="404" w:name="_Toc30114"/>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根据导则要求，本次生态现状调查以搜集有效资料为主，辅以现场调查。主要调查内容包括评价区土地利用现状情况、植被现状和野生动植物现状。</w:t>
      </w:r>
    </w:p>
    <w:bookmarkEnd w:id="403"/>
    <w:p w14:paraId="7D384319">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评价范围内土地类型主要为耕地、草地、林地、住宅用地及工业用地等，草地主要为一般草地，林地主要为其它林地，耕地主要为旱田。具体土地利用类型见表4.3-27，项目区域土地利用现状见附图15。</w:t>
      </w:r>
    </w:p>
    <w:p w14:paraId="72730BA4">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表4.3-27     评价区土地利用现状表</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30" w:type="dxa"/>
          <w:bottom w:w="0" w:type="dxa"/>
          <w:right w:w="30" w:type="dxa"/>
        </w:tblCellMar>
      </w:tblPr>
      <w:tblGrid>
        <w:gridCol w:w="707"/>
        <w:gridCol w:w="1859"/>
        <w:gridCol w:w="1859"/>
        <w:gridCol w:w="2000"/>
        <w:gridCol w:w="2706"/>
      </w:tblGrid>
      <w:tr w14:paraId="56210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387" w:type="pct"/>
            <w:vMerge w:val="restart"/>
            <w:vAlign w:val="center"/>
          </w:tcPr>
          <w:p w14:paraId="6F6B56F4">
            <w:pPr>
              <w:adjustRightInd w:val="0"/>
              <w:snapToGrid w:val="0"/>
              <w:spacing w:line="360" w:lineRule="exact"/>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序号</w:t>
            </w:r>
          </w:p>
        </w:tc>
        <w:tc>
          <w:tcPr>
            <w:tcW w:w="2036" w:type="pct"/>
            <w:gridSpan w:val="2"/>
            <w:vAlign w:val="center"/>
          </w:tcPr>
          <w:p w14:paraId="03F3CB66">
            <w:pPr>
              <w:spacing w:before="3" w:line="242" w:lineRule="auto"/>
              <w:ind w:left="143" w:right="110"/>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土地</w:t>
            </w:r>
            <w:r>
              <w:rPr>
                <w:rFonts w:ascii="Times New Roman" w:hAnsi="Times New Roman" w:cs="Times New Roman"/>
                <w:color w:val="000000" w:themeColor="text1"/>
                <w:w w:val="99"/>
                <w:kern w:val="2"/>
                <w:sz w:val="21"/>
                <w:szCs w:val="21"/>
                <w14:textFill>
                  <w14:solidFill>
                    <w14:schemeClr w14:val="tx1"/>
                  </w14:solidFill>
                </w14:textFill>
              </w:rPr>
              <w:t>类型</w:t>
            </w:r>
          </w:p>
        </w:tc>
        <w:tc>
          <w:tcPr>
            <w:tcW w:w="1095" w:type="pct"/>
            <w:vMerge w:val="restart"/>
            <w:vAlign w:val="center"/>
          </w:tcPr>
          <w:p w14:paraId="3ACECC2A">
            <w:pPr>
              <w:spacing w:before="137" w:line="242" w:lineRule="auto"/>
              <w:ind w:left="139" w:right="110"/>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面积（</w:t>
            </w:r>
            <w:r>
              <w:rPr>
                <w:rFonts w:ascii="Times New Roman" w:hAnsi="Times New Roman" w:cs="Times New Roman"/>
                <w:color w:val="000000" w:themeColor="text1"/>
                <w:w w:val="99"/>
                <w:kern w:val="2"/>
                <w:sz w:val="21"/>
                <w:szCs w:val="21"/>
                <w14:textFill>
                  <w14:solidFill>
                    <w14:schemeClr w14:val="tx1"/>
                  </w14:solidFill>
                </w14:textFill>
              </w:rPr>
              <w:t>hm</w:t>
            </w:r>
            <w:r>
              <w:rPr>
                <w:rFonts w:ascii="Times New Roman" w:hAnsi="Times New Roman" w:cs="Times New Roman"/>
                <w:color w:val="000000" w:themeColor="text1"/>
                <w:w w:val="99"/>
                <w:kern w:val="2"/>
                <w:sz w:val="21"/>
                <w:szCs w:val="21"/>
                <w:vertAlign w:val="superscript"/>
                <w14:textFill>
                  <w14:solidFill>
                    <w14:schemeClr w14:val="tx1"/>
                  </w14:solidFill>
                </w14:textFill>
              </w:rPr>
              <w:t>2</w:t>
            </w:r>
            <w:r>
              <w:rPr>
                <w:rFonts w:ascii="Times New Roman" w:hAnsi="Times New Roman" w:cs="Times New Roman"/>
                <w:color w:val="000000" w:themeColor="text1"/>
                <w:w w:val="99"/>
                <w:kern w:val="2"/>
                <w:sz w:val="21"/>
                <w:szCs w:val="21"/>
                <w14:textFill>
                  <w14:solidFill>
                    <w14:schemeClr w14:val="tx1"/>
                  </w14:solidFill>
                </w14:textFill>
              </w:rPr>
              <w:t>）</w:t>
            </w:r>
          </w:p>
        </w:tc>
        <w:tc>
          <w:tcPr>
            <w:tcW w:w="1482" w:type="pct"/>
            <w:vMerge w:val="restart"/>
            <w:vAlign w:val="center"/>
          </w:tcPr>
          <w:p w14:paraId="2A7B455F">
            <w:pPr>
              <w:spacing w:before="1" w:line="242" w:lineRule="auto"/>
              <w:ind w:left="163" w:right="139"/>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占评价区面积比例（</w:t>
            </w:r>
            <w:r>
              <w:rPr>
                <w:rFonts w:ascii="Times New Roman" w:hAnsi="Times New Roman" w:cs="Times New Roman"/>
                <w:color w:val="000000" w:themeColor="text1"/>
                <w:w w:val="99"/>
                <w:kern w:val="2"/>
                <w:sz w:val="21"/>
                <w:szCs w:val="21"/>
                <w14:textFill>
                  <w14:solidFill>
                    <w14:schemeClr w14:val="tx1"/>
                  </w14:solidFill>
                </w14:textFill>
              </w:rPr>
              <w:t>%）</w:t>
            </w:r>
          </w:p>
        </w:tc>
      </w:tr>
      <w:tr w14:paraId="2320B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387" w:type="pct"/>
            <w:vMerge w:val="continue"/>
            <w:vAlign w:val="center"/>
          </w:tcPr>
          <w:p w14:paraId="4BFEB245">
            <w:pPr>
              <w:adjustRightInd w:val="0"/>
              <w:snapToGrid w:val="0"/>
              <w:spacing w:line="360" w:lineRule="exact"/>
              <w:jc w:val="center"/>
              <w:rPr>
                <w:rFonts w:ascii="Times New Roman" w:hAnsi="Times New Roman" w:cs="Times New Roman"/>
                <w:color w:val="000000" w:themeColor="text1"/>
                <w:w w:val="99"/>
                <w:kern w:val="2"/>
                <w:sz w:val="21"/>
                <w:szCs w:val="21"/>
                <w14:textFill>
                  <w14:solidFill>
                    <w14:schemeClr w14:val="tx1"/>
                  </w14:solidFill>
                </w14:textFill>
              </w:rPr>
            </w:pPr>
          </w:p>
        </w:tc>
        <w:tc>
          <w:tcPr>
            <w:tcW w:w="1018" w:type="pct"/>
            <w:vAlign w:val="center"/>
          </w:tcPr>
          <w:p w14:paraId="0509E4A6">
            <w:pPr>
              <w:adjustRightInd w:val="0"/>
              <w:snapToGrid w:val="0"/>
              <w:spacing w:line="360" w:lineRule="exact"/>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一级类</w:t>
            </w:r>
          </w:p>
        </w:tc>
        <w:tc>
          <w:tcPr>
            <w:tcW w:w="1018" w:type="pct"/>
            <w:vAlign w:val="center"/>
          </w:tcPr>
          <w:p w14:paraId="67957723">
            <w:pPr>
              <w:spacing w:before="3" w:line="242" w:lineRule="auto"/>
              <w:ind w:left="143" w:right="110"/>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二级类</w:t>
            </w:r>
          </w:p>
        </w:tc>
        <w:tc>
          <w:tcPr>
            <w:tcW w:w="1095" w:type="pct"/>
            <w:vMerge w:val="continue"/>
            <w:vAlign w:val="center"/>
          </w:tcPr>
          <w:p w14:paraId="6C087AD0">
            <w:pPr>
              <w:spacing w:before="137" w:line="242" w:lineRule="auto"/>
              <w:ind w:left="139" w:right="110"/>
              <w:jc w:val="center"/>
              <w:rPr>
                <w:rFonts w:ascii="Times New Roman" w:hAnsi="Times New Roman" w:cs="Times New Roman"/>
                <w:color w:val="000000" w:themeColor="text1"/>
                <w:w w:val="99"/>
                <w:kern w:val="2"/>
                <w:sz w:val="21"/>
                <w:szCs w:val="21"/>
                <w14:textFill>
                  <w14:solidFill>
                    <w14:schemeClr w14:val="tx1"/>
                  </w14:solidFill>
                </w14:textFill>
              </w:rPr>
            </w:pPr>
          </w:p>
        </w:tc>
        <w:tc>
          <w:tcPr>
            <w:tcW w:w="1482" w:type="pct"/>
            <w:vMerge w:val="continue"/>
            <w:vAlign w:val="center"/>
          </w:tcPr>
          <w:p w14:paraId="1C5C7C7E">
            <w:pPr>
              <w:spacing w:before="1" w:line="242" w:lineRule="auto"/>
              <w:ind w:left="163" w:right="139"/>
              <w:jc w:val="center"/>
              <w:rPr>
                <w:rFonts w:ascii="Times New Roman" w:hAnsi="Times New Roman" w:cs="Times New Roman"/>
                <w:color w:val="000000" w:themeColor="text1"/>
                <w:w w:val="99"/>
                <w:kern w:val="2"/>
                <w:sz w:val="21"/>
                <w:szCs w:val="21"/>
                <w14:textFill>
                  <w14:solidFill>
                    <w14:schemeClr w14:val="tx1"/>
                  </w14:solidFill>
                </w14:textFill>
              </w:rPr>
            </w:pPr>
          </w:p>
        </w:tc>
      </w:tr>
      <w:tr w14:paraId="7874F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387" w:type="pct"/>
            <w:vAlign w:val="center"/>
          </w:tcPr>
          <w:p w14:paraId="39E1B75D">
            <w:pPr>
              <w:adjustRightInd w:val="0"/>
              <w:snapToGrid w:val="0"/>
              <w:spacing w:line="360" w:lineRule="exact"/>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1</w:t>
            </w:r>
          </w:p>
        </w:tc>
        <w:tc>
          <w:tcPr>
            <w:tcW w:w="1018" w:type="pct"/>
            <w:vAlign w:val="center"/>
          </w:tcPr>
          <w:p w14:paraId="234450C4">
            <w:pPr>
              <w:adjustRightInd w:val="0"/>
              <w:snapToGrid w:val="0"/>
              <w:spacing w:line="360" w:lineRule="exact"/>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林地</w:t>
            </w:r>
          </w:p>
        </w:tc>
        <w:tc>
          <w:tcPr>
            <w:tcW w:w="1018" w:type="pct"/>
            <w:vAlign w:val="center"/>
          </w:tcPr>
          <w:p w14:paraId="0EDB2AD9">
            <w:pPr>
              <w:spacing w:before="3" w:line="242" w:lineRule="auto"/>
              <w:ind w:left="143" w:right="110"/>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其他林地</w:t>
            </w:r>
          </w:p>
        </w:tc>
        <w:tc>
          <w:tcPr>
            <w:tcW w:w="1095" w:type="pct"/>
            <w:vAlign w:val="center"/>
          </w:tcPr>
          <w:p w14:paraId="090790CA">
            <w:pPr>
              <w:spacing w:before="137" w:line="242" w:lineRule="auto"/>
              <w:ind w:left="139" w:right="110"/>
              <w:jc w:val="center"/>
              <w:rPr>
                <w:rFonts w:ascii="Times New Roman" w:hAnsi="Times New Roman" w:cs="Times New Roman"/>
                <w:color w:val="000000" w:themeColor="text1"/>
                <w:w w:val="99"/>
                <w:kern w:val="2"/>
                <w:sz w:val="21"/>
                <w:szCs w:val="21"/>
                <w14:textFill>
                  <w14:solidFill>
                    <w14:schemeClr w14:val="tx1"/>
                  </w14:solidFill>
                </w14:textFill>
              </w:rPr>
            </w:pPr>
            <w:r>
              <w:rPr>
                <w:rFonts w:ascii="Times New Roman" w:hAnsi="Times New Roman" w:cs="Times New Roman"/>
                <w:color w:val="000000" w:themeColor="text1"/>
                <w:w w:val="99"/>
                <w:kern w:val="2"/>
                <w:sz w:val="21"/>
                <w:szCs w:val="21"/>
                <w14:textFill>
                  <w14:solidFill>
                    <w14:schemeClr w14:val="tx1"/>
                  </w14:solidFill>
                </w14:textFill>
              </w:rPr>
              <w:t>193.37</w:t>
            </w:r>
          </w:p>
        </w:tc>
        <w:tc>
          <w:tcPr>
            <w:tcW w:w="1482" w:type="pct"/>
            <w:vAlign w:val="center"/>
          </w:tcPr>
          <w:p w14:paraId="024A5394">
            <w:pPr>
              <w:spacing w:before="1" w:line="242" w:lineRule="auto"/>
              <w:ind w:left="163" w:right="139"/>
              <w:jc w:val="center"/>
              <w:rPr>
                <w:rFonts w:ascii="Times New Roman" w:hAnsi="Times New Roman" w:cs="Times New Roman"/>
                <w:color w:val="000000" w:themeColor="text1"/>
                <w:w w:val="99"/>
                <w:kern w:val="2"/>
                <w:sz w:val="21"/>
                <w:szCs w:val="21"/>
                <w14:textFill>
                  <w14:solidFill>
                    <w14:schemeClr w14:val="tx1"/>
                  </w14:solidFill>
                </w14:textFill>
              </w:rPr>
            </w:pPr>
            <w:r>
              <w:rPr>
                <w:rFonts w:ascii="Times New Roman" w:hAnsi="Times New Roman" w:cs="Times New Roman"/>
                <w:color w:val="000000" w:themeColor="text1"/>
                <w:w w:val="99"/>
                <w:kern w:val="2"/>
                <w:sz w:val="21"/>
                <w:szCs w:val="21"/>
                <w14:textFill>
                  <w14:solidFill>
                    <w14:schemeClr w14:val="tx1"/>
                  </w14:solidFill>
                </w14:textFill>
              </w:rPr>
              <w:t>14.67</w:t>
            </w:r>
          </w:p>
        </w:tc>
      </w:tr>
      <w:tr w14:paraId="07C8C1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387" w:type="pct"/>
            <w:vAlign w:val="center"/>
          </w:tcPr>
          <w:p w14:paraId="3B6B53FA">
            <w:pPr>
              <w:adjustRightInd w:val="0"/>
              <w:snapToGrid w:val="0"/>
              <w:spacing w:line="360" w:lineRule="exact"/>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2</w:t>
            </w:r>
          </w:p>
        </w:tc>
        <w:tc>
          <w:tcPr>
            <w:tcW w:w="1018" w:type="pct"/>
            <w:vAlign w:val="center"/>
          </w:tcPr>
          <w:p w14:paraId="1F816BF9">
            <w:pPr>
              <w:adjustRightInd w:val="0"/>
              <w:snapToGrid w:val="0"/>
              <w:spacing w:line="360" w:lineRule="exact"/>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耕地</w:t>
            </w:r>
          </w:p>
        </w:tc>
        <w:tc>
          <w:tcPr>
            <w:tcW w:w="1018" w:type="pct"/>
            <w:vAlign w:val="center"/>
          </w:tcPr>
          <w:p w14:paraId="4317F43E">
            <w:pPr>
              <w:spacing w:before="3" w:line="242" w:lineRule="auto"/>
              <w:ind w:left="143" w:right="110"/>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旱地</w:t>
            </w:r>
          </w:p>
        </w:tc>
        <w:tc>
          <w:tcPr>
            <w:tcW w:w="1095" w:type="pct"/>
            <w:vAlign w:val="center"/>
          </w:tcPr>
          <w:p w14:paraId="0901BEA0">
            <w:pPr>
              <w:spacing w:before="137" w:line="242" w:lineRule="auto"/>
              <w:ind w:left="139" w:right="110"/>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6</w:t>
            </w:r>
            <w:r>
              <w:rPr>
                <w:rFonts w:ascii="Times New Roman" w:hAnsi="Times New Roman" w:cs="Times New Roman"/>
                <w:color w:val="000000" w:themeColor="text1"/>
                <w:w w:val="99"/>
                <w:kern w:val="2"/>
                <w:sz w:val="21"/>
                <w:szCs w:val="21"/>
                <w14:textFill>
                  <w14:solidFill>
                    <w14:schemeClr w14:val="tx1"/>
                  </w14:solidFill>
                </w14:textFill>
              </w:rPr>
              <w:t>49.68</w:t>
            </w:r>
          </w:p>
        </w:tc>
        <w:tc>
          <w:tcPr>
            <w:tcW w:w="1482" w:type="pct"/>
            <w:vAlign w:val="center"/>
          </w:tcPr>
          <w:p w14:paraId="22FABA45">
            <w:pPr>
              <w:spacing w:before="1" w:line="242" w:lineRule="auto"/>
              <w:ind w:left="163" w:right="139"/>
              <w:jc w:val="center"/>
              <w:rPr>
                <w:rFonts w:ascii="Times New Roman" w:hAnsi="Times New Roman" w:cs="Times New Roman"/>
                <w:color w:val="000000" w:themeColor="text1"/>
                <w:w w:val="99"/>
                <w:kern w:val="2"/>
                <w:sz w:val="21"/>
                <w:szCs w:val="21"/>
                <w14:textFill>
                  <w14:solidFill>
                    <w14:schemeClr w14:val="tx1"/>
                  </w14:solidFill>
                </w14:textFill>
              </w:rPr>
            </w:pPr>
            <w:r>
              <w:rPr>
                <w:rFonts w:ascii="Times New Roman" w:hAnsi="Times New Roman" w:cs="Times New Roman"/>
                <w:color w:val="000000" w:themeColor="text1"/>
                <w:w w:val="99"/>
                <w:kern w:val="2"/>
                <w:sz w:val="21"/>
                <w:szCs w:val="21"/>
                <w14:textFill>
                  <w14:solidFill>
                    <w14:schemeClr w14:val="tx1"/>
                  </w14:solidFill>
                </w14:textFill>
              </w:rPr>
              <w:t>49.29</w:t>
            </w:r>
          </w:p>
        </w:tc>
      </w:tr>
      <w:tr w14:paraId="25608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387" w:type="pct"/>
            <w:vAlign w:val="center"/>
          </w:tcPr>
          <w:p w14:paraId="3BA5130F">
            <w:pPr>
              <w:adjustRightInd w:val="0"/>
              <w:snapToGrid w:val="0"/>
              <w:spacing w:line="360" w:lineRule="exact"/>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3</w:t>
            </w:r>
          </w:p>
        </w:tc>
        <w:tc>
          <w:tcPr>
            <w:tcW w:w="1018" w:type="pct"/>
            <w:vAlign w:val="center"/>
          </w:tcPr>
          <w:p w14:paraId="46D8EFA7">
            <w:pPr>
              <w:adjustRightInd w:val="0"/>
              <w:snapToGrid w:val="0"/>
              <w:spacing w:line="360" w:lineRule="exact"/>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草地</w:t>
            </w:r>
          </w:p>
        </w:tc>
        <w:tc>
          <w:tcPr>
            <w:tcW w:w="1018" w:type="pct"/>
            <w:vAlign w:val="center"/>
          </w:tcPr>
          <w:p w14:paraId="0B6EC545">
            <w:pPr>
              <w:spacing w:before="3" w:line="242" w:lineRule="auto"/>
              <w:ind w:left="143" w:right="110"/>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其他草地</w:t>
            </w:r>
          </w:p>
        </w:tc>
        <w:tc>
          <w:tcPr>
            <w:tcW w:w="1095" w:type="pct"/>
            <w:vAlign w:val="center"/>
          </w:tcPr>
          <w:p w14:paraId="33929540">
            <w:pPr>
              <w:spacing w:before="137" w:line="242" w:lineRule="auto"/>
              <w:ind w:left="139" w:right="110"/>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4</w:t>
            </w:r>
            <w:r>
              <w:rPr>
                <w:rFonts w:ascii="Times New Roman" w:hAnsi="Times New Roman" w:cs="Times New Roman"/>
                <w:color w:val="000000" w:themeColor="text1"/>
                <w:w w:val="99"/>
                <w:kern w:val="2"/>
                <w:sz w:val="21"/>
                <w:szCs w:val="21"/>
                <w14:textFill>
                  <w14:solidFill>
                    <w14:schemeClr w14:val="tx1"/>
                  </w14:solidFill>
                </w14:textFill>
              </w:rPr>
              <w:t>19.92</w:t>
            </w:r>
          </w:p>
        </w:tc>
        <w:tc>
          <w:tcPr>
            <w:tcW w:w="1482" w:type="pct"/>
            <w:vAlign w:val="center"/>
          </w:tcPr>
          <w:p w14:paraId="19748009">
            <w:pPr>
              <w:spacing w:before="1" w:line="242" w:lineRule="auto"/>
              <w:ind w:left="163" w:right="139"/>
              <w:jc w:val="center"/>
              <w:rPr>
                <w:rFonts w:ascii="Times New Roman" w:hAnsi="Times New Roman" w:cs="Times New Roman"/>
                <w:color w:val="000000" w:themeColor="text1"/>
                <w:w w:val="99"/>
                <w:kern w:val="2"/>
                <w:sz w:val="21"/>
                <w:szCs w:val="21"/>
                <w14:textFill>
                  <w14:solidFill>
                    <w14:schemeClr w14:val="tx1"/>
                  </w14:solidFill>
                </w14:textFill>
              </w:rPr>
            </w:pPr>
            <w:r>
              <w:rPr>
                <w:rFonts w:ascii="Times New Roman" w:hAnsi="Times New Roman" w:cs="Times New Roman"/>
                <w:color w:val="000000" w:themeColor="text1"/>
                <w:w w:val="99"/>
                <w:kern w:val="2"/>
                <w:sz w:val="21"/>
                <w:szCs w:val="21"/>
                <w14:textFill>
                  <w14:solidFill>
                    <w14:schemeClr w14:val="tx1"/>
                  </w14:solidFill>
                </w14:textFill>
              </w:rPr>
              <w:t>31.86</w:t>
            </w:r>
          </w:p>
        </w:tc>
      </w:tr>
      <w:tr w14:paraId="7A537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387" w:type="pct"/>
            <w:vAlign w:val="center"/>
          </w:tcPr>
          <w:p w14:paraId="04158C49">
            <w:pPr>
              <w:adjustRightInd w:val="0"/>
              <w:snapToGrid w:val="0"/>
              <w:spacing w:line="360" w:lineRule="exact"/>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4</w:t>
            </w:r>
          </w:p>
        </w:tc>
        <w:tc>
          <w:tcPr>
            <w:tcW w:w="1018" w:type="pct"/>
            <w:vAlign w:val="center"/>
          </w:tcPr>
          <w:p w14:paraId="49B38D2F">
            <w:pPr>
              <w:adjustRightInd w:val="0"/>
              <w:snapToGrid w:val="0"/>
              <w:spacing w:line="360" w:lineRule="exact"/>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工况</w:t>
            </w:r>
            <w:r>
              <w:rPr>
                <w:rFonts w:ascii="Times New Roman" w:hAnsi="Times New Roman" w:cs="Times New Roman"/>
                <w:color w:val="000000" w:themeColor="text1"/>
                <w:w w:val="99"/>
                <w:kern w:val="2"/>
                <w:sz w:val="21"/>
                <w:szCs w:val="21"/>
                <w14:textFill>
                  <w14:solidFill>
                    <w14:schemeClr w14:val="tx1"/>
                  </w14:solidFill>
                </w14:textFill>
              </w:rPr>
              <w:t>仓储用地</w:t>
            </w:r>
          </w:p>
        </w:tc>
        <w:tc>
          <w:tcPr>
            <w:tcW w:w="1018" w:type="pct"/>
            <w:vAlign w:val="center"/>
          </w:tcPr>
          <w:p w14:paraId="083C148D">
            <w:pPr>
              <w:spacing w:before="3" w:line="242" w:lineRule="auto"/>
              <w:ind w:left="143" w:right="110"/>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工业用地</w:t>
            </w:r>
          </w:p>
        </w:tc>
        <w:tc>
          <w:tcPr>
            <w:tcW w:w="1095" w:type="pct"/>
            <w:vAlign w:val="center"/>
          </w:tcPr>
          <w:p w14:paraId="03ED1BD9">
            <w:pPr>
              <w:spacing w:before="137" w:line="242" w:lineRule="auto"/>
              <w:ind w:left="139" w:right="110"/>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2</w:t>
            </w:r>
            <w:r>
              <w:rPr>
                <w:rFonts w:ascii="Times New Roman" w:hAnsi="Times New Roman" w:cs="Times New Roman"/>
                <w:color w:val="000000" w:themeColor="text1"/>
                <w:w w:val="99"/>
                <w:kern w:val="2"/>
                <w:sz w:val="21"/>
                <w:szCs w:val="21"/>
                <w14:textFill>
                  <w14:solidFill>
                    <w14:schemeClr w14:val="tx1"/>
                  </w14:solidFill>
                </w14:textFill>
              </w:rPr>
              <w:t>4.82</w:t>
            </w:r>
          </w:p>
        </w:tc>
        <w:tc>
          <w:tcPr>
            <w:tcW w:w="1482" w:type="pct"/>
            <w:vAlign w:val="center"/>
          </w:tcPr>
          <w:p w14:paraId="3A521745">
            <w:pPr>
              <w:spacing w:before="1" w:line="242" w:lineRule="auto"/>
              <w:ind w:left="163" w:right="139"/>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1</w:t>
            </w:r>
            <w:r>
              <w:rPr>
                <w:rFonts w:ascii="Times New Roman" w:hAnsi="Times New Roman" w:cs="Times New Roman"/>
                <w:color w:val="000000" w:themeColor="text1"/>
                <w:w w:val="99"/>
                <w:kern w:val="2"/>
                <w:sz w:val="21"/>
                <w:szCs w:val="21"/>
                <w14:textFill>
                  <w14:solidFill>
                    <w14:schemeClr w14:val="tx1"/>
                  </w14:solidFill>
                </w14:textFill>
              </w:rPr>
              <w:t>.88</w:t>
            </w:r>
          </w:p>
        </w:tc>
      </w:tr>
      <w:tr w14:paraId="46050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387" w:type="pct"/>
            <w:vAlign w:val="center"/>
          </w:tcPr>
          <w:p w14:paraId="6F28B79C">
            <w:pPr>
              <w:adjustRightInd w:val="0"/>
              <w:snapToGrid w:val="0"/>
              <w:spacing w:line="360" w:lineRule="exact"/>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5</w:t>
            </w:r>
          </w:p>
        </w:tc>
        <w:tc>
          <w:tcPr>
            <w:tcW w:w="1018" w:type="pct"/>
            <w:vAlign w:val="center"/>
          </w:tcPr>
          <w:p w14:paraId="0818D37C">
            <w:pPr>
              <w:adjustRightInd w:val="0"/>
              <w:snapToGrid w:val="0"/>
              <w:spacing w:line="360" w:lineRule="exact"/>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住宅</w:t>
            </w:r>
            <w:r>
              <w:rPr>
                <w:rFonts w:ascii="Times New Roman" w:hAnsi="Times New Roman" w:cs="Times New Roman"/>
                <w:color w:val="000000" w:themeColor="text1"/>
                <w:w w:val="99"/>
                <w:kern w:val="2"/>
                <w:sz w:val="21"/>
                <w:szCs w:val="21"/>
                <w14:textFill>
                  <w14:solidFill>
                    <w14:schemeClr w14:val="tx1"/>
                  </w14:solidFill>
                </w14:textFill>
              </w:rPr>
              <w:t>用地</w:t>
            </w:r>
          </w:p>
        </w:tc>
        <w:tc>
          <w:tcPr>
            <w:tcW w:w="1018" w:type="pct"/>
            <w:vAlign w:val="center"/>
          </w:tcPr>
          <w:p w14:paraId="3B76009B">
            <w:pPr>
              <w:spacing w:before="3" w:line="242" w:lineRule="auto"/>
              <w:ind w:left="143" w:right="110"/>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农村宅基地</w:t>
            </w:r>
          </w:p>
        </w:tc>
        <w:tc>
          <w:tcPr>
            <w:tcW w:w="1095" w:type="pct"/>
            <w:vAlign w:val="center"/>
          </w:tcPr>
          <w:p w14:paraId="39021BDE">
            <w:pPr>
              <w:spacing w:before="137" w:line="242" w:lineRule="auto"/>
              <w:ind w:left="139" w:right="110"/>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8</w:t>
            </w:r>
            <w:r>
              <w:rPr>
                <w:rFonts w:ascii="Times New Roman" w:hAnsi="Times New Roman" w:cs="Times New Roman"/>
                <w:color w:val="000000" w:themeColor="text1"/>
                <w:w w:val="99"/>
                <w:kern w:val="2"/>
                <w:sz w:val="21"/>
                <w:szCs w:val="21"/>
                <w14:textFill>
                  <w14:solidFill>
                    <w14:schemeClr w14:val="tx1"/>
                  </w14:solidFill>
                </w14:textFill>
              </w:rPr>
              <w:t>.3</w:t>
            </w:r>
          </w:p>
        </w:tc>
        <w:tc>
          <w:tcPr>
            <w:tcW w:w="1482" w:type="pct"/>
            <w:vAlign w:val="center"/>
          </w:tcPr>
          <w:p w14:paraId="20F3DA28">
            <w:pPr>
              <w:spacing w:before="1" w:line="242" w:lineRule="auto"/>
              <w:ind w:left="163" w:right="139"/>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0</w:t>
            </w:r>
            <w:r>
              <w:rPr>
                <w:rFonts w:ascii="Times New Roman" w:hAnsi="Times New Roman" w:cs="Times New Roman"/>
                <w:color w:val="000000" w:themeColor="text1"/>
                <w:w w:val="99"/>
                <w:kern w:val="2"/>
                <w:sz w:val="21"/>
                <w:szCs w:val="21"/>
                <w14:textFill>
                  <w14:solidFill>
                    <w14:schemeClr w14:val="tx1"/>
                  </w14:solidFill>
                </w14:textFill>
              </w:rPr>
              <w:t>.63</w:t>
            </w:r>
          </w:p>
        </w:tc>
      </w:tr>
      <w:tr w14:paraId="71EFF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387" w:type="pct"/>
            <w:vAlign w:val="center"/>
          </w:tcPr>
          <w:p w14:paraId="49FB953A">
            <w:pPr>
              <w:adjustRightInd w:val="0"/>
              <w:snapToGrid w:val="0"/>
              <w:spacing w:line="360" w:lineRule="exact"/>
              <w:jc w:val="center"/>
              <w:rPr>
                <w:rFonts w:ascii="Times New Roman" w:hAnsi="Times New Roman" w:cs="Times New Roman"/>
                <w:color w:val="000000" w:themeColor="text1"/>
                <w:w w:val="99"/>
                <w:kern w:val="2"/>
                <w:sz w:val="21"/>
                <w:szCs w:val="21"/>
                <w14:textFill>
                  <w14:solidFill>
                    <w14:schemeClr w14:val="tx1"/>
                  </w14:solidFill>
                </w14:textFill>
              </w:rPr>
            </w:pPr>
            <w:r>
              <w:rPr>
                <w:rFonts w:ascii="Times New Roman" w:hAnsi="Times New Roman" w:cs="Times New Roman"/>
                <w:color w:val="000000" w:themeColor="text1"/>
                <w:w w:val="99"/>
                <w:kern w:val="2"/>
                <w:sz w:val="21"/>
                <w:szCs w:val="21"/>
                <w14:textFill>
                  <w14:solidFill>
                    <w14:schemeClr w14:val="tx1"/>
                  </w14:solidFill>
                </w14:textFill>
              </w:rPr>
              <w:t>6</w:t>
            </w:r>
          </w:p>
        </w:tc>
        <w:tc>
          <w:tcPr>
            <w:tcW w:w="1018" w:type="pct"/>
            <w:vAlign w:val="center"/>
          </w:tcPr>
          <w:p w14:paraId="5398B2BA">
            <w:pPr>
              <w:adjustRightInd w:val="0"/>
              <w:snapToGrid w:val="0"/>
              <w:spacing w:line="360" w:lineRule="exact"/>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交通</w:t>
            </w:r>
            <w:r>
              <w:rPr>
                <w:rFonts w:ascii="Times New Roman" w:hAnsi="Times New Roman" w:cs="Times New Roman"/>
                <w:color w:val="000000" w:themeColor="text1"/>
                <w:w w:val="99"/>
                <w:kern w:val="2"/>
                <w:sz w:val="21"/>
                <w:szCs w:val="21"/>
                <w14:textFill>
                  <w14:solidFill>
                    <w14:schemeClr w14:val="tx1"/>
                  </w14:solidFill>
                </w14:textFill>
              </w:rPr>
              <w:t>运输用地</w:t>
            </w:r>
          </w:p>
        </w:tc>
        <w:tc>
          <w:tcPr>
            <w:tcW w:w="1018" w:type="pct"/>
            <w:vAlign w:val="center"/>
          </w:tcPr>
          <w:p w14:paraId="240D6F8D">
            <w:pPr>
              <w:spacing w:before="3" w:line="242" w:lineRule="auto"/>
              <w:ind w:left="143" w:right="110"/>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城镇</w:t>
            </w:r>
            <w:r>
              <w:rPr>
                <w:rFonts w:ascii="Times New Roman" w:hAnsi="Times New Roman" w:cs="Times New Roman"/>
                <w:color w:val="000000" w:themeColor="text1"/>
                <w:w w:val="99"/>
                <w:kern w:val="2"/>
                <w:sz w:val="21"/>
                <w:szCs w:val="21"/>
                <w14:textFill>
                  <w14:solidFill>
                    <w14:schemeClr w14:val="tx1"/>
                  </w14:solidFill>
                </w14:textFill>
              </w:rPr>
              <w:t>村道路用地</w:t>
            </w:r>
          </w:p>
        </w:tc>
        <w:tc>
          <w:tcPr>
            <w:tcW w:w="1095" w:type="pct"/>
            <w:vAlign w:val="center"/>
          </w:tcPr>
          <w:p w14:paraId="327D2FDE">
            <w:pPr>
              <w:spacing w:before="137" w:line="242" w:lineRule="auto"/>
              <w:ind w:left="139" w:right="110"/>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8</w:t>
            </w:r>
            <w:r>
              <w:rPr>
                <w:rFonts w:ascii="Times New Roman" w:hAnsi="Times New Roman" w:cs="Times New Roman"/>
                <w:color w:val="000000" w:themeColor="text1"/>
                <w:w w:val="99"/>
                <w:kern w:val="2"/>
                <w:sz w:val="21"/>
                <w:szCs w:val="21"/>
                <w14:textFill>
                  <w14:solidFill>
                    <w14:schemeClr w14:val="tx1"/>
                  </w14:solidFill>
                </w14:textFill>
              </w:rPr>
              <w:t>.66</w:t>
            </w:r>
          </w:p>
        </w:tc>
        <w:tc>
          <w:tcPr>
            <w:tcW w:w="1482" w:type="pct"/>
            <w:vAlign w:val="center"/>
          </w:tcPr>
          <w:p w14:paraId="07A2219B">
            <w:pPr>
              <w:spacing w:before="1" w:line="242" w:lineRule="auto"/>
              <w:ind w:left="163" w:right="139"/>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0</w:t>
            </w:r>
            <w:r>
              <w:rPr>
                <w:rFonts w:ascii="Times New Roman" w:hAnsi="Times New Roman" w:cs="Times New Roman"/>
                <w:color w:val="000000" w:themeColor="text1"/>
                <w:w w:val="99"/>
                <w:kern w:val="2"/>
                <w:sz w:val="21"/>
                <w:szCs w:val="21"/>
                <w14:textFill>
                  <w14:solidFill>
                    <w14:schemeClr w14:val="tx1"/>
                  </w14:solidFill>
                </w14:textFill>
              </w:rPr>
              <w:t>.66</w:t>
            </w:r>
          </w:p>
        </w:tc>
      </w:tr>
      <w:tr w14:paraId="28A97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340" w:hRule="atLeast"/>
          <w:jc w:val="center"/>
        </w:trPr>
        <w:tc>
          <w:tcPr>
            <w:tcW w:w="387" w:type="pct"/>
            <w:vAlign w:val="center"/>
          </w:tcPr>
          <w:p w14:paraId="1DAA0033">
            <w:pPr>
              <w:adjustRightInd w:val="0"/>
              <w:snapToGrid w:val="0"/>
              <w:spacing w:line="360" w:lineRule="exact"/>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7</w:t>
            </w:r>
          </w:p>
        </w:tc>
        <w:tc>
          <w:tcPr>
            <w:tcW w:w="1018" w:type="pct"/>
            <w:vAlign w:val="center"/>
          </w:tcPr>
          <w:p w14:paraId="1DD67022">
            <w:pPr>
              <w:adjustRightInd w:val="0"/>
              <w:snapToGrid w:val="0"/>
              <w:spacing w:line="360" w:lineRule="exact"/>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水域及水利设施用地</w:t>
            </w:r>
          </w:p>
        </w:tc>
        <w:tc>
          <w:tcPr>
            <w:tcW w:w="1018" w:type="pct"/>
            <w:vAlign w:val="center"/>
          </w:tcPr>
          <w:p w14:paraId="46988664">
            <w:pPr>
              <w:spacing w:before="3" w:line="242" w:lineRule="auto"/>
              <w:ind w:left="143" w:right="110"/>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坑塘水面</w:t>
            </w:r>
          </w:p>
        </w:tc>
        <w:tc>
          <w:tcPr>
            <w:tcW w:w="1095" w:type="pct"/>
            <w:vAlign w:val="center"/>
          </w:tcPr>
          <w:p w14:paraId="64689373">
            <w:pPr>
              <w:spacing w:before="137" w:line="242" w:lineRule="auto"/>
              <w:ind w:left="139" w:right="110"/>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1</w:t>
            </w:r>
            <w:r>
              <w:rPr>
                <w:rFonts w:ascii="Times New Roman" w:hAnsi="Times New Roman" w:cs="Times New Roman"/>
                <w:color w:val="000000" w:themeColor="text1"/>
                <w:w w:val="99"/>
                <w:kern w:val="2"/>
                <w:sz w:val="21"/>
                <w:szCs w:val="21"/>
                <w14:textFill>
                  <w14:solidFill>
                    <w14:schemeClr w14:val="tx1"/>
                  </w14:solidFill>
                </w14:textFill>
              </w:rPr>
              <w:t>3.25</w:t>
            </w:r>
          </w:p>
        </w:tc>
        <w:tc>
          <w:tcPr>
            <w:tcW w:w="1482" w:type="pct"/>
            <w:vAlign w:val="center"/>
          </w:tcPr>
          <w:p w14:paraId="1AED9CEA">
            <w:pPr>
              <w:spacing w:before="1" w:line="242" w:lineRule="auto"/>
              <w:ind w:left="163" w:right="139"/>
              <w:jc w:val="center"/>
              <w:rPr>
                <w:rFonts w:ascii="Times New Roman" w:hAnsi="Times New Roman" w:cs="Times New Roman"/>
                <w:color w:val="000000" w:themeColor="text1"/>
                <w:w w:val="99"/>
                <w:kern w:val="2"/>
                <w:sz w:val="21"/>
                <w:szCs w:val="21"/>
                <w14:textFill>
                  <w14:solidFill>
                    <w14:schemeClr w14:val="tx1"/>
                  </w14:solidFill>
                </w14:textFill>
              </w:rPr>
            </w:pPr>
            <w:r>
              <w:rPr>
                <w:rFonts w:hint="eastAsia" w:ascii="Times New Roman" w:hAnsi="Times New Roman" w:cs="Times New Roman"/>
                <w:color w:val="000000" w:themeColor="text1"/>
                <w:w w:val="99"/>
                <w:kern w:val="2"/>
                <w:sz w:val="21"/>
                <w:szCs w:val="21"/>
                <w14:textFill>
                  <w14:solidFill>
                    <w14:schemeClr w14:val="tx1"/>
                  </w14:solidFill>
                </w14:textFill>
              </w:rPr>
              <w:t>1</w:t>
            </w:r>
            <w:r>
              <w:rPr>
                <w:rFonts w:ascii="Times New Roman" w:hAnsi="Times New Roman" w:cs="Times New Roman"/>
                <w:color w:val="000000" w:themeColor="text1"/>
                <w:w w:val="99"/>
                <w:kern w:val="2"/>
                <w:sz w:val="21"/>
                <w:szCs w:val="21"/>
                <w14:textFill>
                  <w14:solidFill>
                    <w14:schemeClr w14:val="tx1"/>
                  </w14:solidFill>
                </w14:textFill>
              </w:rPr>
              <w:t>.01</w:t>
            </w:r>
          </w:p>
        </w:tc>
      </w:tr>
    </w:tbl>
    <w:p w14:paraId="35ACA7DB">
      <w:pPr>
        <w:autoSpaceDE/>
        <w:autoSpaceDN/>
        <w:spacing w:line="440" w:lineRule="exact"/>
        <w:jc w:val="both"/>
        <w:outlineLvl w:val="3"/>
        <w:rPr>
          <w:rFonts w:ascii="Times New Roman" w:hAnsi="Times New Roman" w:cs="Times New Roman" w:eastAsiaTheme="minorEastAsia"/>
          <w:b/>
          <w:color w:val="000000" w:themeColor="text1"/>
          <w:w w:val="99"/>
          <w:sz w:val="24"/>
          <w:szCs w:val="24"/>
          <w:lang w:val="zh-CN" w:eastAsia="zh-CN" w:bidi="ar-SA"/>
          <w14:textFill>
            <w14:solidFill>
              <w14:schemeClr w14:val="tx1"/>
            </w14:solidFill>
          </w14:textFill>
        </w:rPr>
      </w:pPr>
      <w:r>
        <w:rPr>
          <w:rFonts w:ascii="Times New Roman" w:hAnsi="Times New Roman" w:cs="Times New Roman" w:eastAsiaTheme="minorEastAsia"/>
          <w:b/>
          <w:color w:val="000000" w:themeColor="text1"/>
          <w:w w:val="99"/>
          <w:sz w:val="24"/>
          <w:szCs w:val="24"/>
          <w:lang w:val="zh-CN" w:eastAsia="zh-CN" w:bidi="ar-SA"/>
          <w14:textFill>
            <w14:solidFill>
              <w14:schemeClr w14:val="tx1"/>
            </w14:solidFill>
          </w14:textFill>
        </w:rPr>
        <w:t xml:space="preserve">4.3.6.1植物区系特征 </w:t>
      </w:r>
    </w:p>
    <w:p w14:paraId="3BB03A3A">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本项目区域内植物区系成分主要包括长白植物区系、蒙古植物区系、华北植物区系和大兴安岭植物区系。以蒙古草原植物区系成分占优势，常见的优势种和伴生种多属蒙古植物区系成分，如羊草</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(Aneurolepidium chinense)</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、贝加尔针茅</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(Stipabaicalensis)</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、大针茅</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（S. grandis）</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、线叶菊</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（Filifolium sibiricum）</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、星星草</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（Puccinelliatenuifolia）</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等。长白植物区系，也称满洲植物区系，在本区分布的种数仅次于蒙古植物区系，如木贼（Equisetum hyemale）、普通蓼</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（Polygoeum manshuricum）</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、野大豆</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（Glycine soja）</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、水车前</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（Ottelia alimoides）</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、狼爪瓦松</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（Orostachyscartilaginous）</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等。华北植物区系成分所占比例不大，主要有细叶地榆（Samguisorbatenuifolia）、柴胡（Bupleurum scorzonerifolium）、糙隐子草</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(C. squarrosa)</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 xml:space="preserve">等。 </w:t>
      </w:r>
    </w:p>
    <w:p w14:paraId="72B6895A">
      <w:pPr>
        <w:autoSpaceDE/>
        <w:autoSpaceDN/>
        <w:spacing w:line="440" w:lineRule="exact"/>
        <w:jc w:val="both"/>
        <w:outlineLvl w:val="3"/>
        <w:rPr>
          <w:rFonts w:ascii="Times New Roman" w:hAnsi="Times New Roman" w:cs="Times New Roman" w:eastAsiaTheme="minorEastAsia"/>
          <w:b/>
          <w:color w:val="000000" w:themeColor="text1"/>
          <w:w w:val="99"/>
          <w:sz w:val="24"/>
          <w:szCs w:val="24"/>
          <w:lang w:val="zh-CN" w:eastAsia="zh-CN" w:bidi="ar-SA"/>
          <w14:textFill>
            <w14:solidFill>
              <w14:schemeClr w14:val="tx1"/>
            </w14:solidFill>
          </w14:textFill>
        </w:rPr>
      </w:pPr>
      <w:r>
        <w:rPr>
          <w:rFonts w:ascii="Times New Roman" w:hAnsi="Times New Roman" w:cs="Times New Roman" w:eastAsiaTheme="minorEastAsia"/>
          <w:b/>
          <w:color w:val="000000" w:themeColor="text1"/>
          <w:w w:val="99"/>
          <w:sz w:val="24"/>
          <w:szCs w:val="24"/>
          <w:lang w:val="zh-CN" w:eastAsia="zh-CN" w:bidi="ar-SA"/>
          <w14:textFill>
            <w14:solidFill>
              <w14:schemeClr w14:val="tx1"/>
            </w14:solidFill>
          </w14:textFill>
        </w:rPr>
        <w:t xml:space="preserve">4.3.6.2主要植被类型 </w:t>
      </w:r>
    </w:p>
    <w:p w14:paraId="5FC02A12">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 xml:space="preserve">评价区域内植被类型以草甸、经济林、农田为主。 </w:t>
      </w:r>
    </w:p>
    <w:p w14:paraId="6A1ACF6D">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 xml:space="preserve">（1）草甸植被 </w:t>
      </w:r>
    </w:p>
    <w:p w14:paraId="21946F1A">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 xml:space="preserve">评价区域内草甸主要包括草甸草原植被和盐生草甸植被。 </w:t>
      </w:r>
    </w:p>
    <w:p w14:paraId="5676FE81">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hint="eastAsia"/>
          <w:color w:val="000000" w:themeColor="text1"/>
          <w:w w:val="99"/>
          <w:kern w:val="2"/>
          <w:sz w:val="24"/>
          <w:szCs w:val="28"/>
          <w:lang w:val="en-US" w:bidi="ar-SA"/>
          <w14:textFill>
            <w14:solidFill>
              <w14:schemeClr w14:val="tx1"/>
            </w14:solidFill>
          </w14:textFill>
        </w:rPr>
        <w:t>①</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 xml:space="preserve">草甸草原植被 </w:t>
      </w:r>
    </w:p>
    <w:p w14:paraId="2E0E6E56">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羊草草甸草原</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（Form. Leymus chinensis）</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羊草草甸草原是欧亚大陆草原区东部一种特有和优势的草原类型，也是本市主要的草甸草原类型。由于羊草具有强烈的根茎繁殖能力，排挤其它植物侵入，故种类组成比较单纯，在群落中羊草占绝对优势，是稳定的建群成分。但由于小生境，尤其是土壤类型和土壤盐碱含量的变化，群落组成结构有明显差异，可以区分若干群丛。如羊草-野古草群丛</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（Leymus chinensis-Spodipogon sibiticus）</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 羊草-箭头唐松草群丛</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（Leymuschinensis-Thalictretum simplex）</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、羊草-拂子茅群丛</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（LeymusChinensis-Calamagrostis epigejos）</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 xml:space="preserve">、羊草-糙隐子草群丛 </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（LeymusChinensis-Cleistogenes</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）、羊草-野大麦群丛</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（LeymusChinensis-Hordetum）</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、羊草-虎尾草群丛</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（Leymus Chinensis-Chiorisvigata）</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、羊草-碱蒿群丛</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（Leymus Chinensis-Artemisetum）</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 xml:space="preserve">等。羊草草甸草原是草原植被中经济价值最高的类型。由于羊草营养价值在整个生长季都很高，适口性强，适于调制干草，是最重要的自然割草场和放牧场。但目前因过度放牧和碱化，草场退化严重。 </w:t>
      </w:r>
    </w:p>
    <w:p w14:paraId="7AAB9A0D">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hint="eastAsia"/>
          <w:color w:val="000000" w:themeColor="text1"/>
          <w:w w:val="99"/>
          <w:kern w:val="2"/>
          <w:sz w:val="24"/>
          <w:szCs w:val="28"/>
          <w:lang w:val="en-US" w:bidi="ar-SA"/>
          <w14:textFill>
            <w14:solidFill>
              <w14:schemeClr w14:val="tx1"/>
            </w14:solidFill>
          </w14:textFill>
        </w:rPr>
        <w:t>②</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 xml:space="preserve">盐生草甸植被 </w:t>
      </w:r>
    </w:p>
    <w:p w14:paraId="2441E97F">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星星草草甸（</w:t>
      </w:r>
      <w:r>
        <w:rPr>
          <w:rFonts w:ascii="Times New Roman" w:hAnsi="Times New Roman" w:cs="Times New Roman" w:eastAsiaTheme="minorEastAsia"/>
          <w:i/>
          <w:color w:val="000000" w:themeColor="text1"/>
          <w:w w:val="99"/>
          <w:kern w:val="2"/>
          <w:sz w:val="24"/>
          <w:szCs w:val="28"/>
          <w:lang w:val="en-US" w:bidi="ar-SA"/>
          <w14:textFill>
            <w14:solidFill>
              <w14:schemeClr w14:val="tx1"/>
            </w14:solidFill>
          </w14:textFill>
        </w:rPr>
        <w:t>Form.Puccinellia tenuiflora</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广泛分布在退化草地的碱斑和盐碱化湖泡周围，但面积较小，生境较低湿，常有短期积水。此类草甸盖度变化很大，40%～80%。由于生境条件严酷，常以星星草为单优势，甚至无伴生种，可混有少量羊草、野大麦</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（Hordeum brevisublatum）</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、朝鲜碱茅</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（Puccinelliachinampoensis）</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、碱地风毛菊（Saussurea runcinata）、碱地肤</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（Kochia sieversianavar. suaedaefolia）</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、碱蒿</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（Artemisia anethifolia）</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，以及常混有少量一年生的碱蓬</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（Suaeda glauca）</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和角碱蓬</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（S.corniculata）</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 xml:space="preserve">等。 </w:t>
      </w:r>
    </w:p>
    <w:p w14:paraId="0FA781E2">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马蔺草甸</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（Form. Iris ensata）</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。主要分布在严重退化草地的碱斑周围。组成以马蔺为优势，伴生种随着小生境土壤的盐分、湿润度的不同而有变化，主要有无脉苔草</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（Carex enervis）</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、走茎苔草</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（C. reptabunda）</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、寸草、羊草、赖草及芨芨草</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（Achnatherum splendens）</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 xml:space="preserve">，其次间或混有少量的各类杂类草。 </w:t>
      </w:r>
    </w:p>
    <w:p w14:paraId="282E7F4A">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碱蓬草甸</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（Form. Suaedion glancae）</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 xml:space="preserve">。广泛分布在碱湖周围的碱土和严重退化草地的碱斑上，是草地土壤严重碱化的标志之一，在土壤碱化度达到50%以上的地段仍能正常生长。它包括原生和次生的群落，一般面积较小，但在村庄附近、放牧点、饮水点、极度放牧的地方也可连成大片。组成群落的种类简单，多为盐生植物，碱蓬和碱蒿在群落中占主要地位，虎尾草在某些地段也可有较多数量。该群落只在夏季雨水充足的情况才有很好的发育，否则植物稀疏。 </w:t>
      </w:r>
    </w:p>
    <w:p w14:paraId="1AD5F89A">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角碱蓬草甸</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（From. Suaedetum corniculatae）</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 xml:space="preserve">。角碱蓬的生境与碱蓬相似，常与其形成复合分布，也包括原生和次生群落，种类组成较单纯，角碱蓬占绝对优势。 </w:t>
      </w:r>
    </w:p>
    <w:p w14:paraId="1DAEE0B2">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 xml:space="preserve">（2）经济林 </w:t>
      </w:r>
    </w:p>
    <w:p w14:paraId="58EEE1B5">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在评价区内经济林主要为杨树林</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（Form. Populus canadensis）</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 xml:space="preserve">。 </w:t>
      </w:r>
    </w:p>
    <w:p w14:paraId="5F55BCCF">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 xml:space="preserve">杨树林是评价区防护林的主要林种之一，也是评价区内分布最多，最广泛的林木，主要分布在村庄附近、道路两侧及农田周围。杨树林平均树高10～15m，平均胸径15～25cm，平均冠幅2.5m×2.5m。 </w:t>
      </w:r>
    </w:p>
    <w:p w14:paraId="77394C27">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 xml:space="preserve">（3）农田植被 </w:t>
      </w:r>
    </w:p>
    <w:p w14:paraId="6C2B7724">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 xml:space="preserve">评价区属于松嫩平原区，粮食耕作历史悠久，栽培植被是最重要的植被类型，但是目前由于旱涝、盐碱、风沙等因素，区域内的农田多属于中、低产农田。粮食作物主要为玉米，经济作物以花生为主。 </w:t>
      </w:r>
    </w:p>
    <w:p w14:paraId="5A868D66">
      <w:pPr>
        <w:autoSpaceDE/>
        <w:autoSpaceDN/>
        <w:spacing w:line="440" w:lineRule="exact"/>
        <w:jc w:val="both"/>
        <w:outlineLvl w:val="3"/>
        <w:rPr>
          <w:rFonts w:ascii="Times New Roman" w:hAnsi="Times New Roman" w:cs="Times New Roman" w:eastAsiaTheme="minorEastAsia"/>
          <w:b/>
          <w:color w:val="000000" w:themeColor="text1"/>
          <w:w w:val="99"/>
          <w:sz w:val="24"/>
          <w:szCs w:val="24"/>
          <w:lang w:val="zh-CN" w:eastAsia="zh-CN" w:bidi="ar-SA"/>
          <w14:textFill>
            <w14:solidFill>
              <w14:schemeClr w14:val="tx1"/>
            </w14:solidFill>
          </w14:textFill>
        </w:rPr>
      </w:pPr>
      <w:r>
        <w:rPr>
          <w:rFonts w:ascii="Times New Roman" w:hAnsi="Times New Roman" w:cs="Times New Roman" w:eastAsiaTheme="minorEastAsia"/>
          <w:b/>
          <w:color w:val="000000" w:themeColor="text1"/>
          <w:w w:val="99"/>
          <w:sz w:val="24"/>
          <w:szCs w:val="24"/>
          <w:lang w:val="zh-CN" w:eastAsia="zh-CN" w:bidi="ar-SA"/>
          <w14:textFill>
            <w14:solidFill>
              <w14:schemeClr w14:val="tx1"/>
            </w14:solidFill>
          </w14:textFill>
        </w:rPr>
        <w:t xml:space="preserve">4.3.6.3生态环境质量现状分析 </w:t>
      </w:r>
    </w:p>
    <w:p w14:paraId="76EB5C7D">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 xml:space="preserve">该区原生生态系统为多年生草本植物群落，现部分转变为人工种植的作物群体，使区域内的生态环境发生了变化。 </w:t>
      </w:r>
    </w:p>
    <w:p w14:paraId="3E4830D4">
      <w:pPr>
        <w:autoSpaceDE/>
        <w:autoSpaceDN/>
        <w:spacing w:line="440" w:lineRule="exact"/>
        <w:jc w:val="both"/>
        <w:outlineLvl w:val="3"/>
        <w:rPr>
          <w:rFonts w:ascii="Times New Roman" w:hAnsi="Times New Roman" w:cs="Times New Roman" w:eastAsiaTheme="minorEastAsia"/>
          <w:b/>
          <w:color w:val="000000" w:themeColor="text1"/>
          <w:w w:val="99"/>
          <w:sz w:val="24"/>
          <w:szCs w:val="24"/>
          <w:lang w:val="zh-CN" w:eastAsia="zh-CN" w:bidi="ar-SA"/>
          <w14:textFill>
            <w14:solidFill>
              <w14:schemeClr w14:val="tx1"/>
            </w14:solidFill>
          </w14:textFill>
        </w:rPr>
      </w:pPr>
      <w:r>
        <w:rPr>
          <w:rFonts w:ascii="Times New Roman" w:hAnsi="Times New Roman" w:cs="Times New Roman" w:eastAsiaTheme="minorEastAsia"/>
          <w:b/>
          <w:color w:val="000000" w:themeColor="text1"/>
          <w:w w:val="99"/>
          <w:sz w:val="24"/>
          <w:szCs w:val="24"/>
          <w:lang w:val="zh-CN" w:eastAsia="zh-CN" w:bidi="ar-SA"/>
          <w14:textFill>
            <w14:solidFill>
              <w14:schemeClr w14:val="tx1"/>
            </w14:solidFill>
          </w14:textFill>
        </w:rPr>
        <w:t xml:space="preserve">4.3.6.4植物群落 </w:t>
      </w:r>
    </w:p>
    <w:p w14:paraId="728613F2">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 xml:space="preserve">项目所在地区草地土壤为含盐量很高的苏达碱化草甸盐土，主要生长一些盐生植物群落，如碱蓬、星星草、碱蒿等群落。由于气候干旱及油田开发影响，油田道路和管线的建设改变了原来的地貌，地表高低不平，原生植被受到一定的影响，道路两侧季节性低洼积水处长有盖度较高的芦苇群落。 </w:t>
      </w:r>
    </w:p>
    <w:p w14:paraId="1CB83070">
      <w:pPr>
        <w:autoSpaceDE/>
        <w:autoSpaceDN/>
        <w:spacing w:line="440" w:lineRule="exact"/>
        <w:jc w:val="both"/>
        <w:outlineLvl w:val="3"/>
        <w:rPr>
          <w:rFonts w:ascii="Times New Roman" w:hAnsi="Times New Roman" w:cs="Times New Roman" w:eastAsiaTheme="minorEastAsia"/>
          <w:b/>
          <w:color w:val="000000" w:themeColor="text1"/>
          <w:w w:val="99"/>
          <w:sz w:val="24"/>
          <w:szCs w:val="24"/>
          <w:lang w:val="zh-CN" w:eastAsia="zh-CN" w:bidi="ar-SA"/>
          <w14:textFill>
            <w14:solidFill>
              <w14:schemeClr w14:val="tx1"/>
            </w14:solidFill>
          </w14:textFill>
        </w:rPr>
      </w:pPr>
      <w:r>
        <w:rPr>
          <w:rFonts w:ascii="Times New Roman" w:hAnsi="Times New Roman" w:cs="Times New Roman" w:eastAsiaTheme="minorEastAsia"/>
          <w:b/>
          <w:color w:val="000000" w:themeColor="text1"/>
          <w:w w:val="99"/>
          <w:sz w:val="24"/>
          <w:szCs w:val="24"/>
          <w:lang w:val="zh-CN" w:eastAsia="zh-CN" w:bidi="ar-SA"/>
          <w14:textFill>
            <w14:solidFill>
              <w14:schemeClr w14:val="tx1"/>
            </w14:solidFill>
          </w14:textFill>
        </w:rPr>
        <w:t xml:space="preserve">4.3.6.5农田生态系统 </w:t>
      </w:r>
    </w:p>
    <w:p w14:paraId="61270689">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 xml:space="preserve">（1）耕地生产条件分析 </w:t>
      </w:r>
    </w:p>
    <w:p w14:paraId="3132AB68">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 xml:space="preserve">大庆市属北温带大陆季风气候，夏季高温多雨，雨热同季，有利于农作物生长发育，为当地的农业生产带来有利条件。 </w:t>
      </w:r>
    </w:p>
    <w:p w14:paraId="7FE6955C">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 xml:space="preserve">（2）农业生态系统生产力 </w:t>
      </w:r>
    </w:p>
    <w:p w14:paraId="4BFCEFCB">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 xml:space="preserve">农业生态系统属于比较典型的人工生态系统，带有强烈的人工干扰，因此其生产力水平视人工投入量的多少而定。区域光、热、水等农业生产条件比较充足，土壤为草甸土、风沙土。 </w:t>
      </w:r>
    </w:p>
    <w:p w14:paraId="418824E0">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 xml:space="preserve">（3）农田动物 </w:t>
      </w:r>
    </w:p>
    <w:p w14:paraId="1EFB6EF5">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评价范围内农业生产活动频度和强度都比较高，地域原有的野生动物基本消失，伴之而来的地域物种主要与农业生产活动有关，较大型哺乳类动物基本绝迹，但小型哺乳类特别是鼠类仍为常见种。野生动物主要有东北兔</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（Lepus mandschuricus Radde）</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、黄鼬</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（Mustela sibiricaPallas）</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、褐家鼠</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（Rattus nitidus）</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、小家鼠</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（Mus musculus L.）</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、大仓鼠（Cricetulustriton）、东方田鼠（M icrotus fortis Buchner）、普通田鼠</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（Microtus arvalis）</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 xml:space="preserve">等10余种啮齿目、兔形目和食肉目动物。 </w:t>
      </w:r>
    </w:p>
    <w:p w14:paraId="2EDC6EB8">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由于农业区内人类活动干扰较大，躲避天敌的条件较差，因此鸟类一般不会在此繁殖。区内鸟类主要为村栖型等伴人鸟类，如喜鹊</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（P. pica sericea Gould）</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、小嘴乌鸦</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（C.corone orientalis Evers）</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、麻雀（P. montanus montanus）、家燕</w:t>
      </w:r>
      <w:r>
        <w:rPr>
          <w:rFonts w:ascii="Times New Roman" w:hAnsi="Times New Roman" w:cs="Times New Roman" w:eastAsiaTheme="minorEastAsia"/>
          <w:i/>
          <w:iCs/>
          <w:color w:val="000000" w:themeColor="text1"/>
          <w:w w:val="99"/>
          <w:kern w:val="2"/>
          <w:sz w:val="24"/>
          <w:szCs w:val="28"/>
          <w:lang w:val="en-US" w:bidi="ar-SA"/>
          <w14:textFill>
            <w14:solidFill>
              <w14:schemeClr w14:val="tx1"/>
            </w14:solidFill>
          </w14:textFill>
        </w:rPr>
        <w:t>（H rusticagutturalis Scopoli）</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等，也有一些小型水鸟在芦苇荡内栖息和繁殖。</w:t>
      </w:r>
    </w:p>
    <w:p w14:paraId="599047C8">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 xml:space="preserve">（4）农田防护林体系 </w:t>
      </w:r>
    </w:p>
    <w:p w14:paraId="0F1EB3AD">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 xml:space="preserve">人工防护林是本区耕地生态系统的重要组成部分。本区的耕地防护林属于“三北”防护林体系，经过多年建设，在评价区内已经形成林网体系。耕地防护林树种均为杨树，已有30几年的树龄，胸径20～30cm，树高10～15m，多为成树林和近熟林。区内无天然林分布。耕地防护林对于防风、改善耕地小气候等发挥着重要的生态功能。 </w:t>
      </w:r>
    </w:p>
    <w:p w14:paraId="27DFBC88">
      <w:pPr>
        <w:autoSpaceDE/>
        <w:autoSpaceDN/>
        <w:spacing w:line="440" w:lineRule="exact"/>
        <w:jc w:val="both"/>
        <w:outlineLvl w:val="3"/>
        <w:rPr>
          <w:rFonts w:ascii="Times New Roman" w:hAnsi="Times New Roman" w:cs="Times New Roman" w:eastAsiaTheme="minorEastAsia"/>
          <w:b/>
          <w:color w:val="000000" w:themeColor="text1"/>
          <w:w w:val="99"/>
          <w:sz w:val="24"/>
          <w:szCs w:val="24"/>
          <w:lang w:val="zh-CN" w:eastAsia="zh-CN" w:bidi="ar-SA"/>
          <w14:textFill>
            <w14:solidFill>
              <w14:schemeClr w14:val="tx1"/>
            </w14:solidFill>
          </w14:textFill>
        </w:rPr>
      </w:pPr>
      <w:r>
        <w:rPr>
          <w:rFonts w:ascii="Times New Roman" w:hAnsi="Times New Roman" w:cs="Times New Roman" w:eastAsiaTheme="minorEastAsia"/>
          <w:b/>
          <w:color w:val="000000" w:themeColor="text1"/>
          <w:w w:val="99"/>
          <w:sz w:val="24"/>
          <w:szCs w:val="24"/>
          <w:lang w:val="zh-CN" w:eastAsia="zh-CN" w:bidi="ar-SA"/>
          <w14:textFill>
            <w14:solidFill>
              <w14:schemeClr w14:val="tx1"/>
            </w14:solidFill>
          </w14:textFill>
        </w:rPr>
        <w:t xml:space="preserve">4.3.6.7草地生态系统 </w:t>
      </w:r>
    </w:p>
    <w:p w14:paraId="4D506839">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 xml:space="preserve">（1）植被群落与分布 </w:t>
      </w:r>
    </w:p>
    <w:p w14:paraId="20BB431A">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 xml:space="preserve">草地主要集中分布于评价区内西南部和东部地区，该区域以前主要是以羊草为代表的羊草－杂类草草甸，目前已退化；覆盖度一般在50%左右，在部分碱斑上的植被发育不良或裸露，株高一般不超过30cm，以碱蓬为主。 </w:t>
      </w:r>
    </w:p>
    <w:p w14:paraId="4B0A019B">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 xml:space="preserve">盐碱化草甸原有的地带性植被为羊草草原，由于地势低洼积水，地下返盐，造成土壤的盐渍化，加上过渡放牧，草甸逐渐演变成盐化草甸，植被群落也演替为盐生植被。 </w:t>
      </w:r>
    </w:p>
    <w:p w14:paraId="59EC63E2">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盐化草甸组成群落类型的主要成分是一些耐盐碱的多年生和一年生的中生植物。种类成分较单纯，据不完全统计有65种，分属21科，42属。</w:t>
      </w:r>
    </w:p>
    <w:p w14:paraId="5CC0C75E">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除了地势较高处生长羊草外，低洼积水处生长着一些盐生植被，如碱茅、碱蓬、马蔺等。盐碱化草甸生态系统十分脆弱，破坏后不易恢复，也是本区土壤风蚀的主要部位之一。</w:t>
      </w:r>
    </w:p>
    <w:p w14:paraId="6AAD3B0F">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 xml:space="preserve">（2）草地植被生物量 </w:t>
      </w:r>
    </w:p>
    <w:p w14:paraId="12BFAD75">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植被的生物量反映了植被的生产力水平，是区域生态环境质量的重要标志。区内羊草—杂类草草原由于气候和人为等原因，破坏比较严重，盐碱化程度较高，虽然近年进行了生态恢复治理，使已退化的草地植被逐渐有所恢复，但与六、七十年代相比其草原质量也仅是原来的50~60%。整个草地盖度在40~60%左右，平均株高44~55cm。杂类草较多，优质牧草比例较低，除羊草外还大量生长着虎耳草、拂子茅、针茅、糙隐子草、飞燕草、角蒿、碱篷、碱蒿等。据样方调查，草地生物量为0.65~0.85t/hm</w:t>
      </w:r>
      <w:r>
        <w:rPr>
          <w:rFonts w:ascii="Times New Roman" w:hAnsi="Times New Roman" w:cs="Times New Roman" w:eastAsiaTheme="minorEastAsia"/>
          <w:color w:val="000000" w:themeColor="text1"/>
          <w:w w:val="99"/>
          <w:kern w:val="2"/>
          <w:sz w:val="24"/>
          <w:szCs w:val="28"/>
          <w:vertAlign w:val="superscript"/>
          <w:lang w:val="en-US" w:bidi="ar-SA"/>
          <w14:textFill>
            <w14:solidFill>
              <w14:schemeClr w14:val="tx1"/>
            </w14:solidFill>
          </w14:textFill>
        </w:rPr>
        <w:t>2</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（地面以上部分的风干重），平均为在0.75t/hm</w:t>
      </w:r>
      <w:r>
        <w:rPr>
          <w:rFonts w:ascii="Times New Roman" w:hAnsi="Times New Roman" w:cs="Times New Roman" w:eastAsiaTheme="minorEastAsia"/>
          <w:color w:val="000000" w:themeColor="text1"/>
          <w:w w:val="99"/>
          <w:kern w:val="2"/>
          <w:sz w:val="24"/>
          <w:szCs w:val="28"/>
          <w:vertAlign w:val="superscript"/>
          <w:lang w:val="en-US" w:bidi="ar-SA"/>
          <w14:textFill>
            <w14:solidFill>
              <w14:schemeClr w14:val="tx1"/>
            </w14:solidFill>
          </w14:textFill>
        </w:rPr>
        <w:t>2</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左右。</w:t>
      </w:r>
    </w:p>
    <w:p w14:paraId="073E199F">
      <w:pPr>
        <w:autoSpaceDE/>
        <w:autoSpaceDN/>
        <w:spacing w:line="440" w:lineRule="exact"/>
        <w:jc w:val="both"/>
        <w:outlineLvl w:val="3"/>
        <w:rPr>
          <w:rFonts w:ascii="Times New Roman" w:hAnsi="Times New Roman" w:cs="Times New Roman" w:eastAsiaTheme="minorEastAsia"/>
          <w:b/>
          <w:color w:val="000000" w:themeColor="text1"/>
          <w:w w:val="99"/>
          <w:sz w:val="24"/>
          <w:szCs w:val="24"/>
          <w:lang w:val="zh-CN" w:eastAsia="zh-CN" w:bidi="ar-SA"/>
          <w14:textFill>
            <w14:solidFill>
              <w14:schemeClr w14:val="tx1"/>
            </w14:solidFill>
          </w14:textFill>
        </w:rPr>
      </w:pPr>
      <w:r>
        <w:rPr>
          <w:rFonts w:ascii="Times New Roman" w:hAnsi="Times New Roman" w:cs="Times New Roman" w:eastAsiaTheme="minorEastAsia"/>
          <w:b/>
          <w:color w:val="000000" w:themeColor="text1"/>
          <w:w w:val="99"/>
          <w:sz w:val="24"/>
          <w:szCs w:val="24"/>
          <w:lang w:val="zh-CN" w:eastAsia="zh-CN" w:bidi="ar-SA"/>
          <w14:textFill>
            <w14:solidFill>
              <w14:schemeClr w14:val="tx1"/>
            </w14:solidFill>
          </w14:textFill>
        </w:rPr>
        <w:t>4.3.6.8水土流失现状调查</w:t>
      </w:r>
    </w:p>
    <w:p w14:paraId="7469A021">
      <w:pPr>
        <w:autoSpaceDE/>
        <w:autoSpaceDN/>
        <w:spacing w:line="440" w:lineRule="exact"/>
        <w:ind w:firstLine="474" w:firstLineChars="200"/>
        <w:rPr>
          <w:rFonts w:ascii="Times New Roman" w:hAnsi="Times New Roman" w:cs="Times New Roman" w:eastAsiaTheme="minorEastAsia"/>
          <w:color w:val="000000" w:themeColor="text1"/>
          <w:w w:val="99"/>
          <w:kern w:val="2"/>
          <w:sz w:val="24"/>
          <w:szCs w:val="28"/>
          <w:lang w:val="en"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根据大庆市水务局《关于划定大庆市水土流失重点预防区和重点治理区的公告》（2019年6月12日），</w:t>
      </w:r>
      <w:r>
        <w:rPr>
          <w:rFonts w:ascii="Times New Roman" w:hAnsi="Times New Roman" w:cs="Times New Roman" w:eastAsiaTheme="minorEastAsia"/>
          <w:color w:val="000000" w:themeColor="text1"/>
          <w:w w:val="99"/>
          <w:kern w:val="2"/>
          <w:sz w:val="24"/>
          <w:szCs w:val="28"/>
          <w:lang w:val="en" w:bidi="ar-SA"/>
          <w14:textFill>
            <w14:solidFill>
              <w14:schemeClr w14:val="tx1"/>
            </w14:solidFill>
          </w14:textFill>
        </w:rPr>
        <w:t>大庆市划定了市级水土流失重点预防区和重点治理区，本项目位于大庆市</w:t>
      </w:r>
      <w:r>
        <w:rPr>
          <w:rFonts w:hint="eastAsia" w:ascii="Times New Roman" w:hAnsi="Times New Roman" w:cs="Times New Roman" w:eastAsiaTheme="minorEastAsia"/>
          <w:color w:val="000000" w:themeColor="text1"/>
          <w:w w:val="99"/>
          <w:kern w:val="2"/>
          <w:sz w:val="24"/>
          <w:szCs w:val="28"/>
          <w:lang w:val="en" w:eastAsia="zh-CN" w:bidi="ar-SA"/>
          <w14:textFill>
            <w14:solidFill>
              <w14:schemeClr w14:val="tx1"/>
            </w14:solidFill>
          </w14:textFill>
        </w:rPr>
        <w:t>红岗区杏树岗镇</w:t>
      </w:r>
      <w:r>
        <w:rPr>
          <w:rFonts w:ascii="Times New Roman" w:hAnsi="Times New Roman" w:cs="Times New Roman" w:eastAsiaTheme="minorEastAsia"/>
          <w:color w:val="000000" w:themeColor="text1"/>
          <w:w w:val="99"/>
          <w:kern w:val="2"/>
          <w:sz w:val="24"/>
          <w:szCs w:val="28"/>
          <w:lang w:val="en" w:bidi="ar-SA"/>
          <w14:textFill>
            <w14:solidFill>
              <w14:schemeClr w14:val="tx1"/>
            </w14:solidFill>
          </w14:textFill>
        </w:rPr>
        <w:t>，属于市级水土流失重点治理区。本项目所处水土保持重点治理区示意图见附图3。</w:t>
      </w:r>
    </w:p>
    <w:p w14:paraId="13311B1C">
      <w:pPr>
        <w:widowControl/>
        <w:autoSpaceDE/>
        <w:autoSpaceDN/>
        <w:spacing w:line="440" w:lineRule="exact"/>
        <w:ind w:firstLine="474" w:firstLineChars="200"/>
        <w:rPr>
          <w:rFonts w:ascii="Times New Roman" w:hAnsi="Times New Roman" w:cs="Times New Roman" w:eastAsiaTheme="minorEastAsia"/>
          <w:color w:val="000000" w:themeColor="text1"/>
          <w:w w:val="99"/>
          <w:kern w:val="2"/>
          <w:sz w:val="24"/>
          <w:szCs w:val="28"/>
          <w:lang w:val="en"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 w:bidi="ar-SA"/>
          <w14:textFill>
            <w14:solidFill>
              <w14:schemeClr w14:val="tx1"/>
            </w14:solidFill>
          </w14:textFill>
        </w:rPr>
        <w:t>本项目区域水土流失类型为风水蚀交错类型。成因包括石油天然气开发引起的水土流失、交通建设引起的水土流失、农业开发引起的水土流失。石油天然气开发主要表现在对土地的占用和破坏，地质地貌的变化等。交通建设主要表现在土地占用和土壤侵蚀；地表景观的破坏和生态功能的扰动加剧水土流失；弃土场处理不当引起的水土流失；道路边坡稳定性引发的水土流失。农业开发主要表现在破坏原生植被，导致生态系统退化；干扰原有的土壤基准条件，引发土壤沙化或土地盐渍化；影响水文水情及生态系统，如抽取地下水导致水位下降，地面沉降；化学肥料的过渡使用对土壤、地下水的污染等。</w:t>
      </w:r>
    </w:p>
    <w:p w14:paraId="5DE9C43B">
      <w:pPr>
        <w:autoSpaceDE/>
        <w:autoSpaceDN/>
        <w:spacing w:line="440" w:lineRule="exact"/>
        <w:ind w:firstLine="474" w:firstLineChars="200"/>
        <w:rPr>
          <w:rFonts w:ascii="Times New Roman" w:hAnsi="Times New Roman" w:cs="Times New Roman" w:eastAsiaTheme="minorEastAsia"/>
          <w:color w:val="000000" w:themeColor="text1"/>
          <w:w w:val="99"/>
          <w:kern w:val="2"/>
          <w:sz w:val="24"/>
          <w:szCs w:val="28"/>
          <w:lang w:val="en"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 w:bidi="ar-SA"/>
          <w14:textFill>
            <w14:solidFill>
              <w14:schemeClr w14:val="tx1"/>
            </w14:solidFill>
          </w14:textFill>
        </w:rPr>
        <w:t>目前我省经济社会发展的重要时期，经济社会发展总体形势对水土保持工作提出了新要求。全省水土流失综合防治逐步进入法制化轨道，重点地区水土流失治理成效显著，植被保护和生态修复初见成效，退耕还林还草面积得到巩固，黑土区保土蓄水功能持续增强，水土流失面积和强度呈现总体下降趋势。</w:t>
      </w:r>
    </w:p>
    <w:p w14:paraId="6C19FB13">
      <w:pPr>
        <w:autoSpaceDE/>
        <w:autoSpaceDN/>
        <w:spacing w:line="440" w:lineRule="exact"/>
        <w:jc w:val="both"/>
        <w:outlineLvl w:val="3"/>
        <w:rPr>
          <w:rFonts w:ascii="Times New Roman" w:hAnsi="Times New Roman" w:cs="Times New Roman" w:eastAsiaTheme="minorEastAsia"/>
          <w:b/>
          <w:color w:val="000000" w:themeColor="text1"/>
          <w:w w:val="99"/>
          <w:sz w:val="24"/>
          <w:szCs w:val="24"/>
          <w:lang w:val="zh-CN" w:eastAsia="zh-CN" w:bidi="ar-SA"/>
          <w14:textFill>
            <w14:solidFill>
              <w14:schemeClr w14:val="tx1"/>
            </w14:solidFill>
          </w14:textFill>
        </w:rPr>
      </w:pPr>
      <w:r>
        <w:rPr>
          <w:rFonts w:ascii="Times New Roman" w:hAnsi="Times New Roman" w:cs="Times New Roman" w:eastAsiaTheme="minorEastAsia"/>
          <w:b/>
          <w:color w:val="000000" w:themeColor="text1"/>
          <w:w w:val="99"/>
          <w:sz w:val="24"/>
          <w:szCs w:val="24"/>
          <w:lang w:val="zh-CN" w:eastAsia="zh-CN" w:bidi="ar-SA"/>
          <w14:textFill>
            <w14:solidFill>
              <w14:schemeClr w14:val="tx1"/>
            </w14:solidFill>
          </w14:textFill>
        </w:rPr>
        <w:t>4.3.6.9防沙治沙现状调查</w:t>
      </w:r>
    </w:p>
    <w:p w14:paraId="3BC1FA78">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黑龙江省防沙治沙条例》第二十六条规定：“油气勘探开发以及矿产资源开采应当按照规划组织实施，并将地表植被恢复和建设纳入规划。在开发和开采前，应当进行环境影响评价，依法提交包括有关防沙治沙内容的环境影响报告。县级以上人民政府林业、国土资源、环境保护、草原等行政主管部门应当对开发和开采单位的地表植被恢复情况进行监督检查。”第二十七条：“在沙化土地所在地区从事开发建设活动，应当事先就开发建设项目可能对当地及相关地区生态环境产生的影响进行环境影响评价和水资源论证。对不具备水源条件，且有可能造成土地沙化、水土流失等灾害，严重破坏生态环境的开发建设项目，不得批准立项。环境保护行政主管部门在审批环境影响报告时，应当就报告中有关防沙治沙的内容征得同级林业行政主管部门同意。”</w:t>
      </w:r>
    </w:p>
    <w:p w14:paraId="1BB29D18">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根据黑龙江省防沙治沙工作领导小组《关于印发&lt;关于贯彻落实《沙化土地封禁保护修复制度方案》的实施意见&gt;的通知》，</w:t>
      </w:r>
      <w:r>
        <w:rPr>
          <w:rFonts w:hint="eastAsia" w:ascii="Times New Roman" w:hAnsi="Times New Roman" w:cs="Times New Roman" w:eastAsiaTheme="minorEastAsia"/>
          <w:color w:val="000000" w:themeColor="text1"/>
          <w:w w:val="99"/>
          <w:kern w:val="2"/>
          <w:sz w:val="24"/>
          <w:szCs w:val="28"/>
          <w:lang w:val="en-US" w:eastAsia="zh-CN" w:bidi="ar-SA"/>
          <w14:textFill>
            <w14:solidFill>
              <w14:schemeClr w14:val="tx1"/>
            </w14:solidFill>
          </w14:textFill>
        </w:rPr>
        <w:t>红岗区杏树岗镇</w:t>
      </w:r>
      <w:r>
        <w:rPr>
          <w:rFonts w:ascii="Times New Roman" w:hAnsi="Times New Roman" w:cs="Times New Roman" w:eastAsiaTheme="minorEastAsia"/>
          <w:color w:val="000000" w:themeColor="text1"/>
          <w:w w:val="99"/>
          <w:kern w:val="2"/>
          <w:sz w:val="24"/>
          <w:szCs w:val="28"/>
          <w:lang w:val="en-US" w:bidi="ar-SA"/>
          <w14:textFill>
            <w14:solidFill>
              <w14:schemeClr w14:val="tx1"/>
            </w14:solidFill>
          </w14:textFill>
        </w:rPr>
        <w:t>属于沙化土地所在县（区），当重点增加、恢复和保护林草植被，治理土地沙化和草原退化、沙化、碱化。</w:t>
      </w:r>
    </w:p>
    <w:p w14:paraId="2E4170D8">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根据现场调查，项目占地区域未出现土壤沙化现象，为保护区域生态环境，针对本工程的具体特点，应制定生态环境影响减缓措施和防沙治沙措施。</w:t>
      </w:r>
    </w:p>
    <w:p w14:paraId="1F92E11E">
      <w:pPr>
        <w:autoSpaceDE/>
        <w:autoSpaceDN/>
        <w:spacing w:line="440" w:lineRule="exact"/>
        <w:ind w:firstLine="474" w:firstLineChars="200"/>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施工期临时占地及施工车辆行驶将对区域地表植被产生破坏。因此施工期须严格落实各项目生态保护措施及生态减缓措施，严格控制控制施工作业占地范围，尽量减小施工期对区域生态影响。</w:t>
      </w:r>
    </w:p>
    <w:p w14:paraId="64A882F7">
      <w:pPr>
        <w:widowControl/>
        <w:autoSpaceDE/>
        <w:autoSpaceDN/>
        <w:spacing w:line="440" w:lineRule="exact"/>
        <w:jc w:val="both"/>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t>4.3.6.10既有工程实际生态影响到及措施调查</w:t>
      </w:r>
    </w:p>
    <w:p w14:paraId="2FB53159">
      <w:pPr>
        <w:autoSpaceDE/>
        <w:autoSpaceDN/>
        <w:snapToGrid w:val="0"/>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根据现场调查，为保护区域生态环境，</w:t>
      </w:r>
      <w:r>
        <w:rPr>
          <w:rFonts w:hint="eastAsia" w:ascii="Times New Roman" w:hAnsi="Times New Roman" w:cs="Times New Roman" w:eastAsiaTheme="minorEastAsia"/>
          <w:bCs/>
          <w:color w:val="000000" w:themeColor="text1"/>
          <w:w w:val="99"/>
          <w:sz w:val="24"/>
          <w:szCs w:val="24"/>
          <w:lang w:val="en-US" w:eastAsia="zh-CN" w:bidi="ar-SA"/>
          <w14:textFill>
            <w14:solidFill>
              <w14:schemeClr w14:val="tx1"/>
            </w14:solidFill>
          </w14:textFill>
        </w:rPr>
        <w:t>第五采油厂</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在钻井时采取了生态保护措施，例如严格控制了井场的临时及永久占地，井场钻井工程施工结束后及时对临时占地进行了生态恢复，最大力度降低了油田开发对区域生态系统的影响。并严格控制了该区域油田作业范围，严格运行期管理，减小了对区域生态系统的扰动，保证了不因油田开发活动加重生态系统的退化、沙化、盐碱化等。针对水土流失，</w:t>
      </w:r>
      <w:r>
        <w:rPr>
          <w:rFonts w:hint="eastAsia" w:ascii="Times New Roman" w:hAnsi="Times New Roman" w:cs="Times New Roman" w:eastAsiaTheme="minorEastAsia"/>
          <w:bCs/>
          <w:color w:val="000000" w:themeColor="text1"/>
          <w:w w:val="99"/>
          <w:sz w:val="24"/>
          <w:szCs w:val="24"/>
          <w:lang w:val="en-US" w:eastAsia="zh-CN" w:bidi="ar-SA"/>
          <w14:textFill>
            <w14:solidFill>
              <w14:schemeClr w14:val="tx1"/>
            </w14:solidFill>
          </w14:textFill>
        </w:rPr>
        <w:t>第五采油厂</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采取了井场平整、压实，开挖土方已合理利用填埋；施工期间</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未对占地外的地表植被造成碾压和破坏；在油田道路地势较低，容易汇水形成径流冲刷的路段，设置了钢筋砼板涵，保证了道路两侧洪沟的畅通；生产期已严格作好道路泄洪桥涵洞的疏通、维修工作，保证了各类设施的泄洪能力；管道工程施工期间，划定了施工活动范围，车辆均采用“一”字型作业法，严格避免开辟新路，管沟挖、填方作业做到了互补平衡，未造成弃土方堆积和过多借土，未增加新的水土流失，管沟回填阶段均按层回填，回填后予以平整、压实，施工期间对开发建设施工材料划定了适宜的堆料场，未破坏占地外的植被，未增加裸地面积而新增的水土流失。</w:t>
      </w:r>
    </w:p>
    <w:p w14:paraId="5532E139">
      <w:pPr>
        <w:autoSpaceDE/>
        <w:autoSpaceDN/>
        <w:snapToGrid w:val="0"/>
        <w:spacing w:line="440" w:lineRule="exact"/>
        <w:ind w:firstLine="474" w:firstLineChars="200"/>
        <w:jc w:val="both"/>
        <w:rPr>
          <w:rFonts w:ascii="Times New Roman" w:hAnsi="Times New Roman" w:cs="Times New Roman" w:eastAsiaTheme="minorEastAsia"/>
          <w:bCs/>
          <w:color w:val="000000" w:themeColor="text1"/>
          <w:w w:val="99"/>
          <w:sz w:val="24"/>
          <w:szCs w:val="24"/>
          <w:lang w:val="en-US"/>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本工程区域内已建井的井场永久性占地面积符合要求，井场地面均进行了平整，场站内道路两侧和场站院墙内外均已绿化，生态恢复较好。井场永久性占地面积符合设计要求，井场地面均进行了平整，在临时性占地范围内，地表基本进行了平整，并已完成了生态恢复。</w:t>
      </w:r>
      <w:r>
        <w:rPr>
          <w:rFonts w:hint="eastAsia" w:ascii="Times New Roman" w:hAnsi="Times New Roman" w:cs="Times New Roman" w:eastAsiaTheme="minorEastAsia"/>
          <w:bCs/>
          <w:color w:val="000000" w:themeColor="text1"/>
          <w:w w:val="99"/>
          <w:sz w:val="24"/>
          <w:szCs w:val="24"/>
          <w:lang w:val="en-US"/>
          <w14:textFill>
            <w14:solidFill>
              <w14:schemeClr w14:val="tx1"/>
            </w14:solidFill>
          </w14:textFill>
        </w:rPr>
        <w:t>区块内</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已建井场周边生态恢复情况见图</w:t>
      </w:r>
      <w:r>
        <w:rPr>
          <w:rFonts w:hint="eastAsia" w:ascii="Times New Roman" w:hAnsi="Times New Roman" w:cs="Times New Roman" w:eastAsiaTheme="minorEastAsia"/>
          <w:bCs/>
          <w:color w:val="000000" w:themeColor="text1"/>
          <w:w w:val="99"/>
          <w:sz w:val="24"/>
          <w:szCs w:val="24"/>
          <w:lang w:val="en-US"/>
          <w14:textFill>
            <w14:solidFill>
              <w14:schemeClr w14:val="tx1"/>
            </w14:solidFill>
          </w14:textFill>
        </w:rPr>
        <w:t>4</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.3-1。</w:t>
      </w:r>
    </w:p>
    <w:p w14:paraId="2B3E46B0">
      <w:pPr>
        <w:pStyle w:val="101"/>
        <w:spacing w:before="120" w:after="48"/>
        <w:rPr>
          <w:color w:val="000000" w:themeColor="text1"/>
          <w:lang w:bidi="zh-CN"/>
          <w14:textFill>
            <w14:solidFill>
              <w14:schemeClr w14:val="tx1"/>
            </w14:solidFill>
          </w14:textFill>
        </w:rPr>
      </w:pPr>
      <w:r>
        <w:rPr>
          <w:color w:val="000000" w:themeColor="text1"/>
          <w14:textFill>
            <w14:solidFill>
              <w14:schemeClr w14:val="tx1"/>
            </w14:solidFill>
          </w14:textFill>
        </w:rPr>
        <w:drawing>
          <wp:inline distT="0" distB="0" distL="0" distR="0">
            <wp:extent cx="2791460" cy="1766570"/>
            <wp:effectExtent l="0" t="0" r="889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08795" cy="1777675"/>
                    </a:xfrm>
                    <a:prstGeom prst="rect">
                      <a:avLst/>
                    </a:prstGeom>
                  </pic:spPr>
                </pic:pic>
              </a:graphicData>
            </a:graphic>
          </wp:inline>
        </w:drawing>
      </w:r>
      <w:r>
        <w:rPr>
          <w:rFonts w:hint="eastAsia"/>
          <w:color w:val="000000" w:themeColor="text1"/>
          <w:lang w:bidi="zh-CN"/>
          <w14:textFill>
            <w14:solidFill>
              <w14:schemeClr w14:val="tx1"/>
            </w14:solidFill>
          </w14:textFill>
        </w:rPr>
        <w:t xml:space="preserve"> </w:t>
      </w:r>
      <w:r>
        <w:rPr>
          <w:rFonts w:hint="eastAsia"/>
          <w:color w:val="000000" w:themeColor="text1"/>
          <w14:textFill>
            <w14:solidFill>
              <w14:schemeClr w14:val="tx1"/>
            </w14:solidFill>
          </w14:textFill>
        </w:rPr>
        <w:drawing>
          <wp:inline distT="0" distB="0" distL="0" distR="0">
            <wp:extent cx="2694305" cy="1769110"/>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13904" cy="1781945"/>
                    </a:xfrm>
                    <a:prstGeom prst="rect">
                      <a:avLst/>
                    </a:prstGeom>
                  </pic:spPr>
                </pic:pic>
              </a:graphicData>
            </a:graphic>
          </wp:inline>
        </w:drawing>
      </w:r>
    </w:p>
    <w:p w14:paraId="100409FF">
      <w:pPr>
        <w:jc w:val="center"/>
        <w:rPr>
          <w:color w:val="000000" w:themeColor="text1"/>
          <w:lang w:val="en-US"/>
          <w14:textFill>
            <w14:solidFill>
              <w14:schemeClr w14:val="tx1"/>
            </w14:solidFill>
          </w14:textFill>
        </w:rPr>
      </w:pPr>
      <w:r>
        <w:rPr>
          <w:rFonts w:hint="eastAsia"/>
          <w:color w:val="000000" w:themeColor="text1"/>
          <w:lang w:val="en-US" w:bidi="ar-SA"/>
          <w14:textFill>
            <w14:solidFill>
              <w14:schemeClr w14:val="tx1"/>
            </w14:solidFill>
          </w14:textFill>
        </w:rPr>
        <w:drawing>
          <wp:inline distT="0" distB="0" distL="0" distR="0">
            <wp:extent cx="2763520" cy="19145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81482" cy="1926892"/>
                    </a:xfrm>
                    <a:prstGeom prst="rect">
                      <a:avLst/>
                    </a:prstGeom>
                  </pic:spPr>
                </pic:pic>
              </a:graphicData>
            </a:graphic>
          </wp:inline>
        </w:drawing>
      </w:r>
      <w:r>
        <w:rPr>
          <w:color w:val="000000" w:themeColor="text1"/>
          <w:lang w:val="en-US" w:bidi="ar-SA"/>
          <w14:textFill>
            <w14:solidFill>
              <w14:schemeClr w14:val="tx1"/>
            </w14:solidFill>
          </w14:textFill>
        </w:rPr>
        <w:t xml:space="preserve"> </w:t>
      </w:r>
      <w:r>
        <w:rPr>
          <w:color w:val="000000" w:themeColor="text1"/>
          <w:lang w:val="en-US" w:bidi="ar-SA"/>
          <w14:textFill>
            <w14:solidFill>
              <w14:schemeClr w14:val="tx1"/>
            </w14:solidFill>
          </w14:textFill>
        </w:rPr>
        <w:drawing>
          <wp:inline distT="0" distB="0" distL="0" distR="0">
            <wp:extent cx="2672080" cy="1915795"/>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89956" cy="1929021"/>
                    </a:xfrm>
                    <a:prstGeom prst="rect">
                      <a:avLst/>
                    </a:prstGeom>
                  </pic:spPr>
                </pic:pic>
              </a:graphicData>
            </a:graphic>
          </wp:inline>
        </w:drawing>
      </w:r>
    </w:p>
    <w:p w14:paraId="7CC1A834">
      <w:pPr>
        <w:pStyle w:val="101"/>
        <w:spacing w:before="120" w:after="48"/>
        <w:rPr>
          <w:color w:val="000000" w:themeColor="text1"/>
          <w:lang w:bidi="zh-CN"/>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2749550" cy="1903095"/>
            <wp:effectExtent l="0" t="0" r="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68174" cy="1915673"/>
                    </a:xfrm>
                    <a:prstGeom prst="rect">
                      <a:avLst/>
                    </a:prstGeom>
                  </pic:spPr>
                </pic:pic>
              </a:graphicData>
            </a:graphic>
          </wp:inline>
        </w:drawing>
      </w: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drawing>
          <wp:inline distT="0" distB="0" distL="0" distR="0">
            <wp:extent cx="2678430" cy="191135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89807" cy="1919724"/>
                    </a:xfrm>
                    <a:prstGeom prst="rect">
                      <a:avLst/>
                    </a:prstGeom>
                  </pic:spPr>
                </pic:pic>
              </a:graphicData>
            </a:graphic>
          </wp:inline>
        </w:drawing>
      </w:r>
    </w:p>
    <w:p w14:paraId="276909AA">
      <w:pPr>
        <w:jc w:val="center"/>
        <w:rPr>
          <w:b/>
          <w:color w:val="000000" w:themeColor="text1"/>
          <w:lang w:val="en-US"/>
          <w14:textFill>
            <w14:solidFill>
              <w14:schemeClr w14:val="tx1"/>
            </w14:solidFill>
          </w14:textFill>
        </w:rPr>
      </w:pP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图</w:t>
      </w:r>
      <w:r>
        <w:rPr>
          <w:rFonts w:hint="eastAsia" w:ascii="Times New Roman" w:hAnsi="Times New Roman" w:cs="Times New Roman" w:eastAsiaTheme="minorEastAsia"/>
          <w:b/>
          <w:bCs/>
          <w:color w:val="000000" w:themeColor="text1"/>
          <w:w w:val="99"/>
          <w:sz w:val="24"/>
          <w:szCs w:val="24"/>
          <w:lang w:val="en-US"/>
          <w14:textFill>
            <w14:solidFill>
              <w14:schemeClr w14:val="tx1"/>
            </w14:solidFill>
          </w14:textFill>
        </w:rPr>
        <w:t>4</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 xml:space="preserve">.3-1    </w:t>
      </w:r>
      <w:r>
        <w:rPr>
          <w:rFonts w:hint="eastAsia" w:ascii="Times New Roman" w:hAnsi="Times New Roman" w:cs="Times New Roman" w:eastAsiaTheme="minorEastAsia"/>
          <w:b/>
          <w:bCs/>
          <w:color w:val="000000" w:themeColor="text1"/>
          <w:w w:val="99"/>
          <w:sz w:val="24"/>
          <w:szCs w:val="24"/>
          <w:lang w:val="en-US"/>
          <w14:textFill>
            <w14:solidFill>
              <w14:schemeClr w14:val="tx1"/>
            </w14:solidFill>
          </w14:textFill>
        </w:rPr>
        <w:t>区块内</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已建井场周边生态恢复情况</w:t>
      </w:r>
    </w:p>
    <w:p w14:paraId="1BF722E6">
      <w:pPr>
        <w:widowControl/>
        <w:autoSpaceDE/>
        <w:autoSpaceDN/>
        <w:spacing w:line="440" w:lineRule="exact"/>
        <w:jc w:val="both"/>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t>4.3.6.8 主要生态环境问题</w:t>
      </w:r>
    </w:p>
    <w:p w14:paraId="73028733">
      <w:pPr>
        <w:autoSpaceDE/>
        <w:autoSpaceDN/>
        <w:snapToGrid w:val="0"/>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根据现场调查，本工程所在区域内生态环境主要为草地生态系统、农田生态系统，为保护区域生态环境，</w:t>
      </w:r>
      <w:r>
        <w:rPr>
          <w:rFonts w:hint="eastAsia" w:ascii="Times New Roman" w:hAnsi="Times New Roman" w:cs="Times New Roman" w:eastAsiaTheme="minorEastAsia"/>
          <w:color w:val="000000" w:themeColor="text1"/>
          <w:w w:val="99"/>
          <w:sz w:val="24"/>
          <w:szCs w:val="24"/>
          <w:lang w:val="en-US" w:eastAsia="zh-CN" w:bidi="ar-SA"/>
          <w14:textFill>
            <w14:solidFill>
              <w14:schemeClr w14:val="tx1"/>
            </w14:solidFill>
          </w14:textFill>
        </w:rPr>
        <w:t>第五采油厂</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在施工时采取了一系列的生态保护措施后，油田的开发对区域生态系统没有造成明显影响。</w:t>
      </w:r>
    </w:p>
    <w:p w14:paraId="4309B1D4">
      <w:pPr>
        <w:widowControl/>
        <w:autoSpaceDE/>
        <w:autoSpaceDN/>
        <w:spacing w:line="440" w:lineRule="exact"/>
        <w:jc w:val="both"/>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t>4.3.6.9 生态环境现状评价结论</w:t>
      </w:r>
    </w:p>
    <w:p w14:paraId="65F7E70F">
      <w:pPr>
        <w:autoSpaceDE/>
        <w:autoSpaceDN/>
        <w:snapToGrid w:val="0"/>
        <w:spacing w:line="440" w:lineRule="exact"/>
        <w:ind w:firstLine="474" w:firstLineChars="200"/>
        <w:jc w:val="both"/>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本项目评价范围内生态系统类型包括草地生态系统和农田生态系统。本项目评价范围内土地利用类型以耕地和草地为主，工程所在区域内主要土壤类型以风沙土、草甸土为主，工程所在区域人类活动频繁，野生动物较少。</w:t>
      </w:r>
    </w:p>
    <w:bookmarkEnd w:id="404"/>
    <w:p w14:paraId="72680A81">
      <w:pPr>
        <w:autoSpaceDE/>
        <w:autoSpaceDN/>
        <w:spacing w:before="120" w:after="120" w:line="440" w:lineRule="exact"/>
        <w:outlineLvl w:val="1"/>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405" w:name="_Toc106810342"/>
      <w:bookmarkStart w:id="406" w:name="_Toc117794584"/>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4.4区域污染源调查</w:t>
      </w:r>
      <w:bookmarkEnd w:id="405"/>
      <w:bookmarkEnd w:id="406"/>
    </w:p>
    <w:p w14:paraId="1C67F1D3">
      <w:pPr>
        <w:autoSpaceDE/>
        <w:autoSpaceDN/>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本工程为石油开采项目，经现场调查，区域内污染源主要为拉油点、井场、场站</w:t>
      </w:r>
      <w:r>
        <w:rPr>
          <w:rFonts w:ascii="Times New Roman" w:hAnsi="Times New Roman" w:cs="Times New Roman" w:eastAsiaTheme="minorEastAsia"/>
          <w:color w:val="000000" w:themeColor="text1"/>
          <w:w w:val="99"/>
          <w:sz w:val="24"/>
          <w:szCs w:val="24"/>
          <w:lang w:val="en-US"/>
          <w14:textFill>
            <w14:solidFill>
              <w14:schemeClr w14:val="tx1"/>
            </w14:solidFill>
          </w14:textFill>
        </w:rPr>
        <w:t>等，</w:t>
      </w:r>
      <w:r>
        <w:rPr>
          <w:rFonts w:ascii="Times New Roman" w:hAnsi="Times New Roman" w:cs="Times New Roman" w:eastAsiaTheme="minorEastAsia"/>
          <w:color w:val="000000" w:themeColor="text1"/>
          <w:w w:val="99"/>
          <w:sz w:val="24"/>
          <w:szCs w:val="24"/>
          <w14:textFill>
            <w14:solidFill>
              <w14:schemeClr w14:val="tx1"/>
            </w14:solidFill>
          </w14:textFill>
        </w:rPr>
        <w:t>污染物主要为油田拉油点</w:t>
      </w:r>
      <w:r>
        <w:rPr>
          <w:rFonts w:hint="eastAsia"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14:textFill>
            <w14:solidFill>
              <w14:schemeClr w14:val="tx1"/>
            </w14:solidFill>
          </w14:textFill>
        </w:rPr>
        <w:t>区块内已建</w:t>
      </w:r>
      <w:r>
        <w:rPr>
          <w:rFonts w:hint="eastAsia" w:ascii="Times New Roman" w:hAnsi="Times New Roman" w:cs="Times New Roman" w:eastAsiaTheme="minorEastAsia"/>
          <w:color w:val="000000" w:themeColor="text1"/>
          <w:w w:val="99"/>
          <w:sz w:val="24"/>
          <w:szCs w:val="24"/>
          <w14:textFill>
            <w14:solidFill>
              <w14:schemeClr w14:val="tx1"/>
            </w14:solidFill>
          </w14:textFill>
        </w:rPr>
        <w:t>油水</w:t>
      </w:r>
      <w:r>
        <w:rPr>
          <w:rFonts w:ascii="Times New Roman" w:hAnsi="Times New Roman" w:cs="Times New Roman" w:eastAsiaTheme="minorEastAsia"/>
          <w:color w:val="000000" w:themeColor="text1"/>
          <w:w w:val="99"/>
          <w:sz w:val="24"/>
          <w:szCs w:val="24"/>
          <w14:textFill>
            <w14:solidFill>
              <w14:schemeClr w14:val="tx1"/>
            </w14:solidFill>
          </w14:textFill>
        </w:rPr>
        <w:t>井、龙一联合站，产生的废气、废水、噪声、固废等污染物。</w:t>
      </w:r>
    </w:p>
    <w:p w14:paraId="5AB4E1F9">
      <w:pPr>
        <w:tabs>
          <w:tab w:val="left" w:pos="892"/>
        </w:tabs>
        <w:autoSpaceDE/>
        <w:autoSpaceDN/>
        <w:spacing w:before="60" w:after="60" w:line="440" w:lineRule="exact"/>
        <w:jc w:val="both"/>
        <w:outlineLvl w:val="2"/>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bookmarkStart w:id="407" w:name="_Toc38296428"/>
      <w:bookmarkStart w:id="408" w:name="_Toc41655205"/>
      <w:bookmarkStart w:id="409" w:name="_Toc38545061"/>
      <w:bookmarkStart w:id="410" w:name="_Toc106810343"/>
      <w:bookmarkStart w:id="411" w:name="_Toc80971423"/>
      <w:bookmarkStart w:id="412" w:name="_Toc84929278"/>
      <w:bookmarkStart w:id="413" w:name="_Toc100822157"/>
      <w:bookmarkStart w:id="414" w:name="_Toc86141977"/>
      <w:bookmarkStart w:id="415" w:name="_Toc78816506"/>
      <w:bookmarkStart w:id="416" w:name="_Toc76976292"/>
      <w:bookmarkStart w:id="417" w:name="_Toc70050227"/>
      <w:bookmarkStart w:id="418" w:name="_Toc85640802"/>
      <w:bookmarkStart w:id="419" w:name="_Toc80588301"/>
      <w:bookmarkStart w:id="420" w:name="_Toc77067704"/>
      <w:bookmarkStart w:id="421" w:name="_Toc83209523"/>
      <w:bookmarkStart w:id="422" w:name="_Toc103610916"/>
      <w:bookmarkStart w:id="423" w:name="_Toc117794585"/>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4.4.1 大气污染源</w:t>
      </w:r>
      <w:bookmarkEnd w:id="407"/>
      <w:bookmarkEnd w:id="408"/>
      <w:bookmarkEnd w:id="409"/>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调查</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684E01BE">
      <w:pPr>
        <w:autoSpaceDE/>
        <w:autoSpaceDN/>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（1）工业废气</w:t>
      </w:r>
    </w:p>
    <w:p w14:paraId="13A5D2A2">
      <w:pPr>
        <w:autoSpaceDE/>
        <w:autoSpaceDN/>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主要包括九合一</w:t>
      </w:r>
      <w:r>
        <w:rPr>
          <w:rFonts w:hint="eastAsia" w:ascii="Times New Roman" w:hAnsi="Times New Roman" w:cs="Times New Roman" w:eastAsiaTheme="minorEastAsia"/>
          <w:color w:val="000000" w:themeColor="text1"/>
          <w:w w:val="99"/>
          <w:sz w:val="24"/>
          <w:szCs w:val="24"/>
          <w14:textFill>
            <w14:solidFill>
              <w14:schemeClr w14:val="tx1"/>
            </w14:solidFill>
          </w14:textFill>
        </w:rPr>
        <w:t>装置及</w:t>
      </w:r>
      <w:r>
        <w:rPr>
          <w:rFonts w:ascii="Times New Roman" w:hAnsi="Times New Roman" w:cs="Times New Roman" w:eastAsiaTheme="minorEastAsia"/>
          <w:color w:val="000000" w:themeColor="text1"/>
          <w:w w:val="99"/>
          <w:sz w:val="24"/>
          <w:szCs w:val="24"/>
          <w14:textFill>
            <w14:solidFill>
              <w14:schemeClr w14:val="tx1"/>
            </w14:solidFill>
          </w14:textFill>
        </w:rPr>
        <w:t>场站的加热炉烟气、场站及井场原油集输产生的工艺废气。产生的废气污染物主要包括SO</w:t>
      </w:r>
      <w:r>
        <w:rPr>
          <w:rFonts w:ascii="Times New Roman" w:hAnsi="Times New Roman" w:cs="Times New Roman" w:eastAsiaTheme="minorEastAsia"/>
          <w:color w:val="000000" w:themeColor="text1"/>
          <w:w w:val="99"/>
          <w:sz w:val="24"/>
          <w:szCs w:val="24"/>
          <w:vertAlign w:val="subscript"/>
          <w14:textFill>
            <w14:solidFill>
              <w14:schemeClr w14:val="tx1"/>
            </w14:solidFill>
          </w14:textFill>
        </w:rPr>
        <w:t>2</w:t>
      </w:r>
      <w:r>
        <w:rPr>
          <w:rFonts w:ascii="Times New Roman" w:hAnsi="Times New Roman" w:cs="Times New Roman" w:eastAsiaTheme="minorEastAsia"/>
          <w:color w:val="000000" w:themeColor="text1"/>
          <w:w w:val="99"/>
          <w:sz w:val="24"/>
          <w:szCs w:val="24"/>
          <w14:textFill>
            <w14:solidFill>
              <w14:schemeClr w14:val="tx1"/>
            </w14:solidFill>
          </w14:textFill>
        </w:rPr>
        <w:t>、NO</w:t>
      </w:r>
      <w:r>
        <w:rPr>
          <w:rFonts w:ascii="Times New Roman" w:hAnsi="Times New Roman" w:cs="Times New Roman" w:eastAsiaTheme="minorEastAsia"/>
          <w:color w:val="000000" w:themeColor="text1"/>
          <w:w w:val="99"/>
          <w:sz w:val="24"/>
          <w:szCs w:val="24"/>
          <w:vertAlign w:val="subscript"/>
          <w14:textFill>
            <w14:solidFill>
              <w14:schemeClr w14:val="tx1"/>
            </w14:solidFill>
          </w14:textFill>
        </w:rPr>
        <w:t>x</w:t>
      </w:r>
      <w:r>
        <w:rPr>
          <w:rFonts w:ascii="Times New Roman" w:hAnsi="Times New Roman" w:cs="Times New Roman" w:eastAsiaTheme="minorEastAsia"/>
          <w:color w:val="000000" w:themeColor="text1"/>
          <w:w w:val="99"/>
          <w:sz w:val="24"/>
          <w:szCs w:val="24"/>
          <w14:textFill>
            <w14:solidFill>
              <w14:schemeClr w14:val="tx1"/>
            </w14:solidFill>
          </w14:textFill>
        </w:rPr>
        <w:t>、颗粒物、非甲烷总烃等。</w:t>
      </w:r>
    </w:p>
    <w:p w14:paraId="7B668689">
      <w:pPr>
        <w:autoSpaceDE/>
        <w:autoSpaceDN/>
        <w:spacing w:line="440" w:lineRule="exact"/>
        <w:ind w:firstLine="474" w:firstLineChars="200"/>
        <w:rPr>
          <w:rFonts w:ascii="Times New Roman" w:hAnsi="Times New Roman" w:cs="Times New Roman" w:eastAsiaTheme="minorEastAsia"/>
          <w:bCs/>
          <w:color w:val="000000" w:themeColor="text1"/>
          <w:w w:val="99"/>
          <w:sz w:val="24"/>
          <w:szCs w:val="24"/>
          <w:lang w:val="en-US"/>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14:textFill>
            <w14:solidFill>
              <w14:schemeClr w14:val="tx1"/>
            </w14:solidFill>
          </w14:textFill>
        </w:rPr>
        <w:t>本项目位于龙虎泡油田龙</w:t>
      </w:r>
      <w:r>
        <w:rPr>
          <w:rFonts w:hint="eastAsia" w:ascii="Times New Roman" w:hAnsi="Times New Roman" w:cs="Times New Roman" w:eastAsiaTheme="minorEastAsia"/>
          <w:bCs/>
          <w:color w:val="000000" w:themeColor="text1"/>
          <w:w w:val="99"/>
          <w:sz w:val="24"/>
          <w:szCs w:val="24"/>
          <w:lang w:val="en-US"/>
          <w14:textFill>
            <w14:solidFill>
              <w14:schemeClr w14:val="tx1"/>
            </w14:solidFill>
          </w14:textFill>
        </w:rPr>
        <w:t>2</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6区块，区域内排放的非甲烷总烃主要为区域内井场、集输管线、拉油点及场站在运行过程中无组织挥发的非甲烷总烃，现有</w:t>
      </w:r>
      <w:r>
        <w:rPr>
          <w:rFonts w:hint="eastAsia" w:ascii="Times New Roman" w:hAnsi="Times New Roman" w:cs="Times New Roman" w:eastAsiaTheme="minorEastAsia"/>
          <w:bCs/>
          <w:color w:val="000000" w:themeColor="text1"/>
          <w:w w:val="99"/>
          <w:sz w:val="24"/>
          <w:szCs w:val="24"/>
          <w:lang w:val="en-US"/>
          <w14:textFill>
            <w14:solidFill>
              <w14:schemeClr w14:val="tx1"/>
            </w14:solidFill>
          </w14:textFill>
        </w:rPr>
        <w:t>区块</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非甲烷总烃挥发量为454.92t/a。</w:t>
      </w:r>
    </w:p>
    <w:p w14:paraId="1F84F41F">
      <w:pPr>
        <w:autoSpaceDE/>
        <w:autoSpaceDN/>
        <w:spacing w:line="440" w:lineRule="exact"/>
        <w:ind w:firstLine="474" w:firstLineChars="200"/>
        <w:rPr>
          <w:rFonts w:ascii="Times New Roman" w:hAnsi="Times New Roman" w:cs="Times New Roman" w:eastAsiaTheme="minorEastAsia"/>
          <w:bCs/>
          <w:color w:val="000000" w:themeColor="text1"/>
          <w:w w:val="99"/>
          <w:sz w:val="24"/>
          <w:szCs w:val="24"/>
          <w:lang w:val="en-US"/>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14:textFill>
            <w14:solidFill>
              <w14:schemeClr w14:val="tx1"/>
            </w14:solidFill>
          </w14:textFill>
        </w:rPr>
        <w:t>区域内锅炉废气主要来自拉油点内</w:t>
      </w:r>
      <w:r>
        <w:rPr>
          <w:rFonts w:hint="eastAsia" w:ascii="Times New Roman" w:hAnsi="Times New Roman" w:cs="Times New Roman" w:eastAsiaTheme="minorEastAsia"/>
          <w:bCs/>
          <w:color w:val="000000" w:themeColor="text1"/>
          <w:w w:val="99"/>
          <w:sz w:val="24"/>
          <w:szCs w:val="24"/>
          <w:lang w:val="en-US"/>
          <w14:textFill>
            <w14:solidFill>
              <w14:schemeClr w14:val="tx1"/>
            </w14:solidFill>
          </w14:textFill>
        </w:rPr>
        <w:t>九合一</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装置、</w:t>
      </w:r>
      <w:r>
        <w:rPr>
          <w:rFonts w:hint="eastAsia" w:ascii="Times New Roman" w:hAnsi="Times New Roman" w:cs="Times New Roman" w:eastAsiaTheme="minorEastAsia"/>
          <w:bCs/>
          <w:color w:val="000000" w:themeColor="text1"/>
          <w:w w:val="99"/>
          <w:sz w:val="24"/>
          <w:szCs w:val="24"/>
          <w:lang w:val="en-US"/>
          <w14:textFill>
            <w14:solidFill>
              <w14:schemeClr w14:val="tx1"/>
            </w14:solidFill>
          </w14:textFill>
        </w:rPr>
        <w:t>龙一联合站</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加热炉排放的烟气。根据现有工程污染物排放情况调查，区块内锅炉废气颗粒物排放量为0.4271t/a，NO</w:t>
      </w:r>
      <w:r>
        <w:rPr>
          <w:rFonts w:ascii="Times New Roman" w:hAnsi="Times New Roman" w:cs="Times New Roman" w:eastAsiaTheme="minorEastAsia"/>
          <w:bCs/>
          <w:color w:val="000000" w:themeColor="text1"/>
          <w:w w:val="99"/>
          <w:sz w:val="24"/>
          <w:szCs w:val="24"/>
          <w:vertAlign w:val="subscript"/>
          <w:lang w:val="en-US"/>
          <w14:textFill>
            <w14:solidFill>
              <w14:schemeClr w14:val="tx1"/>
            </w14:solidFill>
          </w14:textFill>
        </w:rPr>
        <w:t>x</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排放量为3.5845t/a，SO</w:t>
      </w:r>
      <w:r>
        <w:rPr>
          <w:rFonts w:ascii="Times New Roman" w:hAnsi="Times New Roman" w:cs="Times New Roman" w:eastAsiaTheme="minorEastAsia"/>
          <w:bCs/>
          <w:color w:val="000000" w:themeColor="text1"/>
          <w:w w:val="99"/>
          <w:sz w:val="24"/>
          <w:szCs w:val="24"/>
          <w:vertAlign w:val="subscript"/>
          <w:lang w:val="en-US"/>
          <w14:textFill>
            <w14:solidFill>
              <w14:schemeClr w14:val="tx1"/>
            </w14:solidFill>
          </w14:textFill>
        </w:rPr>
        <w:t>2</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排放量为0.9932t/a。</w:t>
      </w:r>
    </w:p>
    <w:p w14:paraId="7346B0FF">
      <w:pPr>
        <w:autoSpaceDE/>
        <w:autoSpaceDN/>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（2）汽车尾气</w:t>
      </w:r>
    </w:p>
    <w:p w14:paraId="7A012856">
      <w:pPr>
        <w:autoSpaceDE/>
        <w:autoSpaceDN/>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由于项目的开发建设导致区内车辆、交通量增加，导致排放尾气增多，主要特征污染物为CO、NO</w:t>
      </w:r>
      <w:r>
        <w:rPr>
          <w:rFonts w:ascii="Times New Roman" w:hAnsi="Times New Roman" w:cs="Times New Roman" w:eastAsiaTheme="minorEastAsia"/>
          <w:color w:val="000000" w:themeColor="text1"/>
          <w:w w:val="99"/>
          <w:sz w:val="24"/>
          <w:szCs w:val="24"/>
          <w:vertAlign w:val="subscript"/>
          <w14:textFill>
            <w14:solidFill>
              <w14:schemeClr w14:val="tx1"/>
            </w14:solidFill>
          </w14:textFill>
        </w:rPr>
        <w:t>x</w:t>
      </w:r>
      <w:r>
        <w:rPr>
          <w:rFonts w:ascii="Times New Roman" w:hAnsi="Times New Roman" w:cs="Times New Roman" w:eastAsiaTheme="minorEastAsia"/>
          <w:color w:val="000000" w:themeColor="text1"/>
          <w:w w:val="99"/>
          <w:sz w:val="24"/>
          <w:szCs w:val="24"/>
          <w14:textFill>
            <w14:solidFill>
              <w14:schemeClr w14:val="tx1"/>
            </w14:solidFill>
          </w14:textFill>
        </w:rPr>
        <w:t>和碳氢化合物，属于流动源。</w:t>
      </w:r>
    </w:p>
    <w:p w14:paraId="19755545">
      <w:pPr>
        <w:tabs>
          <w:tab w:val="left" w:pos="892"/>
        </w:tabs>
        <w:autoSpaceDE/>
        <w:autoSpaceDN/>
        <w:spacing w:before="60" w:after="60" w:line="440" w:lineRule="exact"/>
        <w:jc w:val="both"/>
        <w:outlineLvl w:val="2"/>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bookmarkStart w:id="424" w:name="_Toc86141978"/>
      <w:bookmarkStart w:id="425" w:name="_Toc106810344"/>
      <w:bookmarkStart w:id="426" w:name="_Toc80588302"/>
      <w:bookmarkStart w:id="427" w:name="_Toc38296429"/>
      <w:bookmarkStart w:id="428" w:name="_Toc38545062"/>
      <w:bookmarkStart w:id="429" w:name="_Toc41655206"/>
      <w:bookmarkStart w:id="430" w:name="_Toc70050228"/>
      <w:bookmarkStart w:id="431" w:name="_Toc80971424"/>
      <w:bookmarkStart w:id="432" w:name="_Toc77067705"/>
      <w:bookmarkStart w:id="433" w:name="_Toc103610917"/>
      <w:bookmarkStart w:id="434" w:name="_Toc84929279"/>
      <w:bookmarkStart w:id="435" w:name="_Toc117794586"/>
      <w:bookmarkStart w:id="436" w:name="_Toc78816507"/>
      <w:bookmarkStart w:id="437" w:name="_Toc83209524"/>
      <w:bookmarkStart w:id="438" w:name="_Toc85640803"/>
      <w:bookmarkStart w:id="439" w:name="_Toc76976293"/>
      <w:bookmarkStart w:id="440" w:name="_Toc100822158"/>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4.4.2 废水污染源调查</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4554EC71">
      <w:pPr>
        <w:autoSpaceDE/>
        <w:autoSpaceDN/>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（1）生活污水污染源</w:t>
      </w:r>
    </w:p>
    <w:p w14:paraId="65FF839D">
      <w:pPr>
        <w:autoSpaceDE/>
        <w:autoSpaceDN/>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区域生活污水污染源主要来源于场站及拉油点值班人员，其污染物主要为COD、BOD</w:t>
      </w:r>
      <w:r>
        <w:rPr>
          <w:rFonts w:ascii="Times New Roman" w:hAnsi="Times New Roman" w:cs="Times New Roman" w:eastAsiaTheme="minorEastAsia"/>
          <w:color w:val="000000" w:themeColor="text1"/>
          <w:w w:val="99"/>
          <w:sz w:val="24"/>
          <w:szCs w:val="24"/>
          <w:vertAlign w:val="subscript"/>
          <w14:textFill>
            <w14:solidFill>
              <w14:schemeClr w14:val="tx1"/>
            </w14:solidFill>
          </w14:textFill>
        </w:rPr>
        <w:t>5</w:t>
      </w:r>
      <w:r>
        <w:rPr>
          <w:rFonts w:ascii="Times New Roman" w:hAnsi="Times New Roman" w:cs="Times New Roman" w:eastAsiaTheme="minorEastAsia"/>
          <w:color w:val="000000" w:themeColor="text1"/>
          <w:w w:val="99"/>
          <w:sz w:val="24"/>
          <w:szCs w:val="24"/>
          <w14:textFill>
            <w14:solidFill>
              <w14:schemeClr w14:val="tx1"/>
            </w14:solidFill>
          </w14:textFill>
        </w:rPr>
        <w:t>、SS、NH</w:t>
      </w:r>
      <w:r>
        <w:rPr>
          <w:rFonts w:ascii="Times New Roman" w:hAnsi="Times New Roman" w:cs="Times New Roman" w:eastAsiaTheme="minorEastAsia"/>
          <w:color w:val="000000" w:themeColor="text1"/>
          <w:w w:val="99"/>
          <w:sz w:val="24"/>
          <w:szCs w:val="24"/>
          <w:vertAlign w:val="subscript"/>
          <w14:textFill>
            <w14:solidFill>
              <w14:schemeClr w14:val="tx1"/>
            </w14:solidFill>
          </w14:textFill>
        </w:rPr>
        <w:t>3</w:t>
      </w:r>
      <w:r>
        <w:rPr>
          <w:rFonts w:ascii="Times New Roman" w:hAnsi="Times New Roman" w:cs="Times New Roman" w:eastAsiaTheme="minorEastAsia"/>
          <w:color w:val="000000" w:themeColor="text1"/>
          <w:w w:val="99"/>
          <w:sz w:val="24"/>
          <w:szCs w:val="24"/>
          <w14:textFill>
            <w14:solidFill>
              <w14:schemeClr w14:val="tx1"/>
            </w14:solidFill>
          </w14:textFill>
        </w:rPr>
        <w:t>-N等，</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生活污水产生量约</w:t>
      </w:r>
      <w:r>
        <w:rPr>
          <w:rFonts w:hint="eastAsia" w:ascii="Times New Roman" w:hAnsi="Times New Roman" w:cs="Times New Roman" w:eastAsiaTheme="minorEastAsia"/>
          <w:bCs/>
          <w:color w:val="000000" w:themeColor="text1"/>
          <w:w w:val="99"/>
          <w:sz w:val="24"/>
          <w:szCs w:val="24"/>
          <w:lang w:val="en-US"/>
          <w14:textFill>
            <w14:solidFill>
              <w14:schemeClr w14:val="tx1"/>
            </w14:solidFill>
          </w14:textFill>
        </w:rPr>
        <w:t>3</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03.7m</w:t>
      </w:r>
      <w:r>
        <w:rPr>
          <w:rFonts w:ascii="Times New Roman" w:hAnsi="Times New Roman" w:cs="Times New Roman" w:eastAsiaTheme="minorEastAsia"/>
          <w:bCs/>
          <w:color w:val="000000" w:themeColor="text1"/>
          <w:w w:val="99"/>
          <w:sz w:val="24"/>
          <w:szCs w:val="24"/>
          <w:vertAlign w:val="superscript"/>
          <w:lang w:val="en-US"/>
          <w14:textFill>
            <w14:solidFill>
              <w14:schemeClr w14:val="tx1"/>
            </w14:solidFill>
          </w14:textFill>
        </w:rPr>
        <w:t>3</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/a，</w:t>
      </w:r>
      <w:r>
        <w:rPr>
          <w:rFonts w:ascii="Times New Roman" w:hAnsi="Times New Roman" w:cs="Times New Roman" w:eastAsiaTheme="minorEastAsia"/>
          <w:bCs/>
          <w:color w:val="000000" w:themeColor="text1"/>
          <w:w w:val="99"/>
          <w:kern w:val="2"/>
          <w:sz w:val="24"/>
          <w:szCs w:val="20"/>
          <w:lang w:val="en-US" w:bidi="ar-SA"/>
          <w14:textFill>
            <w14:solidFill>
              <w14:schemeClr w14:val="tx1"/>
            </w14:solidFill>
          </w14:textFill>
        </w:rPr>
        <w:t>生活污水排入拉油点已建防渗旱厕，定期清掏外运堆肥处理</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w:t>
      </w:r>
    </w:p>
    <w:p w14:paraId="166912B4">
      <w:pPr>
        <w:autoSpaceDE/>
        <w:autoSpaceDN/>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（2）工业污水污染源</w:t>
      </w:r>
    </w:p>
    <w:p w14:paraId="523718F2">
      <w:pPr>
        <w:autoSpaceDE/>
        <w:autoSpaceDN/>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工业废水污染源主要为油田采出水、注采井作业污水、洗井污水，废水污染物为pH、SS、石油类等。</w:t>
      </w:r>
    </w:p>
    <w:p w14:paraId="68F2B727">
      <w:pPr>
        <w:autoSpaceDE/>
        <w:autoSpaceDN/>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14:textFill>
            <w14:solidFill>
              <w14:schemeClr w14:val="tx1"/>
            </w14:solidFill>
          </w14:textFill>
        </w:rPr>
        <w:t>区域内</w:t>
      </w:r>
      <w:r>
        <w:rPr>
          <w:rFonts w:ascii="Times New Roman" w:hAnsi="Times New Roman" w:cs="Times New Roman" w:eastAsiaTheme="minorEastAsia"/>
          <w:color w:val="000000" w:themeColor="text1"/>
          <w:w w:val="99"/>
          <w:sz w:val="24"/>
          <w:szCs w:val="24"/>
          <w:lang w:val="en-US"/>
          <w14:textFill>
            <w14:solidFill>
              <w14:schemeClr w14:val="tx1"/>
            </w14:solidFill>
          </w14:textFill>
        </w:rPr>
        <w:t>油田采出水量为7.81×10</w:t>
      </w:r>
      <w:r>
        <w:rPr>
          <w:rFonts w:ascii="Times New Roman" w:hAnsi="Times New Roman" w:cs="Times New Roman" w:eastAsiaTheme="minorEastAsia"/>
          <w:color w:val="000000" w:themeColor="text1"/>
          <w:w w:val="99"/>
          <w:sz w:val="24"/>
          <w:szCs w:val="24"/>
          <w:vertAlign w:val="superscript"/>
          <w:lang w:val="en-US"/>
          <w14:textFill>
            <w14:solidFill>
              <w14:schemeClr w14:val="tx1"/>
            </w14:solidFill>
          </w14:textFill>
        </w:rPr>
        <w:t>4</w:t>
      </w:r>
      <w:r>
        <w:rPr>
          <w:rFonts w:ascii="Times New Roman" w:hAnsi="Times New Roman" w:cs="Times New Roman" w:eastAsiaTheme="minorEastAsia"/>
          <w:color w:val="000000" w:themeColor="text1"/>
          <w:w w:val="99"/>
          <w:sz w:val="24"/>
          <w:szCs w:val="24"/>
          <w:lang w:val="en-US"/>
          <w14:textFill>
            <w14:solidFill>
              <w14:schemeClr w14:val="tx1"/>
            </w14:solidFill>
          </w14:textFill>
        </w:rPr>
        <w:t>t/a，</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区域内油水井作业（修井）产生的作业污水共计约802m</w:t>
      </w:r>
      <w:r>
        <w:rPr>
          <w:rFonts w:ascii="Times New Roman" w:hAnsi="Times New Roman" w:cs="Times New Roman" w:eastAsiaTheme="minorEastAsia"/>
          <w:bCs/>
          <w:color w:val="000000" w:themeColor="text1"/>
          <w:w w:val="99"/>
          <w:sz w:val="24"/>
          <w:szCs w:val="24"/>
          <w:vertAlign w:val="superscript"/>
          <w:lang w:val="en-US"/>
          <w14:textFill>
            <w14:solidFill>
              <w14:schemeClr w14:val="tx1"/>
            </w14:solidFill>
          </w14:textFill>
        </w:rPr>
        <w:t>3</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，区域内水井洗井产生的洗井污水共计约2280m</w:t>
      </w:r>
      <w:r>
        <w:rPr>
          <w:rFonts w:ascii="Times New Roman" w:hAnsi="Times New Roman" w:cs="Times New Roman" w:eastAsiaTheme="minorEastAsia"/>
          <w:bCs/>
          <w:color w:val="000000" w:themeColor="text1"/>
          <w:w w:val="99"/>
          <w:sz w:val="24"/>
          <w:szCs w:val="24"/>
          <w:vertAlign w:val="superscript"/>
          <w:lang w:val="en-US"/>
          <w14:textFill>
            <w14:solidFill>
              <w14:schemeClr w14:val="tx1"/>
            </w14:solidFill>
          </w14:textFill>
        </w:rPr>
        <w:t>3</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/a。区域内油田采出水、油水井作业污水、洗井污水均由</w:t>
      </w:r>
      <w:r>
        <w:rPr>
          <w:rFonts w:hint="eastAsia" w:ascii="Times New Roman" w:hAnsi="Times New Roman" w:cs="Times New Roman" w:eastAsiaTheme="minorEastAsia"/>
          <w:bCs/>
          <w:color w:val="000000" w:themeColor="text1"/>
          <w:w w:val="99"/>
          <w:sz w:val="24"/>
          <w:szCs w:val="24"/>
          <w:lang w:val="en-US"/>
          <w14:textFill>
            <w14:solidFill>
              <w14:schemeClr w14:val="tx1"/>
            </w14:solidFill>
          </w14:textFill>
        </w:rPr>
        <w:t>龙一联</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含油污水处理站处理达标后回注油层。</w:t>
      </w:r>
    </w:p>
    <w:p w14:paraId="32393B91">
      <w:pPr>
        <w:tabs>
          <w:tab w:val="left" w:pos="892"/>
        </w:tabs>
        <w:autoSpaceDE/>
        <w:autoSpaceDN/>
        <w:spacing w:before="60" w:after="60" w:line="440" w:lineRule="exact"/>
        <w:jc w:val="both"/>
        <w:outlineLvl w:val="2"/>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bookmarkStart w:id="441" w:name="_Toc70050229"/>
      <w:bookmarkStart w:id="442" w:name="_Toc38296430"/>
      <w:bookmarkStart w:id="443" w:name="_Toc78816508"/>
      <w:bookmarkStart w:id="444" w:name="_Toc83209525"/>
      <w:bookmarkStart w:id="445" w:name="_Toc86141979"/>
      <w:bookmarkStart w:id="446" w:name="_Toc84929280"/>
      <w:bookmarkStart w:id="447" w:name="_Toc41655207"/>
      <w:bookmarkStart w:id="448" w:name="_Toc85640804"/>
      <w:bookmarkStart w:id="449" w:name="_Toc77067706"/>
      <w:bookmarkStart w:id="450" w:name="_Toc100822159"/>
      <w:bookmarkStart w:id="451" w:name="_Toc80588303"/>
      <w:bookmarkStart w:id="452" w:name="_Toc80971425"/>
      <w:bookmarkStart w:id="453" w:name="_Toc117794587"/>
      <w:bookmarkStart w:id="454" w:name="_Toc103610918"/>
      <w:bookmarkStart w:id="455" w:name="_Toc76976294"/>
      <w:bookmarkStart w:id="456" w:name="_Toc106810345"/>
      <w:bookmarkStart w:id="457" w:name="_Toc38545063"/>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4.4.3 噪声污染源调查</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58AEFAD2">
      <w:pPr>
        <w:autoSpaceDE/>
        <w:autoSpaceDN/>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工业区工业噪声源主要分为2类，分别如下：</w:t>
      </w:r>
    </w:p>
    <w:p w14:paraId="4BD93FA0">
      <w:pPr>
        <w:autoSpaceDE/>
        <w:autoSpaceDN/>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第一类是工业企业噪声：主要为泵类、风机类、抽油机井等设备噪声，声级值65～95dB(A)，主要噪声源为</w:t>
      </w:r>
      <w:r>
        <w:rPr>
          <w:rFonts w:ascii="Times New Roman" w:hAnsi="Times New Roman" w:cs="Times New Roman" w:eastAsiaTheme="minorEastAsia"/>
          <w:color w:val="000000" w:themeColor="text1"/>
          <w:w w:val="99"/>
          <w:sz w:val="24"/>
          <w:szCs w:val="24"/>
          <w:lang w:val="en-US"/>
          <w14:textFill>
            <w14:solidFill>
              <w14:schemeClr w14:val="tx1"/>
            </w14:solidFill>
          </w14:textFill>
        </w:rPr>
        <w:t>区域内</w:t>
      </w:r>
      <w:r>
        <w:rPr>
          <w:rFonts w:hint="eastAsia" w:ascii="Times New Roman" w:hAnsi="Times New Roman" w:cs="Times New Roman" w:eastAsiaTheme="minorEastAsia"/>
          <w:color w:val="000000" w:themeColor="text1"/>
          <w:w w:val="99"/>
          <w:sz w:val="24"/>
          <w:szCs w:val="24"/>
          <w:lang w:val="en-US"/>
          <w14:textFill>
            <w14:solidFill>
              <w14:schemeClr w14:val="tx1"/>
            </w14:solidFill>
          </w14:textFill>
        </w:rPr>
        <w:t>场站</w:t>
      </w:r>
      <w:r>
        <w:rPr>
          <w:rFonts w:ascii="Times New Roman" w:hAnsi="Times New Roman" w:cs="Times New Roman" w:eastAsiaTheme="minorEastAsia"/>
          <w:color w:val="000000" w:themeColor="text1"/>
          <w:w w:val="99"/>
          <w:sz w:val="24"/>
          <w:szCs w:val="24"/>
          <w:lang w:val="en-US"/>
          <w14:textFill>
            <w14:solidFill>
              <w14:schemeClr w14:val="tx1"/>
            </w14:solidFill>
          </w14:textFill>
        </w:rPr>
        <w:t>、拉油点内九合一装置</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、抽油机井等</w:t>
      </w:r>
      <w:r>
        <w:rPr>
          <w:rFonts w:ascii="Times New Roman" w:hAnsi="Times New Roman" w:cs="Times New Roman" w:eastAsiaTheme="minorEastAsia"/>
          <w:color w:val="000000" w:themeColor="text1"/>
          <w:w w:val="99"/>
          <w:sz w:val="24"/>
          <w:szCs w:val="24"/>
          <w14:textFill>
            <w14:solidFill>
              <w14:schemeClr w14:val="tx1"/>
            </w14:solidFill>
          </w14:textFill>
        </w:rPr>
        <w:t>；</w:t>
      </w:r>
    </w:p>
    <w:p w14:paraId="686AC832">
      <w:pPr>
        <w:autoSpaceDE/>
        <w:autoSpaceDN/>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第二类是交通噪声：主要是井排路、通井路的运输车辆产生的噪声，声级值75-80dB(A)。</w:t>
      </w:r>
    </w:p>
    <w:p w14:paraId="638F15A8">
      <w:pPr>
        <w:tabs>
          <w:tab w:val="left" w:pos="892"/>
        </w:tabs>
        <w:autoSpaceDE/>
        <w:autoSpaceDN/>
        <w:spacing w:before="60" w:after="60" w:line="440" w:lineRule="exact"/>
        <w:jc w:val="both"/>
        <w:outlineLvl w:val="2"/>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bookmarkStart w:id="458" w:name="_Toc80971426"/>
      <w:bookmarkStart w:id="459" w:name="_Toc84929281"/>
      <w:bookmarkStart w:id="460" w:name="_Toc86141980"/>
      <w:bookmarkStart w:id="461" w:name="_Toc100822160"/>
      <w:bookmarkStart w:id="462" w:name="_Toc41655208"/>
      <w:bookmarkStart w:id="463" w:name="_Toc83209526"/>
      <w:bookmarkStart w:id="464" w:name="_Toc70050230"/>
      <w:bookmarkStart w:id="465" w:name="_Toc78816509"/>
      <w:bookmarkStart w:id="466" w:name="_Toc38296431"/>
      <w:bookmarkStart w:id="467" w:name="_Toc85640805"/>
      <w:bookmarkStart w:id="468" w:name="_Toc80588304"/>
      <w:bookmarkStart w:id="469" w:name="_Toc103610919"/>
      <w:bookmarkStart w:id="470" w:name="_Toc77067707"/>
      <w:bookmarkStart w:id="471" w:name="_Toc76976295"/>
      <w:bookmarkStart w:id="472" w:name="_Toc106810346"/>
      <w:bookmarkStart w:id="473" w:name="_Toc117794588"/>
      <w:bookmarkStart w:id="474" w:name="_Toc38545064"/>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4.4.4 固体废物污染源分析</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033EB2AA">
      <w:pPr>
        <w:autoSpaceDE/>
        <w:autoSpaceDN/>
        <w:snapToGrid w:val="0"/>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根据现状调查分析，</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区域内产生的固体废物主要为油井在进行作业过程中产生的含油污泥、废防渗布、生活垃圾等，</w:t>
      </w:r>
      <w:r>
        <w:rPr>
          <w:rFonts w:ascii="Times New Roman" w:hAnsi="Times New Roman" w:cs="Times New Roman" w:eastAsiaTheme="minorEastAsia"/>
          <w:bCs/>
          <w:color w:val="000000" w:themeColor="text1"/>
          <w:w w:val="99"/>
          <w:kern w:val="2"/>
          <w:sz w:val="24"/>
          <w:szCs w:val="24"/>
          <w:lang w:val="en-US" w:bidi="ar-SA"/>
          <w14:textFill>
            <w14:solidFill>
              <w14:schemeClr w14:val="tx1"/>
            </w14:solidFill>
          </w14:textFill>
        </w:rPr>
        <w:t>含油污泥由罐车拉运至</w:t>
      </w:r>
      <w:r>
        <w:rPr>
          <w:rFonts w:hint="eastAsia" w:ascii="Times New Roman" w:hAnsi="Times New Roman" w:cs="Times New Roman" w:eastAsiaTheme="minorEastAsia"/>
          <w:bCs/>
          <w:color w:val="000000" w:themeColor="text1"/>
          <w:w w:val="99"/>
          <w:kern w:val="2"/>
          <w:sz w:val="24"/>
          <w:szCs w:val="24"/>
          <w:lang w:val="en-US" w:eastAsia="zh-CN" w:bidi="ar-SA"/>
          <w14:textFill>
            <w14:solidFill>
              <w14:schemeClr w14:val="tx1"/>
            </w14:solidFill>
          </w14:textFill>
        </w:rPr>
        <w:t>第五采油厂</w:t>
      </w:r>
      <w:r>
        <w:rPr>
          <w:rFonts w:ascii="Times New Roman" w:hAnsi="Times New Roman" w:cs="Times New Roman" w:eastAsiaTheme="minorEastAsia"/>
          <w:bCs/>
          <w:color w:val="000000" w:themeColor="text1"/>
          <w:w w:val="99"/>
          <w:kern w:val="2"/>
          <w:sz w:val="24"/>
          <w:szCs w:val="24"/>
          <w:lang w:val="en-US" w:bidi="ar-SA"/>
          <w14:textFill>
            <w14:solidFill>
              <w14:schemeClr w14:val="tx1"/>
            </w14:solidFill>
          </w14:textFill>
        </w:rPr>
        <w:t>含油污泥处理站处理满足《油田含油污泥处置与利用污染控制要求》（DB23/T 3104-2022）表1中</w:t>
      </w:r>
      <w:r>
        <w:rPr>
          <w:rFonts w:ascii="Times New Roman" w:hAnsi="Times New Roman" w:cs="Times New Roman" w:eastAsiaTheme="minorEastAsia"/>
          <w:bCs/>
          <w:color w:val="000000" w:themeColor="text1"/>
          <w:w w:val="99"/>
          <w:kern w:val="2"/>
          <w:sz w:val="24"/>
          <w:szCs w:val="24"/>
          <w:lang w:val="en-US"/>
          <w14:textFill>
            <w14:solidFill>
              <w14:schemeClr w14:val="tx1"/>
            </w14:solidFill>
          </w14:textFill>
        </w:rPr>
        <w:t>油田含油污泥经处置后泥渣利用污染物控制限值后用作油田垫井场和通井路</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；区域内油井在进行作业过程中产生的含油废防渗布由建设单位收集后定期委托有资质单位处置；区域内拉油点产生的生活垃圾</w:t>
      </w:r>
      <w:r>
        <w:rPr>
          <w:rFonts w:ascii="Times New Roman" w:hAnsi="Times New Roman" w:cs="Times New Roman" w:eastAsiaTheme="minorEastAsia"/>
          <w:color w:val="000000" w:themeColor="text1"/>
          <w:w w:val="99"/>
          <w:sz w:val="24"/>
          <w:szCs w:val="24"/>
          <w:lang w:val="en-US" w:bidi="ar-SA"/>
          <w14:textFill>
            <w14:solidFill>
              <w14:schemeClr w14:val="tx1"/>
            </w14:solidFill>
          </w14:textFill>
        </w:rPr>
        <w:t>集中收集后拉运至大庆龙清生物科技有限公司进行处</w:t>
      </w:r>
      <w:r>
        <w:rPr>
          <w:rFonts w:ascii="Times New Roman" w:hAnsi="Times New Roman" w:cs="Times New Roman" w:eastAsiaTheme="minorEastAsia"/>
          <w:bCs/>
          <w:color w:val="000000" w:themeColor="text1"/>
          <w:w w:val="99"/>
          <w:sz w:val="24"/>
          <w:szCs w:val="20"/>
          <w:lang w:val="en-US" w:bidi="ar-SA"/>
          <w14:textFill>
            <w14:solidFill>
              <w14:schemeClr w14:val="tx1"/>
            </w14:solidFill>
          </w14:textFill>
        </w:rPr>
        <w:t>理</w:t>
      </w: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w:t>
      </w:r>
    </w:p>
    <w:bookmarkEnd w:id="396"/>
    <w:bookmarkEnd w:id="397"/>
    <w:bookmarkEnd w:id="398"/>
    <w:bookmarkEnd w:id="399"/>
    <w:bookmarkEnd w:id="400"/>
    <w:bookmarkEnd w:id="401"/>
    <w:bookmarkEnd w:id="402"/>
    <w:p w14:paraId="41D02D85">
      <w:pPr>
        <w:autoSpaceDE/>
        <w:autoSpaceDN/>
        <w:spacing w:before="180" w:after="180" w:line="440" w:lineRule="exact"/>
        <w:outlineLvl w:val="0"/>
        <w:rPr>
          <w:rFonts w:ascii="Times New Roman" w:hAnsi="Times New Roman" w:cs="Times New Roman" w:eastAsiaTheme="minorEastAsia"/>
          <w:b/>
          <w:snapToGrid w:val="0"/>
          <w:color w:val="000000" w:themeColor="text1"/>
          <w:w w:val="99"/>
          <w:kern w:val="2"/>
          <w:sz w:val="30"/>
          <w:szCs w:val="30"/>
          <w:lang w:val="en-US" w:bidi="ar-SA"/>
          <w14:textFill>
            <w14:solidFill>
              <w14:schemeClr w14:val="tx1"/>
            </w14:solidFill>
          </w14:textFill>
        </w:rPr>
        <w:sectPr>
          <w:headerReference r:id="rId7" w:type="default"/>
          <w:type w:val="nextColumn"/>
          <w:pgSz w:w="11907" w:h="16840"/>
          <w:pgMar w:top="1418" w:right="1418" w:bottom="1418" w:left="1418" w:header="851" w:footer="992" w:gutter="0"/>
          <w:cols w:space="720" w:num="1"/>
          <w:docGrid w:linePitch="319" w:charSpace="0"/>
        </w:sectPr>
      </w:pPr>
    </w:p>
    <w:p w14:paraId="493AB90B">
      <w:pPr>
        <w:pStyle w:val="3"/>
        <w:autoSpaceDE/>
        <w:autoSpaceDN/>
        <w:spacing w:before="180" w:after="180" w:line="440" w:lineRule="exact"/>
        <w:ind w:left="0" w:firstLine="0"/>
        <w:rPr>
          <w:rFonts w:ascii="Times New Roman" w:hAnsi="Times New Roman" w:cs="Times New Roman" w:eastAsiaTheme="minorEastAsia"/>
          <w:b/>
          <w:snapToGrid w:val="0"/>
          <w:color w:val="000000" w:themeColor="text1"/>
          <w:w w:val="99"/>
          <w:kern w:val="2"/>
          <w:sz w:val="30"/>
          <w:szCs w:val="30"/>
          <w:lang w:val="en-US" w:bidi="ar-SA"/>
          <w14:textFill>
            <w14:solidFill>
              <w14:schemeClr w14:val="tx1"/>
            </w14:solidFill>
          </w14:textFill>
        </w:rPr>
      </w:pPr>
      <w:bookmarkStart w:id="475" w:name="_bookmark21"/>
      <w:bookmarkEnd w:id="475"/>
      <w:bookmarkStart w:id="476" w:name="_bookmark26"/>
      <w:bookmarkEnd w:id="476"/>
      <w:bookmarkStart w:id="477" w:name="_bookmark30"/>
      <w:bookmarkEnd w:id="477"/>
      <w:bookmarkStart w:id="478" w:name="_Toc117794589"/>
      <w:r>
        <w:rPr>
          <w:rFonts w:ascii="Times New Roman" w:hAnsi="Times New Roman" w:cs="Times New Roman" w:eastAsiaTheme="minorEastAsia"/>
          <w:b/>
          <w:snapToGrid w:val="0"/>
          <w:color w:val="000000" w:themeColor="text1"/>
          <w:w w:val="99"/>
          <w:kern w:val="2"/>
          <w:sz w:val="30"/>
          <w:szCs w:val="30"/>
          <w:lang w:val="en-US" w:bidi="ar-SA"/>
          <w14:textFill>
            <w14:solidFill>
              <w14:schemeClr w14:val="tx1"/>
            </w14:solidFill>
          </w14:textFill>
        </w:rPr>
        <w:t>5 环境影响预测与评价</w:t>
      </w:r>
      <w:bookmarkEnd w:id="478"/>
    </w:p>
    <w:p w14:paraId="6CD9C937">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479" w:name="_bookmark31"/>
      <w:bookmarkEnd w:id="479"/>
      <w:bookmarkStart w:id="480" w:name="_Toc117794590"/>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5.1 环境空气影响预测与评价</w:t>
      </w:r>
      <w:bookmarkEnd w:id="480"/>
    </w:p>
    <w:p w14:paraId="7FAF2539">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481" w:name="_Toc117794591"/>
      <w:r>
        <w:rPr>
          <w:rFonts w:ascii="Times New Roman" w:hAnsi="Times New Roman" w:cs="Times New Roman" w:eastAsiaTheme="minorEastAsia"/>
          <w:color w:val="000000" w:themeColor="text1"/>
          <w:w w:val="99"/>
          <w:kern w:val="2"/>
          <w:lang w:val="en-US" w:bidi="ar-SA"/>
          <w14:textFill>
            <w14:solidFill>
              <w14:schemeClr w14:val="tx1"/>
            </w14:solidFill>
          </w14:textFill>
        </w:rPr>
        <w:t>5.1.1大气环境影响预测与评价</w:t>
      </w:r>
      <w:bookmarkEnd w:id="481"/>
    </w:p>
    <w:p w14:paraId="7D33FB3C">
      <w:pPr>
        <w:spacing w:line="440" w:lineRule="exact"/>
        <w:ind w:firstLine="454" w:firstLineChars="200"/>
        <w:jc w:val="both"/>
        <w:rPr>
          <w:rFonts w:ascii="Times New Roman" w:hAnsi="Times New Roman" w:cs="Times New Roman" w:eastAsiaTheme="minorEastAsia"/>
          <w:color w:val="000000" w:themeColor="text1"/>
          <w:spacing w:val="-5"/>
          <w:w w:val="99"/>
          <w:sz w:val="24"/>
          <w:szCs w:val="24"/>
          <w:lang w:val="en-US"/>
          <w14:textFill>
            <w14:solidFill>
              <w14:schemeClr w14:val="tx1"/>
            </w14:solidFill>
          </w14:textFill>
        </w:rPr>
      </w:pPr>
      <w:r>
        <w:rPr>
          <w:rFonts w:ascii="Times New Roman" w:hAnsi="Times New Roman" w:cs="Times New Roman" w:eastAsiaTheme="minorEastAsia"/>
          <w:color w:val="000000" w:themeColor="text1"/>
          <w:spacing w:val="-5"/>
          <w:w w:val="99"/>
          <w:sz w:val="24"/>
          <w:szCs w:val="24"/>
          <w:lang w:val="en-US"/>
          <w14:textFill>
            <w14:solidFill>
              <w14:schemeClr w14:val="tx1"/>
            </w14:solidFill>
          </w14:textFill>
        </w:rPr>
        <w:t>1、施工期</w:t>
      </w:r>
    </w:p>
    <w:p w14:paraId="4E3A238F">
      <w:pPr>
        <w:spacing w:line="440" w:lineRule="exact"/>
        <w:ind w:firstLine="420"/>
        <w:jc w:val="both"/>
        <w:rPr>
          <w:rFonts w:ascii="Times New Roman" w:hAnsi="Times New Roman" w:cs="Times New Roman" w:eastAsiaTheme="minorEastAsia"/>
          <w:color w:val="000000" w:themeColor="text1"/>
          <w:spacing w:val="-5"/>
          <w:w w:val="99"/>
          <w:sz w:val="24"/>
          <w:szCs w:val="24"/>
          <w14:textFill>
            <w14:solidFill>
              <w14:schemeClr w14:val="tx1"/>
            </w14:solidFill>
          </w14:textFill>
        </w:rPr>
      </w:pPr>
      <w:r>
        <w:rPr>
          <w:rFonts w:ascii="Times New Roman" w:hAnsi="Times New Roman" w:cs="Times New Roman" w:eastAsiaTheme="minorEastAsia"/>
          <w:color w:val="000000" w:themeColor="text1"/>
          <w:spacing w:val="-5"/>
          <w:w w:val="99"/>
          <w:sz w:val="24"/>
          <w:szCs w:val="24"/>
          <w14:textFill>
            <w14:solidFill>
              <w14:schemeClr w14:val="tx1"/>
            </w14:solidFill>
          </w14:textFill>
        </w:rPr>
        <w:t>本工程施工期对环境空气质量的影响主要来自于管道建设施工中管沟的开挖和回填、管材运输等过程产生的扬尘，如遇干旱无雨季节，在大风时，施工扬尘将更严重。施工活动的扬尘排放数量与施工面积和施工水平有关。根据相关工程的现场模拟数据调查，施工时产生的场界扬尘约为1.15mg/m</w:t>
      </w:r>
      <w:r>
        <w:rPr>
          <w:rFonts w:ascii="Times New Roman" w:hAnsi="Times New Roman" w:cs="Times New Roman" w:eastAsiaTheme="minorEastAsia"/>
          <w:color w:val="000000" w:themeColor="text1"/>
          <w:spacing w:val="-5"/>
          <w:w w:val="99"/>
          <w:sz w:val="24"/>
          <w:szCs w:val="24"/>
          <w:vertAlign w:val="superscript"/>
          <w14:textFill>
            <w14:solidFill>
              <w14:schemeClr w14:val="tx1"/>
            </w14:solidFill>
          </w14:textFill>
        </w:rPr>
        <w:t>3</w:t>
      </w:r>
      <w:r>
        <w:rPr>
          <w:rFonts w:ascii="Times New Roman" w:hAnsi="Times New Roman" w:cs="Times New Roman" w:eastAsiaTheme="minorEastAsia"/>
          <w:color w:val="000000" w:themeColor="text1"/>
          <w:spacing w:val="-5"/>
          <w:w w:val="99"/>
          <w:sz w:val="24"/>
          <w:szCs w:val="24"/>
          <w14:textFill>
            <w14:solidFill>
              <w14:schemeClr w14:val="tx1"/>
            </w14:solidFill>
          </w14:textFill>
        </w:rPr>
        <w:t>。施工扬尘对空气环境影响的最主要的两个途径分别是：</w:t>
      </w:r>
    </w:p>
    <w:p w14:paraId="2772FB0B">
      <w:pPr>
        <w:spacing w:line="440" w:lineRule="exact"/>
        <w:jc w:val="both"/>
        <w:rPr>
          <w:rFonts w:ascii="Times New Roman" w:hAnsi="Times New Roman" w:cs="Times New Roman" w:eastAsiaTheme="minorEastAsia"/>
          <w:color w:val="000000" w:themeColor="text1"/>
          <w:spacing w:val="-5"/>
          <w:w w:val="99"/>
          <w:sz w:val="24"/>
          <w:szCs w:val="24"/>
          <w14:textFill>
            <w14:solidFill>
              <w14:schemeClr w14:val="tx1"/>
            </w14:solidFill>
          </w14:textFill>
        </w:rPr>
      </w:pPr>
      <w:r>
        <w:rPr>
          <w:rFonts w:ascii="Times New Roman" w:hAnsi="Times New Roman" w:cs="Times New Roman" w:eastAsiaTheme="minorEastAsia"/>
          <w:color w:val="000000" w:themeColor="text1"/>
          <w:spacing w:val="-5"/>
          <w:w w:val="99"/>
          <w:sz w:val="24"/>
          <w:szCs w:val="24"/>
          <w14:textFill>
            <w14:solidFill>
              <w14:schemeClr w14:val="tx1"/>
            </w14:solidFill>
          </w14:textFill>
        </w:rPr>
        <w:t>运输车辆在运料过程产生的扬尘和在施工场地中所带起的扬尘；施工过程中产生的松散的土壤在自然风力的作用下产生的扬尘。</w:t>
      </w:r>
    </w:p>
    <w:p w14:paraId="0115A386">
      <w:pPr>
        <w:spacing w:line="440" w:lineRule="exact"/>
        <w:ind w:firstLine="420"/>
        <w:jc w:val="both"/>
        <w:rPr>
          <w:rFonts w:ascii="Times New Roman" w:hAnsi="Times New Roman" w:cs="Times New Roman" w:eastAsiaTheme="minorEastAsia"/>
          <w:color w:val="000000" w:themeColor="text1"/>
          <w:spacing w:val="-5"/>
          <w:w w:val="99"/>
          <w:sz w:val="24"/>
          <w:szCs w:val="24"/>
          <w14:textFill>
            <w14:solidFill>
              <w14:schemeClr w14:val="tx1"/>
            </w14:solidFill>
          </w14:textFill>
        </w:rPr>
      </w:pPr>
      <w:r>
        <w:rPr>
          <w:rFonts w:ascii="Times New Roman" w:hAnsi="Times New Roman" w:cs="Times New Roman" w:eastAsiaTheme="minorEastAsia"/>
          <w:color w:val="000000" w:themeColor="text1"/>
          <w:spacing w:val="-5"/>
          <w:w w:val="99"/>
          <w:sz w:val="24"/>
          <w:szCs w:val="24"/>
          <w14:textFill>
            <w14:solidFill>
              <w14:schemeClr w14:val="tx1"/>
            </w14:solidFill>
          </w14:textFill>
        </w:rPr>
        <w:t>（1）车辆扬尘</w:t>
      </w:r>
    </w:p>
    <w:p w14:paraId="362F0CF1">
      <w:pPr>
        <w:spacing w:line="440" w:lineRule="exact"/>
        <w:ind w:firstLine="42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spacing w:val="-5"/>
          <w:w w:val="99"/>
          <w:sz w:val="24"/>
          <w:szCs w:val="24"/>
          <w14:textFill>
            <w14:solidFill>
              <w14:schemeClr w14:val="tx1"/>
            </w14:solidFill>
          </w14:textFill>
        </w:rPr>
        <w:t>施工工地由运输车辆行驶产生的扬尘约占扬尘总量的60%，主要与道路路面及车辆行驶速度有关。在同样路面清洁情况下，车速越快，扬尘量越大；而在同样车速情况下，路面清洁度越差，则扬尘量越大。抑制扬尘的一个简洁有效的措施是洒水。表5.1-1为施工场地洒水抑尘的试验结果。由该表数据可看出对施工场地实施每天洒水4-5次进行抑尘，可将TSP污染距离缩小到20-50m范围。</w:t>
      </w:r>
    </w:p>
    <w:p w14:paraId="46105B69">
      <w:pPr>
        <w:adjustRightInd w:val="0"/>
        <w:spacing w:line="440" w:lineRule="exact"/>
        <w:ind w:firstLine="476" w:firstLineChars="200"/>
        <w:jc w:val="both"/>
        <w:rPr>
          <w:rFonts w:ascii="Times New Roman" w:hAnsi="Times New Roman" w:cs="Times New Roman" w:eastAsiaTheme="minorEastAsia"/>
          <w:b/>
          <w:bCs/>
          <w:color w:val="000000" w:themeColor="text1"/>
          <w:w w:val="99"/>
          <w:kern w:val="24"/>
          <w:sz w:val="24"/>
          <w:szCs w:val="24"/>
          <w:lang w:val="en-US" w:bidi="ar-SA"/>
          <w14:textFill>
            <w14:solidFill>
              <w14:schemeClr w14:val="tx1"/>
            </w14:solidFill>
          </w14:textFill>
        </w:rPr>
      </w:pPr>
      <w:r>
        <w:rPr>
          <w:rFonts w:ascii="Times New Roman" w:hAnsi="Times New Roman" w:cs="Times New Roman" w:eastAsiaTheme="minorEastAsia"/>
          <w:b/>
          <w:bCs/>
          <w:color w:val="000000" w:themeColor="text1"/>
          <w:w w:val="99"/>
          <w:kern w:val="24"/>
          <w:sz w:val="24"/>
          <w:szCs w:val="24"/>
          <w:lang w:val="en-US" w:bidi="ar-SA"/>
          <w14:textFill>
            <w14:solidFill>
              <w14:schemeClr w14:val="tx1"/>
            </w14:solidFill>
          </w14:textFill>
        </w:rPr>
        <w:t>表5.1-1     施工场地洒水抑尘试验结果     单位：mg/m</w:t>
      </w:r>
      <w:r>
        <w:rPr>
          <w:rFonts w:ascii="Times New Roman" w:hAnsi="Times New Roman" w:cs="Times New Roman" w:eastAsiaTheme="minorEastAsia"/>
          <w:b/>
          <w:bCs/>
          <w:color w:val="000000" w:themeColor="text1"/>
          <w:w w:val="99"/>
          <w:kern w:val="24"/>
          <w:sz w:val="24"/>
          <w:szCs w:val="24"/>
          <w:vertAlign w:val="superscript"/>
          <w:lang w:val="en-US" w:bidi="ar-SA"/>
          <w14:textFill>
            <w14:solidFill>
              <w14:schemeClr w14:val="tx1"/>
            </w14:solidFill>
          </w14:textFill>
        </w:rPr>
        <w:t>3</w:t>
      </w:r>
    </w:p>
    <w:tbl>
      <w:tblPr>
        <w:tblStyle w:val="106"/>
        <w:tblW w:w="91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34"/>
        <w:gridCol w:w="1281"/>
        <w:gridCol w:w="1307"/>
        <w:gridCol w:w="1497"/>
        <w:gridCol w:w="1298"/>
        <w:gridCol w:w="1314"/>
      </w:tblGrid>
      <w:tr w14:paraId="04370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3715" w:type="dxa"/>
            <w:gridSpan w:val="2"/>
            <w:vAlign w:val="center"/>
          </w:tcPr>
          <w:p w14:paraId="7C8F929F">
            <w:pPr>
              <w:pStyle w:val="108"/>
              <w:spacing w:before="1"/>
              <w:ind w:left="189"/>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距离</w:t>
            </w:r>
          </w:p>
        </w:tc>
        <w:tc>
          <w:tcPr>
            <w:tcW w:w="1307" w:type="dxa"/>
            <w:vAlign w:val="center"/>
          </w:tcPr>
          <w:p w14:paraId="2AF8E8E8">
            <w:pPr>
              <w:pStyle w:val="108"/>
              <w:spacing w:before="1"/>
              <w:ind w:left="189"/>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5m</w:t>
            </w:r>
          </w:p>
        </w:tc>
        <w:tc>
          <w:tcPr>
            <w:tcW w:w="1497" w:type="dxa"/>
            <w:vAlign w:val="center"/>
          </w:tcPr>
          <w:p w14:paraId="2A0BCB99">
            <w:pPr>
              <w:pStyle w:val="108"/>
              <w:spacing w:before="1"/>
              <w:ind w:left="189"/>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20m</w:t>
            </w:r>
          </w:p>
        </w:tc>
        <w:tc>
          <w:tcPr>
            <w:tcW w:w="1298" w:type="dxa"/>
            <w:vAlign w:val="center"/>
          </w:tcPr>
          <w:p w14:paraId="218E72B8">
            <w:pPr>
              <w:pStyle w:val="108"/>
              <w:spacing w:before="1"/>
              <w:ind w:left="189"/>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50m</w:t>
            </w:r>
          </w:p>
        </w:tc>
        <w:tc>
          <w:tcPr>
            <w:tcW w:w="1314" w:type="dxa"/>
            <w:vAlign w:val="center"/>
          </w:tcPr>
          <w:p w14:paraId="70D3B0EB">
            <w:pPr>
              <w:pStyle w:val="108"/>
              <w:spacing w:before="1"/>
              <w:ind w:left="189"/>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100m</w:t>
            </w:r>
          </w:p>
        </w:tc>
      </w:tr>
      <w:tr w14:paraId="73848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434" w:type="dxa"/>
            <w:vMerge w:val="restart"/>
            <w:tcBorders>
              <w:bottom w:val="nil"/>
            </w:tcBorders>
            <w:vAlign w:val="center"/>
          </w:tcPr>
          <w:p w14:paraId="4E97D688">
            <w:pPr>
              <w:pStyle w:val="108"/>
              <w:spacing w:before="1"/>
              <w:ind w:left="189"/>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TSP 小时平均浓度</w:t>
            </w:r>
          </w:p>
        </w:tc>
        <w:tc>
          <w:tcPr>
            <w:tcW w:w="1281" w:type="dxa"/>
            <w:vAlign w:val="center"/>
          </w:tcPr>
          <w:p w14:paraId="320DFE91">
            <w:pPr>
              <w:pStyle w:val="108"/>
              <w:spacing w:before="1"/>
              <w:ind w:left="189"/>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不洒水</w:t>
            </w:r>
          </w:p>
        </w:tc>
        <w:tc>
          <w:tcPr>
            <w:tcW w:w="1307" w:type="dxa"/>
            <w:vAlign w:val="center"/>
          </w:tcPr>
          <w:p w14:paraId="5DEBCE60">
            <w:pPr>
              <w:pStyle w:val="108"/>
              <w:spacing w:before="1"/>
              <w:ind w:left="189"/>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10.14</w:t>
            </w:r>
          </w:p>
        </w:tc>
        <w:tc>
          <w:tcPr>
            <w:tcW w:w="1497" w:type="dxa"/>
            <w:vAlign w:val="center"/>
          </w:tcPr>
          <w:p w14:paraId="3A592094">
            <w:pPr>
              <w:pStyle w:val="108"/>
              <w:spacing w:before="1"/>
              <w:ind w:left="189"/>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2.89</w:t>
            </w:r>
          </w:p>
        </w:tc>
        <w:tc>
          <w:tcPr>
            <w:tcW w:w="1298" w:type="dxa"/>
            <w:vAlign w:val="center"/>
          </w:tcPr>
          <w:p w14:paraId="0843903B">
            <w:pPr>
              <w:pStyle w:val="108"/>
              <w:spacing w:before="1"/>
              <w:ind w:left="189"/>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1.15</w:t>
            </w:r>
          </w:p>
        </w:tc>
        <w:tc>
          <w:tcPr>
            <w:tcW w:w="1314" w:type="dxa"/>
            <w:vAlign w:val="center"/>
          </w:tcPr>
          <w:p w14:paraId="2300DF55">
            <w:pPr>
              <w:pStyle w:val="108"/>
              <w:spacing w:before="1"/>
              <w:ind w:left="189"/>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0.86</w:t>
            </w:r>
          </w:p>
        </w:tc>
      </w:tr>
      <w:tr w14:paraId="19B2F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2434" w:type="dxa"/>
            <w:vMerge w:val="continue"/>
            <w:tcBorders>
              <w:top w:val="nil"/>
            </w:tcBorders>
            <w:vAlign w:val="center"/>
          </w:tcPr>
          <w:p w14:paraId="3E2FDA5D">
            <w:pPr>
              <w:pStyle w:val="108"/>
              <w:spacing w:before="1"/>
              <w:ind w:left="189"/>
              <w:rPr>
                <w:rFonts w:eastAsiaTheme="minorEastAsia"/>
                <w:color w:val="000000" w:themeColor="text1"/>
                <w:w w:val="99"/>
                <w:kern w:val="2"/>
                <w:sz w:val="21"/>
                <w:szCs w:val="21"/>
                <w:lang w:val="en-US" w:bidi="ar-SA"/>
                <w14:textFill>
                  <w14:solidFill>
                    <w14:schemeClr w14:val="tx1"/>
                  </w14:solidFill>
                </w14:textFill>
              </w:rPr>
            </w:pPr>
          </w:p>
        </w:tc>
        <w:tc>
          <w:tcPr>
            <w:tcW w:w="1281" w:type="dxa"/>
            <w:vAlign w:val="center"/>
          </w:tcPr>
          <w:p w14:paraId="4CD9061D">
            <w:pPr>
              <w:pStyle w:val="108"/>
              <w:spacing w:before="1"/>
              <w:ind w:left="189"/>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洒水</w:t>
            </w:r>
          </w:p>
        </w:tc>
        <w:tc>
          <w:tcPr>
            <w:tcW w:w="1307" w:type="dxa"/>
            <w:vAlign w:val="center"/>
          </w:tcPr>
          <w:p w14:paraId="3CCC68B1">
            <w:pPr>
              <w:pStyle w:val="108"/>
              <w:spacing w:before="1"/>
              <w:ind w:left="189"/>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2.01</w:t>
            </w:r>
          </w:p>
        </w:tc>
        <w:tc>
          <w:tcPr>
            <w:tcW w:w="1497" w:type="dxa"/>
            <w:vAlign w:val="center"/>
          </w:tcPr>
          <w:p w14:paraId="08D92632">
            <w:pPr>
              <w:pStyle w:val="108"/>
              <w:spacing w:before="1"/>
              <w:ind w:left="189"/>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1.40</w:t>
            </w:r>
          </w:p>
        </w:tc>
        <w:tc>
          <w:tcPr>
            <w:tcW w:w="1298" w:type="dxa"/>
            <w:vAlign w:val="center"/>
          </w:tcPr>
          <w:p w14:paraId="0D9B021E">
            <w:pPr>
              <w:pStyle w:val="108"/>
              <w:spacing w:before="1"/>
              <w:ind w:left="189"/>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0.67</w:t>
            </w:r>
          </w:p>
        </w:tc>
        <w:tc>
          <w:tcPr>
            <w:tcW w:w="1314" w:type="dxa"/>
            <w:vAlign w:val="center"/>
          </w:tcPr>
          <w:p w14:paraId="0EACE3FC">
            <w:pPr>
              <w:pStyle w:val="108"/>
              <w:spacing w:before="1"/>
              <w:ind w:left="189"/>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0.60</w:t>
            </w:r>
          </w:p>
        </w:tc>
      </w:tr>
    </w:tbl>
    <w:p w14:paraId="02EEB080">
      <w:pPr>
        <w:spacing w:line="440" w:lineRule="exact"/>
        <w:ind w:firstLine="420"/>
        <w:jc w:val="both"/>
        <w:rPr>
          <w:rFonts w:ascii="Times New Roman" w:hAnsi="Times New Roman" w:cs="Times New Roman" w:eastAsiaTheme="minorEastAsia"/>
          <w:color w:val="000000" w:themeColor="text1"/>
          <w:spacing w:val="-5"/>
          <w:w w:val="99"/>
          <w:sz w:val="24"/>
          <w:szCs w:val="24"/>
          <w14:textFill>
            <w14:solidFill>
              <w14:schemeClr w14:val="tx1"/>
            </w14:solidFill>
          </w14:textFill>
        </w:rPr>
      </w:pPr>
      <w:r>
        <w:rPr>
          <w:rFonts w:ascii="Times New Roman" w:hAnsi="Times New Roman" w:cs="Times New Roman" w:eastAsiaTheme="minorEastAsia"/>
          <w:color w:val="000000" w:themeColor="text1"/>
          <w:spacing w:val="-5"/>
          <w:w w:val="99"/>
          <w:sz w:val="24"/>
          <w:szCs w:val="24"/>
          <w14:textFill>
            <w14:solidFill>
              <w14:schemeClr w14:val="tx1"/>
            </w14:solidFill>
          </w14:textFill>
        </w:rPr>
        <w:t>（2）自然风力扬尘</w:t>
      </w:r>
    </w:p>
    <w:p w14:paraId="19F5C2C5">
      <w:pPr>
        <w:spacing w:line="440" w:lineRule="exact"/>
        <w:ind w:firstLine="420"/>
        <w:jc w:val="both"/>
        <w:rPr>
          <w:rFonts w:ascii="Times New Roman" w:hAnsi="Times New Roman" w:cs="Times New Roman" w:eastAsiaTheme="minorEastAsia"/>
          <w:color w:val="000000" w:themeColor="text1"/>
          <w:spacing w:val="-5"/>
          <w:w w:val="99"/>
          <w:sz w:val="24"/>
          <w:szCs w:val="24"/>
          <w14:textFill>
            <w14:solidFill>
              <w14:schemeClr w14:val="tx1"/>
            </w14:solidFill>
          </w14:textFill>
        </w:rPr>
      </w:pPr>
      <w:r>
        <w:rPr>
          <w:rFonts w:ascii="Times New Roman" w:hAnsi="Times New Roman" w:cs="Times New Roman" w:eastAsiaTheme="minorEastAsia"/>
          <w:color w:val="000000" w:themeColor="text1"/>
          <w:spacing w:val="-5"/>
          <w:w w:val="99"/>
          <w:sz w:val="24"/>
          <w:szCs w:val="24"/>
          <w14:textFill>
            <w14:solidFill>
              <w14:schemeClr w14:val="tx1"/>
            </w14:solidFill>
          </w14:textFill>
        </w:rPr>
        <w:t>扬尘在空气中的飘扬距离与空气动力特性有关，主要是与风速和大气稳定度关系密切。在大气稳定度处于稳定状态时，其传播距离较近，风速较小时，其传播距离也较近。地区内大气特征及地面风场特征以中性D类稳定度为主，只是在春季大风天气较多，其特征气象条件较不利于扬尘扩散。根据类比调查，一般情况下，施工场地、施工道路在自然风作用下产生的扬尘所影响的范围在100m以内，距施工场地50m处的扬尘(TSP)可降至1.00mg/m</w:t>
      </w:r>
      <w:r>
        <w:rPr>
          <w:rFonts w:ascii="Times New Roman" w:hAnsi="Times New Roman" w:cs="Times New Roman" w:eastAsiaTheme="minorEastAsia"/>
          <w:color w:val="000000" w:themeColor="text1"/>
          <w:spacing w:val="-5"/>
          <w:w w:val="99"/>
          <w:sz w:val="24"/>
          <w:szCs w:val="24"/>
          <w:vertAlign w:val="superscript"/>
          <w14:textFill>
            <w14:solidFill>
              <w14:schemeClr w14:val="tx1"/>
            </w14:solidFill>
          </w14:textFill>
        </w:rPr>
        <w:t>3</w:t>
      </w:r>
      <w:r>
        <w:rPr>
          <w:rFonts w:ascii="Times New Roman" w:hAnsi="Times New Roman" w:cs="Times New Roman" w:eastAsiaTheme="minorEastAsia"/>
          <w:color w:val="000000" w:themeColor="text1"/>
          <w:spacing w:val="-5"/>
          <w:w w:val="99"/>
          <w:sz w:val="24"/>
          <w:szCs w:val="24"/>
          <w14:textFill>
            <w14:solidFill>
              <w14:schemeClr w14:val="tx1"/>
            </w14:solidFill>
          </w14:textFill>
        </w:rPr>
        <w:t>。</w:t>
      </w:r>
    </w:p>
    <w:p w14:paraId="043DAFC0">
      <w:pPr>
        <w:spacing w:line="440" w:lineRule="exact"/>
        <w:ind w:firstLine="420"/>
        <w:jc w:val="both"/>
        <w:rPr>
          <w:rFonts w:ascii="Times New Roman" w:hAnsi="Times New Roman" w:cs="Times New Roman" w:eastAsiaTheme="minorEastAsia"/>
          <w:color w:val="000000" w:themeColor="text1"/>
          <w:spacing w:val="-5"/>
          <w:w w:val="99"/>
          <w:sz w:val="24"/>
          <w:szCs w:val="24"/>
          <w14:textFill>
            <w14:solidFill>
              <w14:schemeClr w14:val="tx1"/>
            </w14:solidFill>
          </w14:textFill>
        </w:rPr>
      </w:pPr>
      <w:r>
        <w:rPr>
          <w:rFonts w:ascii="Times New Roman" w:hAnsi="Times New Roman" w:cs="Times New Roman" w:eastAsiaTheme="minorEastAsia"/>
          <w:color w:val="000000" w:themeColor="text1"/>
          <w:spacing w:val="-5"/>
          <w:w w:val="99"/>
          <w:sz w:val="24"/>
          <w:szCs w:val="24"/>
          <w14:textFill>
            <w14:solidFill>
              <w14:schemeClr w14:val="tx1"/>
            </w14:solidFill>
          </w14:textFill>
        </w:rPr>
        <w:t>施工中产生的扬尘对周围空气环境的影响范围大约在施工场地100m以内，本工程施工管线两侧100m范围内有杏树岗村，项目单条管线施工时间不超过10d，施工过程中对施工区域进行洒水降尘，尤其是距离居民区较近的管线施工过程增加洒水降尘次数，施工结束后及时恢复施工占地的原有地面。因此施工扬尘对沿线敏感目标影响具有一定的时段性，并且这种影响随着施工期的结束而消失。</w:t>
      </w:r>
    </w:p>
    <w:p w14:paraId="4D8C1B5C">
      <w:pPr>
        <w:spacing w:before="145" w:line="220" w:lineRule="auto"/>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（3）焊接烟气</w:t>
      </w:r>
    </w:p>
    <w:p w14:paraId="1302849F">
      <w:pPr>
        <w:spacing w:before="152" w:line="310" w:lineRule="auto"/>
        <w:ind w:firstLine="567"/>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无缝钢管在焊接过程中，由于高温、电离的作用，使焊条、被焊件材料与空气发生复杂的化学反应(主要是药皮、保护气体、焊芯和空气中的水发生化学反应)，产生焊接烟尘及有毒有害气体，同时伴有电弧光、电磁场等有害因素，影响人体健康。本项目施工期焊接烟尘排放量较少，且管线工程分布较为分散，焊接烟尘对沿线环境空气质量影响较小。</w:t>
      </w:r>
    </w:p>
    <w:p w14:paraId="62A68653">
      <w:pPr>
        <w:spacing w:before="82" w:line="220" w:lineRule="auto"/>
        <w:ind w:left="573"/>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（4）车辆尾气</w:t>
      </w:r>
    </w:p>
    <w:p w14:paraId="08A8F260">
      <w:pPr>
        <w:spacing w:before="145" w:line="316" w:lineRule="auto"/>
        <w:ind w:left="6" w:right="96" w:firstLine="558"/>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本工程施工期各类工程及运输车辆排放的尾气会对大气环境造成一定污染，排放主要污染物为NOx、CO、HC等，均属于无组织排放，施工所处地区宽阔，地形简单，污染物在大气中可快速扩散，由于车辆排放的尾气为流动的线源，影响范围较大，但其污染不集中且扩散能力相对较快，因此对环境的空气的影响不是很大。</w:t>
      </w:r>
    </w:p>
    <w:p w14:paraId="7A8F1AF5">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hint="eastAsia" w:ascii="Times New Roman" w:hAnsi="Times New Roman" w:cs="Times New Roman" w:eastAsiaTheme="minorEastAsia"/>
          <w:color w:val="000000" w:themeColor="text1"/>
          <w:w w:val="99"/>
          <w:sz w:val="24"/>
          <w:szCs w:val="24"/>
          <w14:textFill>
            <w14:solidFill>
              <w14:schemeClr w14:val="tx1"/>
            </w14:solidFill>
          </w14:textFill>
        </w:rPr>
        <w:t>5</w:t>
      </w: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hint="eastAsia" w:ascii="Times New Roman" w:hAnsi="Times New Roman" w:cs="Times New Roman" w:eastAsiaTheme="minorEastAsia"/>
          <w:color w:val="000000" w:themeColor="text1"/>
          <w:w w:val="99"/>
          <w:sz w:val="24"/>
          <w:szCs w:val="24"/>
          <w14:textFill>
            <w14:solidFill>
              <w14:schemeClr w14:val="tx1"/>
            </w14:solidFill>
          </w14:textFill>
        </w:rPr>
        <w:t>非甲烷总烃</w:t>
      </w:r>
    </w:p>
    <w:p w14:paraId="66F9E35B">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hint="eastAsia" w:ascii="Times New Roman" w:hAnsi="Times New Roman" w:cs="Times New Roman" w:eastAsiaTheme="minorEastAsia"/>
          <w:color w:val="000000" w:themeColor="text1"/>
          <w:w w:val="99"/>
          <w:sz w:val="24"/>
          <w:szCs w:val="24"/>
          <w14:textFill>
            <w14:solidFill>
              <w14:schemeClr w14:val="tx1"/>
            </w14:solidFill>
          </w14:textFill>
        </w:rPr>
        <w:t>本项目拉油点</w:t>
      </w:r>
      <w:r>
        <w:rPr>
          <w:rFonts w:ascii="Times New Roman" w:hAnsi="Times New Roman" w:cs="Times New Roman" w:eastAsiaTheme="minorEastAsia"/>
          <w:color w:val="000000" w:themeColor="text1"/>
          <w:w w:val="99"/>
          <w:sz w:val="24"/>
          <w:szCs w:val="24"/>
          <w14:textFill>
            <w14:solidFill>
              <w14:schemeClr w14:val="tx1"/>
            </w14:solidFill>
          </w14:textFill>
        </w:rPr>
        <w:t>九合一装置清淤和拆除过程中会有</w:t>
      </w:r>
      <w:r>
        <w:rPr>
          <w:rFonts w:hint="eastAsia" w:ascii="Times New Roman" w:hAnsi="Times New Roman" w:cs="Times New Roman" w:eastAsiaTheme="minorEastAsia"/>
          <w:color w:val="000000" w:themeColor="text1"/>
          <w:w w:val="99"/>
          <w:sz w:val="24"/>
          <w:szCs w:val="24"/>
          <w14:textFill>
            <w14:solidFill>
              <w14:schemeClr w14:val="tx1"/>
            </w14:solidFill>
          </w14:textFill>
        </w:rPr>
        <w:t>残留</w:t>
      </w:r>
      <w:r>
        <w:rPr>
          <w:rFonts w:ascii="Times New Roman" w:hAnsi="Times New Roman" w:cs="Times New Roman" w:eastAsiaTheme="minorEastAsia"/>
          <w:color w:val="000000" w:themeColor="text1"/>
          <w:w w:val="99"/>
          <w:sz w:val="24"/>
          <w:szCs w:val="24"/>
          <w14:textFill>
            <w14:solidFill>
              <w14:schemeClr w14:val="tx1"/>
            </w14:solidFill>
          </w14:textFill>
        </w:rPr>
        <w:t>的无组织非甲烷总烃挥发，九合一装置计划拆除前，生产小队提前</w:t>
      </w:r>
      <w:r>
        <w:rPr>
          <w:rFonts w:hint="eastAsia" w:ascii="Times New Roman" w:hAnsi="Times New Roman" w:cs="Times New Roman" w:eastAsiaTheme="minorEastAsia"/>
          <w:color w:val="000000" w:themeColor="text1"/>
          <w:w w:val="99"/>
          <w:sz w:val="24"/>
          <w:szCs w:val="24"/>
          <w14:textFill>
            <w14:solidFill>
              <w14:schemeClr w14:val="tx1"/>
            </w14:solidFill>
          </w14:textFill>
        </w:rPr>
        <w:t>停</w:t>
      </w:r>
      <w:r>
        <w:rPr>
          <w:rFonts w:ascii="Times New Roman" w:hAnsi="Times New Roman" w:cs="Times New Roman" w:eastAsiaTheme="minorEastAsia"/>
          <w:color w:val="000000" w:themeColor="text1"/>
          <w:w w:val="99"/>
          <w:sz w:val="24"/>
          <w:szCs w:val="24"/>
          <w14:textFill>
            <w14:solidFill>
              <w14:schemeClr w14:val="tx1"/>
            </w14:solidFill>
          </w14:textFill>
        </w:rPr>
        <w:t>井停产，转移产液，装置内余气已基本自耗，拆除环节</w:t>
      </w:r>
      <w:r>
        <w:rPr>
          <w:rFonts w:hint="eastAsia" w:ascii="Times New Roman" w:hAnsi="Times New Roman" w:cs="Times New Roman" w:eastAsiaTheme="minorEastAsia"/>
          <w:color w:val="000000" w:themeColor="text1"/>
          <w:w w:val="99"/>
          <w:sz w:val="24"/>
          <w:szCs w:val="24"/>
          <w14:textFill>
            <w14:solidFill>
              <w14:schemeClr w14:val="tx1"/>
            </w14:solidFill>
          </w14:textFill>
        </w:rPr>
        <w:t>残留挥发</w:t>
      </w:r>
      <w:r>
        <w:rPr>
          <w:rFonts w:ascii="Times New Roman" w:hAnsi="Times New Roman" w:cs="Times New Roman" w:eastAsiaTheme="minorEastAsia"/>
          <w:color w:val="000000" w:themeColor="text1"/>
          <w:w w:val="99"/>
          <w:sz w:val="24"/>
          <w:szCs w:val="24"/>
          <w14:textFill>
            <w14:solidFill>
              <w14:schemeClr w14:val="tx1"/>
            </w14:solidFill>
          </w14:textFill>
        </w:rPr>
        <w:t>的</w:t>
      </w:r>
      <w:r>
        <w:rPr>
          <w:rFonts w:hint="eastAsia" w:ascii="Times New Roman" w:hAnsi="Times New Roman" w:cs="Times New Roman" w:eastAsiaTheme="minorEastAsia"/>
          <w:color w:val="000000" w:themeColor="text1"/>
          <w:w w:val="99"/>
          <w:sz w:val="24"/>
          <w:szCs w:val="24"/>
          <w14:textFill>
            <w14:solidFill>
              <w14:schemeClr w14:val="tx1"/>
            </w14:solidFill>
          </w14:textFill>
        </w:rPr>
        <w:t>非甲烷总烃</w:t>
      </w:r>
      <w:r>
        <w:rPr>
          <w:rFonts w:ascii="Times New Roman" w:hAnsi="Times New Roman" w:cs="Times New Roman" w:eastAsiaTheme="minorEastAsia"/>
          <w:color w:val="000000" w:themeColor="text1"/>
          <w:w w:val="99"/>
          <w:sz w:val="24"/>
          <w:szCs w:val="24"/>
          <w14:textFill>
            <w14:solidFill>
              <w14:schemeClr w14:val="tx1"/>
            </w14:solidFill>
          </w14:textFill>
        </w:rPr>
        <w:t>较小，</w:t>
      </w:r>
      <w:r>
        <w:rPr>
          <w:rFonts w:hint="eastAsia" w:ascii="Times New Roman" w:hAnsi="Times New Roman" w:cs="Times New Roman" w:eastAsiaTheme="minorEastAsia"/>
          <w:color w:val="000000" w:themeColor="text1"/>
          <w:w w:val="99"/>
          <w:sz w:val="24"/>
          <w:szCs w:val="24"/>
          <w14:textFill>
            <w14:solidFill>
              <w14:schemeClr w14:val="tx1"/>
            </w14:solidFill>
          </w14:textFill>
        </w:rPr>
        <w:t>项目各拉油点</w:t>
      </w:r>
      <w:r>
        <w:rPr>
          <w:rFonts w:ascii="Times New Roman" w:hAnsi="Times New Roman" w:cs="Times New Roman" w:eastAsiaTheme="minorEastAsia"/>
          <w:color w:val="000000" w:themeColor="text1"/>
          <w:w w:val="99"/>
          <w:sz w:val="24"/>
          <w:szCs w:val="24"/>
          <w14:textFill>
            <w14:solidFill>
              <w14:schemeClr w14:val="tx1"/>
            </w14:solidFill>
          </w14:textFill>
        </w:rPr>
        <w:t>所处地区宽阔，地形简单，污染物在大气中可快速扩散，对环境的空气的影响极小。</w:t>
      </w:r>
    </w:p>
    <w:p w14:paraId="17BF9097">
      <w:pPr>
        <w:pStyle w:val="31"/>
        <w:spacing w:line="440" w:lineRule="exact"/>
        <w:ind w:firstLine="474" w:firstLineChars="200"/>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2</w:t>
      </w:r>
      <w:r>
        <w:rPr>
          <w:rFonts w:hint="eastAsia" w:ascii="Times New Roman" w:hAnsi="Times New Roman" w:cs="Times New Roman" w:eastAsiaTheme="minorEastAsia"/>
          <w:color w:val="000000" w:themeColor="text1"/>
          <w:w w:val="99"/>
          <w:sz w:val="24"/>
          <w:szCs w:val="24"/>
          <w:lang w:val="en-US"/>
          <w14:textFill>
            <w14:solidFill>
              <w14:schemeClr w14:val="tx1"/>
            </w14:solidFill>
          </w14:textFill>
        </w:rPr>
        <w:t>、运营期</w:t>
      </w:r>
    </w:p>
    <w:p w14:paraId="0C08C162">
      <w:pPr>
        <w:autoSpaceDE/>
        <w:autoSpaceDN/>
        <w:spacing w:line="440" w:lineRule="exact"/>
        <w:ind w:firstLine="474" w:firstLineChars="200"/>
        <w:jc w:val="both"/>
        <w:rPr>
          <w:rFonts w:ascii="Times New Roman" w:hAnsi="Times New Roman" w:cs="Times New Roman"/>
          <w:color w:val="000000" w:themeColor="text1"/>
          <w:w w:val="99"/>
          <w:sz w:val="24"/>
          <w:szCs w:val="24"/>
          <w:lang w:val="en-US" w:bidi="ar-SA"/>
          <w14:textFill>
            <w14:solidFill>
              <w14:schemeClr w14:val="tx1"/>
            </w14:solidFill>
          </w14:textFill>
        </w:rPr>
      </w:pPr>
      <w:r>
        <w:rPr>
          <w:rFonts w:hint="eastAsia" w:ascii="Times New Roman" w:hAnsi="Times New Roman" w:cs="Times New Roman"/>
          <w:color w:val="000000" w:themeColor="text1"/>
          <w:w w:val="99"/>
          <w:sz w:val="24"/>
          <w:szCs w:val="24"/>
          <w:lang w:val="en-US"/>
          <w14:textFill>
            <w14:solidFill>
              <w14:schemeClr w14:val="tx1"/>
            </w14:solidFill>
          </w14:textFill>
        </w:rPr>
        <w:t>本工程运行期大气污染源主要为混输阀组间内阀门、泵等密封垫无组织排放的非甲烷总烃。</w:t>
      </w:r>
    </w:p>
    <w:p w14:paraId="46EF877F">
      <w:pPr>
        <w:autoSpaceDE/>
        <w:autoSpaceDN/>
        <w:spacing w:line="440" w:lineRule="exact"/>
        <w:ind w:firstLine="474" w:firstLineChars="200"/>
        <w:jc w:val="both"/>
        <w:rPr>
          <w:rFonts w:ascii="Times New Roman" w:hAnsi="Times New Roman" w:cs="Times New Roman"/>
          <w:color w:val="000000" w:themeColor="text1"/>
          <w:w w:val="99"/>
          <w:sz w:val="24"/>
          <w:szCs w:val="24"/>
          <w:lang w:val="en-US" w:bidi="ar-SA"/>
          <w14:textFill>
            <w14:solidFill>
              <w14:schemeClr w14:val="tx1"/>
            </w14:solidFill>
          </w14:textFill>
        </w:rPr>
      </w:pPr>
      <w:r>
        <w:rPr>
          <w:rFonts w:hint="eastAsia" w:ascii="Times New Roman" w:hAnsi="Times New Roman" w:cs="Times New Roman"/>
          <w:color w:val="000000" w:themeColor="text1"/>
          <w:w w:val="99"/>
          <w:sz w:val="24"/>
          <w:szCs w:val="24"/>
          <w:lang w:val="en-US" w:bidi="ar-SA"/>
          <w14:textFill>
            <w14:solidFill>
              <w14:schemeClr w14:val="tx1"/>
            </w14:solidFill>
          </w14:textFill>
        </w:rPr>
        <w:t>（</w:t>
      </w:r>
      <w:r>
        <w:rPr>
          <w:rFonts w:ascii="Times New Roman" w:hAnsi="Times New Roman" w:cs="Times New Roman"/>
          <w:color w:val="000000" w:themeColor="text1"/>
          <w:w w:val="99"/>
          <w:sz w:val="24"/>
          <w:szCs w:val="24"/>
          <w:lang w:val="en-US" w:bidi="ar-SA"/>
          <w14:textFill>
            <w14:solidFill>
              <w14:schemeClr w14:val="tx1"/>
            </w14:solidFill>
          </w14:textFill>
        </w:rPr>
        <w:t>1</w:t>
      </w:r>
      <w:r>
        <w:rPr>
          <w:rFonts w:hint="eastAsia" w:ascii="Times New Roman" w:hAnsi="Times New Roman" w:cs="Times New Roman"/>
          <w:color w:val="000000" w:themeColor="text1"/>
          <w:w w:val="99"/>
          <w:sz w:val="24"/>
          <w:szCs w:val="24"/>
          <w:lang w:val="en-US" w:bidi="ar-SA"/>
          <w14:textFill>
            <w14:solidFill>
              <w14:schemeClr w14:val="tx1"/>
            </w14:solidFill>
          </w14:textFill>
        </w:rPr>
        <w:t>）非甲烷总烃面源预测</w:t>
      </w:r>
    </w:p>
    <w:p w14:paraId="6E2DE422">
      <w:pPr>
        <w:autoSpaceDE/>
        <w:autoSpaceDN/>
        <w:spacing w:line="440" w:lineRule="exact"/>
        <w:ind w:firstLine="474" w:firstLineChars="200"/>
        <w:jc w:val="both"/>
        <w:rPr>
          <w:rFonts w:ascii="Times New Roman" w:hAnsi="Times New Roman" w:cs="Times New Roman"/>
          <w:color w:val="000000" w:themeColor="text1"/>
          <w:w w:val="99"/>
          <w:sz w:val="24"/>
          <w:szCs w:val="24"/>
          <w:lang w:val="en-US" w:bidi="ar-SA"/>
          <w14:textFill>
            <w14:solidFill>
              <w14:schemeClr w14:val="tx1"/>
            </w14:solidFill>
          </w14:textFill>
        </w:rPr>
      </w:pPr>
      <w:r>
        <w:rPr>
          <w:rFonts w:hint="eastAsia" w:ascii="Times New Roman" w:hAnsi="Times New Roman" w:cs="Times New Roman"/>
          <w:color w:val="000000" w:themeColor="text1"/>
          <w:w w:val="99"/>
          <w:sz w:val="24"/>
          <w:szCs w:val="24"/>
          <w:lang w:val="en-US" w:bidi="ar-SA"/>
          <w14:textFill>
            <w14:solidFill>
              <w14:schemeClr w14:val="tx1"/>
            </w14:solidFill>
          </w14:textFill>
        </w:rPr>
        <w:t>通过采用</w:t>
      </w:r>
      <w:r>
        <w:rPr>
          <w:rFonts w:ascii="Times New Roman" w:hAnsi="Times New Roman" w:cs="Times New Roman"/>
          <w:color w:val="000000" w:themeColor="text1"/>
          <w:w w:val="99"/>
          <w:sz w:val="24"/>
          <w:szCs w:val="24"/>
          <w:lang w:val="en-US" w:bidi="ar-SA"/>
          <w14:textFill>
            <w14:solidFill>
              <w14:schemeClr w14:val="tx1"/>
            </w14:solidFill>
          </w14:textFill>
        </w:rPr>
        <w:t>AERSCREEN</w:t>
      </w:r>
      <w:r>
        <w:rPr>
          <w:rFonts w:hint="eastAsia" w:ascii="Times New Roman" w:hAnsi="Times New Roman" w:cs="Times New Roman"/>
          <w:color w:val="000000" w:themeColor="text1"/>
          <w:w w:val="99"/>
          <w:sz w:val="24"/>
          <w:szCs w:val="24"/>
          <w:lang w:val="en-US" w:bidi="ar-SA"/>
          <w14:textFill>
            <w14:solidFill>
              <w14:schemeClr w14:val="tx1"/>
            </w14:solidFill>
          </w14:textFill>
        </w:rPr>
        <w:t>软件对拟建工程主要污染物烃类气体对大气环境质量的影响进行分析，估算模式的计算结果见表</w:t>
      </w:r>
      <w:r>
        <w:rPr>
          <w:rFonts w:ascii="Times New Roman" w:hAnsi="Times New Roman" w:cs="Times New Roman"/>
          <w:color w:val="000000" w:themeColor="text1"/>
          <w:w w:val="99"/>
          <w:sz w:val="24"/>
          <w:szCs w:val="24"/>
          <w:lang w:val="en-US" w:bidi="ar-SA"/>
          <w14:textFill>
            <w14:solidFill>
              <w14:schemeClr w14:val="tx1"/>
            </w14:solidFill>
          </w14:textFill>
        </w:rPr>
        <w:t>5.1-3</w:t>
      </w:r>
      <w:r>
        <w:rPr>
          <w:rFonts w:hint="eastAsia" w:ascii="Times New Roman" w:hAnsi="Times New Roman" w:cs="Times New Roman"/>
          <w:color w:val="000000" w:themeColor="text1"/>
          <w:w w:val="99"/>
          <w:sz w:val="24"/>
          <w:szCs w:val="24"/>
          <w:lang w:val="en-US" w:bidi="ar-SA"/>
          <w14:textFill>
            <w14:solidFill>
              <w14:schemeClr w14:val="tx1"/>
            </w14:solidFill>
          </w14:textFill>
        </w:rPr>
        <w:t>。</w:t>
      </w:r>
    </w:p>
    <w:p w14:paraId="7195D3C0">
      <w:pPr>
        <w:autoSpaceDE/>
        <w:autoSpaceDN/>
        <w:spacing w:line="440" w:lineRule="exact"/>
        <w:ind w:firstLine="476" w:firstLineChars="200"/>
        <w:jc w:val="both"/>
        <w:rPr>
          <w:rFonts w:ascii="Times New Roman" w:hAnsi="Times New Roman" w:cs="Times New Roman"/>
          <w:b/>
          <w:color w:val="000000" w:themeColor="text1"/>
          <w:w w:val="99"/>
          <w:kern w:val="2"/>
          <w:sz w:val="24"/>
          <w:szCs w:val="24"/>
          <w:lang w:val="en-US" w:bidi="ar-SA"/>
          <w14:textFill>
            <w14:solidFill>
              <w14:schemeClr w14:val="tx1"/>
            </w14:solidFill>
          </w14:textFill>
        </w:rPr>
      </w:pPr>
      <w:r>
        <w:rPr>
          <w:rFonts w:hint="eastAsia" w:ascii="Times New Roman" w:hAnsi="Times New Roman" w:cs="Times New Roman"/>
          <w:b/>
          <w:color w:val="000000" w:themeColor="text1"/>
          <w:w w:val="99"/>
          <w:kern w:val="2"/>
          <w:sz w:val="24"/>
          <w:szCs w:val="24"/>
          <w:lang w:val="en-US" w:bidi="ar-SA"/>
          <w14:textFill>
            <w14:solidFill>
              <w14:schemeClr w14:val="tx1"/>
            </w14:solidFill>
          </w14:textFill>
        </w:rPr>
        <w:t>表</w:t>
      </w:r>
      <w:r>
        <w:rPr>
          <w:rFonts w:ascii="Times New Roman" w:hAnsi="Times New Roman" w:cs="Times New Roman"/>
          <w:b/>
          <w:color w:val="000000" w:themeColor="text1"/>
          <w:w w:val="99"/>
          <w:kern w:val="2"/>
          <w:sz w:val="24"/>
          <w:szCs w:val="24"/>
          <w:lang w:val="en-US" w:bidi="ar-SA"/>
          <w14:textFill>
            <w14:solidFill>
              <w14:schemeClr w14:val="tx1"/>
            </w14:solidFill>
          </w14:textFill>
        </w:rPr>
        <w:t xml:space="preserve">5.1-3    </w:t>
      </w:r>
      <w:r>
        <w:rPr>
          <w:rFonts w:hint="eastAsia" w:ascii="Times New Roman" w:hAnsi="Times New Roman" w:cs="Times New Roman"/>
          <w:b/>
          <w:color w:val="000000" w:themeColor="text1"/>
          <w:w w:val="99"/>
          <w:kern w:val="2"/>
          <w:sz w:val="24"/>
          <w:szCs w:val="24"/>
          <w:lang w:val="en-US" w:bidi="ar-SA"/>
          <w14:textFill>
            <w14:solidFill>
              <w14:schemeClr w14:val="tx1"/>
            </w14:solidFill>
          </w14:textFill>
        </w:rPr>
        <w:t>混输阀组间烃类气体估算模式计算结果</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037"/>
        <w:gridCol w:w="3389"/>
        <w:gridCol w:w="2860"/>
      </w:tblGrid>
      <w:tr w14:paraId="0C4AF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Merge w:val="restart"/>
            <w:vAlign w:val="center"/>
          </w:tcPr>
          <w:p w14:paraId="1BE96011">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hint="eastAsia" w:ascii="Times New Roman" w:hAnsi="Times New Roman" w:cs="Times New Roman"/>
                <w:color w:val="000000" w:themeColor="text1"/>
                <w:w w:val="99"/>
                <w:kern w:val="24"/>
                <w:sz w:val="21"/>
                <w:szCs w:val="21"/>
                <w:lang w:val="en-US" w:bidi="ar-SA"/>
                <w14:textFill>
                  <w14:solidFill>
                    <w14:schemeClr w14:val="tx1"/>
                  </w14:solidFill>
                </w14:textFill>
              </w:rPr>
              <w:t>下风向距离</w:t>
            </w:r>
          </w:p>
        </w:tc>
        <w:tc>
          <w:tcPr>
            <w:tcW w:w="3365" w:type="pct"/>
            <w:gridSpan w:val="2"/>
            <w:vAlign w:val="center"/>
          </w:tcPr>
          <w:p w14:paraId="631734A1">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hint="eastAsia" w:ascii="Times New Roman" w:hAnsi="Times New Roman" w:cs="Times New Roman"/>
                <w:color w:val="000000" w:themeColor="text1"/>
                <w:w w:val="99"/>
                <w:kern w:val="24"/>
                <w:sz w:val="21"/>
                <w:szCs w:val="21"/>
                <w:lang w:val="en-US" w:bidi="ar-SA"/>
                <w14:textFill>
                  <w14:solidFill>
                    <w14:schemeClr w14:val="tx1"/>
                  </w14:solidFill>
                </w14:textFill>
              </w:rPr>
              <w:t>混输阀组间</w:t>
            </w:r>
          </w:p>
        </w:tc>
      </w:tr>
      <w:tr w14:paraId="2F5E1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Merge w:val="continue"/>
            <w:vAlign w:val="center"/>
          </w:tcPr>
          <w:p w14:paraId="32F78362">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p>
        </w:tc>
        <w:tc>
          <w:tcPr>
            <w:tcW w:w="1825" w:type="pct"/>
            <w:vAlign w:val="center"/>
          </w:tcPr>
          <w:p w14:paraId="5C780AA3">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NMHC</w:t>
            </w:r>
            <w:r>
              <w:rPr>
                <w:rFonts w:hint="eastAsia" w:ascii="Times New Roman" w:hAnsi="Times New Roman" w:cs="Times New Roman"/>
                <w:color w:val="000000" w:themeColor="text1"/>
                <w:w w:val="99"/>
                <w:kern w:val="24"/>
                <w:sz w:val="21"/>
                <w:szCs w:val="21"/>
                <w:lang w:val="en-US" w:bidi="ar-SA"/>
                <w14:textFill>
                  <w14:solidFill>
                    <w14:schemeClr w14:val="tx1"/>
                  </w14:solidFill>
                </w14:textFill>
              </w:rPr>
              <w:t>浓度</w:t>
            </w:r>
            <w:r>
              <w:rPr>
                <w:rFonts w:ascii="Times New Roman" w:hAnsi="Times New Roman" w:cs="Times New Roman"/>
                <w:color w:val="000000" w:themeColor="text1"/>
                <w:w w:val="99"/>
                <w:kern w:val="24"/>
                <w:sz w:val="21"/>
                <w:szCs w:val="21"/>
                <w:lang w:val="en-US" w:bidi="ar-SA"/>
                <w14:textFill>
                  <w14:solidFill>
                    <w14:schemeClr w14:val="tx1"/>
                  </w14:solidFill>
                </w14:textFill>
              </w:rPr>
              <w:t>(μg/m</w:t>
            </w:r>
            <w:r>
              <w:rPr>
                <w:rFonts w:ascii="Times New Roman" w:hAnsi="Times New Roman" w:cs="Times New Roman"/>
                <w:color w:val="000000" w:themeColor="text1"/>
                <w:w w:val="99"/>
                <w:kern w:val="24"/>
                <w:sz w:val="21"/>
                <w:szCs w:val="21"/>
                <w:vertAlign w:val="superscript"/>
                <w:lang w:val="en-US" w:bidi="ar-SA"/>
                <w14:textFill>
                  <w14:solidFill>
                    <w14:schemeClr w14:val="tx1"/>
                  </w14:solidFill>
                </w14:textFill>
              </w:rPr>
              <w:t>3</w:t>
            </w:r>
            <w:r>
              <w:rPr>
                <w:rFonts w:ascii="Times New Roman" w:hAnsi="Times New Roman" w:cs="Times New Roman"/>
                <w:color w:val="000000" w:themeColor="text1"/>
                <w:w w:val="99"/>
                <w:kern w:val="24"/>
                <w:sz w:val="21"/>
                <w:szCs w:val="21"/>
                <w:lang w:val="en-US" w:bidi="ar-SA"/>
                <w14:textFill>
                  <w14:solidFill>
                    <w14:schemeClr w14:val="tx1"/>
                  </w14:solidFill>
                </w14:textFill>
              </w:rPr>
              <w:t>)</w:t>
            </w:r>
          </w:p>
        </w:tc>
        <w:tc>
          <w:tcPr>
            <w:tcW w:w="1540" w:type="pct"/>
            <w:vAlign w:val="center"/>
          </w:tcPr>
          <w:p w14:paraId="043CE65C">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NMHC</w:t>
            </w:r>
            <w:r>
              <w:rPr>
                <w:rFonts w:hint="eastAsia" w:ascii="Times New Roman" w:hAnsi="Times New Roman" w:cs="Times New Roman"/>
                <w:color w:val="000000" w:themeColor="text1"/>
                <w:w w:val="99"/>
                <w:kern w:val="24"/>
                <w:sz w:val="21"/>
                <w:szCs w:val="21"/>
                <w:lang w:val="en-US" w:bidi="ar-SA"/>
                <w14:textFill>
                  <w14:solidFill>
                    <w14:schemeClr w14:val="tx1"/>
                  </w14:solidFill>
                </w14:textFill>
              </w:rPr>
              <w:t>占标率</w:t>
            </w:r>
            <w:r>
              <w:rPr>
                <w:rFonts w:ascii="Times New Roman" w:hAnsi="Times New Roman" w:cs="Times New Roman"/>
                <w:color w:val="000000" w:themeColor="text1"/>
                <w:w w:val="99"/>
                <w:kern w:val="24"/>
                <w:sz w:val="21"/>
                <w:szCs w:val="21"/>
                <w:lang w:val="en-US" w:bidi="ar-SA"/>
                <w14:textFill>
                  <w14:solidFill>
                    <w14:schemeClr w14:val="tx1"/>
                  </w14:solidFill>
                </w14:textFill>
              </w:rPr>
              <w:t>(%)</w:t>
            </w:r>
          </w:p>
        </w:tc>
      </w:tr>
      <w:tr w14:paraId="4C089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Align w:val="center"/>
          </w:tcPr>
          <w:p w14:paraId="4741FACD">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50.0</w:t>
            </w:r>
          </w:p>
        </w:tc>
        <w:tc>
          <w:tcPr>
            <w:tcW w:w="1825" w:type="pct"/>
            <w:vAlign w:val="center"/>
          </w:tcPr>
          <w:p w14:paraId="493F7193">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1.2494</w:t>
            </w:r>
          </w:p>
        </w:tc>
        <w:tc>
          <w:tcPr>
            <w:tcW w:w="1540" w:type="pct"/>
            <w:vAlign w:val="center"/>
          </w:tcPr>
          <w:p w14:paraId="21F4EBD9">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0.0625</w:t>
            </w:r>
          </w:p>
        </w:tc>
      </w:tr>
      <w:tr w14:paraId="4B6DB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Align w:val="center"/>
          </w:tcPr>
          <w:p w14:paraId="007C250E">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100.0</w:t>
            </w:r>
          </w:p>
        </w:tc>
        <w:tc>
          <w:tcPr>
            <w:tcW w:w="1825" w:type="pct"/>
            <w:vAlign w:val="center"/>
          </w:tcPr>
          <w:p w14:paraId="35A64C53">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0.8954</w:t>
            </w:r>
          </w:p>
        </w:tc>
        <w:tc>
          <w:tcPr>
            <w:tcW w:w="1540" w:type="pct"/>
            <w:vAlign w:val="center"/>
          </w:tcPr>
          <w:p w14:paraId="47CAD582">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0.0448</w:t>
            </w:r>
          </w:p>
        </w:tc>
      </w:tr>
      <w:tr w14:paraId="63FCA1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Align w:val="center"/>
          </w:tcPr>
          <w:p w14:paraId="4BA67392">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200.0</w:t>
            </w:r>
          </w:p>
        </w:tc>
        <w:tc>
          <w:tcPr>
            <w:tcW w:w="1825" w:type="pct"/>
            <w:vAlign w:val="center"/>
          </w:tcPr>
          <w:p w14:paraId="4BAC8639">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0.6286</w:t>
            </w:r>
          </w:p>
        </w:tc>
        <w:tc>
          <w:tcPr>
            <w:tcW w:w="1540" w:type="pct"/>
            <w:vAlign w:val="center"/>
          </w:tcPr>
          <w:p w14:paraId="34A61EE9">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0.0314</w:t>
            </w:r>
          </w:p>
        </w:tc>
      </w:tr>
      <w:tr w14:paraId="61CDF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Align w:val="center"/>
          </w:tcPr>
          <w:p w14:paraId="6DC0B8C1">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300.0</w:t>
            </w:r>
          </w:p>
        </w:tc>
        <w:tc>
          <w:tcPr>
            <w:tcW w:w="1825" w:type="pct"/>
            <w:vAlign w:val="center"/>
          </w:tcPr>
          <w:p w14:paraId="157CA9CB">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0.4736</w:t>
            </w:r>
          </w:p>
        </w:tc>
        <w:tc>
          <w:tcPr>
            <w:tcW w:w="1540" w:type="pct"/>
            <w:vAlign w:val="center"/>
          </w:tcPr>
          <w:p w14:paraId="6A8A96F4">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0.0237</w:t>
            </w:r>
          </w:p>
        </w:tc>
      </w:tr>
      <w:tr w14:paraId="444D90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Align w:val="center"/>
          </w:tcPr>
          <w:p w14:paraId="347EDB4B">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400.0</w:t>
            </w:r>
          </w:p>
        </w:tc>
        <w:tc>
          <w:tcPr>
            <w:tcW w:w="1825" w:type="pct"/>
            <w:vAlign w:val="center"/>
          </w:tcPr>
          <w:p w14:paraId="01AFAB69">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0.3794</w:t>
            </w:r>
          </w:p>
        </w:tc>
        <w:tc>
          <w:tcPr>
            <w:tcW w:w="1540" w:type="pct"/>
            <w:vAlign w:val="center"/>
          </w:tcPr>
          <w:p w14:paraId="4B4F827B">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0.0190</w:t>
            </w:r>
          </w:p>
        </w:tc>
      </w:tr>
      <w:tr w14:paraId="75A27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Align w:val="center"/>
          </w:tcPr>
          <w:p w14:paraId="6EA8FF6D">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500.0</w:t>
            </w:r>
          </w:p>
        </w:tc>
        <w:tc>
          <w:tcPr>
            <w:tcW w:w="1825" w:type="pct"/>
            <w:vAlign w:val="center"/>
          </w:tcPr>
          <w:p w14:paraId="645BF427">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0.3143</w:t>
            </w:r>
          </w:p>
        </w:tc>
        <w:tc>
          <w:tcPr>
            <w:tcW w:w="1540" w:type="pct"/>
            <w:vAlign w:val="center"/>
          </w:tcPr>
          <w:p w14:paraId="36B26A3D">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0.0157</w:t>
            </w:r>
          </w:p>
        </w:tc>
      </w:tr>
      <w:tr w14:paraId="391EE7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Align w:val="center"/>
          </w:tcPr>
          <w:p w14:paraId="751B3CEC">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600.0</w:t>
            </w:r>
          </w:p>
        </w:tc>
        <w:tc>
          <w:tcPr>
            <w:tcW w:w="1825" w:type="pct"/>
            <w:vAlign w:val="center"/>
          </w:tcPr>
          <w:p w14:paraId="30FD1076">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0.2689</w:t>
            </w:r>
          </w:p>
        </w:tc>
        <w:tc>
          <w:tcPr>
            <w:tcW w:w="1540" w:type="pct"/>
            <w:vAlign w:val="center"/>
          </w:tcPr>
          <w:p w14:paraId="776D59E7">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0.0134</w:t>
            </w:r>
          </w:p>
        </w:tc>
      </w:tr>
      <w:tr w14:paraId="07C48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Align w:val="center"/>
          </w:tcPr>
          <w:p w14:paraId="719E7263">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700.0</w:t>
            </w:r>
          </w:p>
        </w:tc>
        <w:tc>
          <w:tcPr>
            <w:tcW w:w="1825" w:type="pct"/>
            <w:vAlign w:val="center"/>
          </w:tcPr>
          <w:p w14:paraId="6697221E">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0.2413</w:t>
            </w:r>
          </w:p>
        </w:tc>
        <w:tc>
          <w:tcPr>
            <w:tcW w:w="1540" w:type="pct"/>
            <w:vAlign w:val="center"/>
          </w:tcPr>
          <w:p w14:paraId="4F04D74D">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0.0121</w:t>
            </w:r>
          </w:p>
        </w:tc>
      </w:tr>
      <w:tr w14:paraId="745DC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Align w:val="center"/>
          </w:tcPr>
          <w:p w14:paraId="1AB746EA">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800.0</w:t>
            </w:r>
          </w:p>
        </w:tc>
        <w:tc>
          <w:tcPr>
            <w:tcW w:w="1825" w:type="pct"/>
            <w:vAlign w:val="center"/>
          </w:tcPr>
          <w:p w14:paraId="0428443F">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0.2182</w:t>
            </w:r>
          </w:p>
        </w:tc>
        <w:tc>
          <w:tcPr>
            <w:tcW w:w="1540" w:type="pct"/>
            <w:vAlign w:val="center"/>
          </w:tcPr>
          <w:p w14:paraId="17CED212">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0.0109</w:t>
            </w:r>
          </w:p>
        </w:tc>
      </w:tr>
      <w:tr w14:paraId="27AD0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Align w:val="center"/>
          </w:tcPr>
          <w:p w14:paraId="4C415814">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900.0</w:t>
            </w:r>
          </w:p>
        </w:tc>
        <w:tc>
          <w:tcPr>
            <w:tcW w:w="1825" w:type="pct"/>
            <w:vAlign w:val="center"/>
          </w:tcPr>
          <w:p w14:paraId="01DCCC77">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0.1986</w:t>
            </w:r>
          </w:p>
        </w:tc>
        <w:tc>
          <w:tcPr>
            <w:tcW w:w="1540" w:type="pct"/>
            <w:vAlign w:val="center"/>
          </w:tcPr>
          <w:p w14:paraId="0E9C9281">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0.0099</w:t>
            </w:r>
          </w:p>
        </w:tc>
      </w:tr>
      <w:tr w14:paraId="10CE0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Align w:val="center"/>
          </w:tcPr>
          <w:p w14:paraId="33A0138F">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1000.0</w:t>
            </w:r>
          </w:p>
        </w:tc>
        <w:tc>
          <w:tcPr>
            <w:tcW w:w="1825" w:type="pct"/>
            <w:vAlign w:val="center"/>
          </w:tcPr>
          <w:p w14:paraId="1F1B322A">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0.1827</w:t>
            </w:r>
          </w:p>
        </w:tc>
        <w:tc>
          <w:tcPr>
            <w:tcW w:w="1540" w:type="pct"/>
            <w:vAlign w:val="center"/>
          </w:tcPr>
          <w:p w14:paraId="7160273B">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0.0091</w:t>
            </w:r>
          </w:p>
        </w:tc>
      </w:tr>
      <w:tr w14:paraId="3BAF2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Align w:val="center"/>
          </w:tcPr>
          <w:p w14:paraId="4B2B0ED2">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1200.0</w:t>
            </w:r>
          </w:p>
        </w:tc>
        <w:tc>
          <w:tcPr>
            <w:tcW w:w="1825" w:type="pct"/>
            <w:vAlign w:val="center"/>
          </w:tcPr>
          <w:p w14:paraId="4DE462F5">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0.1579</w:t>
            </w:r>
          </w:p>
        </w:tc>
        <w:tc>
          <w:tcPr>
            <w:tcW w:w="1540" w:type="pct"/>
            <w:vAlign w:val="center"/>
          </w:tcPr>
          <w:p w14:paraId="4DB53495">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0.0079</w:t>
            </w:r>
          </w:p>
        </w:tc>
      </w:tr>
      <w:tr w14:paraId="144938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Align w:val="center"/>
          </w:tcPr>
          <w:p w14:paraId="489E6E41">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1400.0</w:t>
            </w:r>
          </w:p>
        </w:tc>
        <w:tc>
          <w:tcPr>
            <w:tcW w:w="1825" w:type="pct"/>
            <w:vAlign w:val="center"/>
          </w:tcPr>
          <w:p w14:paraId="00F88C2F">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0.1396</w:t>
            </w:r>
          </w:p>
        </w:tc>
        <w:tc>
          <w:tcPr>
            <w:tcW w:w="1540" w:type="pct"/>
            <w:vAlign w:val="center"/>
          </w:tcPr>
          <w:p w14:paraId="5A268F02">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0.0070</w:t>
            </w:r>
          </w:p>
        </w:tc>
      </w:tr>
      <w:tr w14:paraId="70864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Align w:val="center"/>
          </w:tcPr>
          <w:p w14:paraId="581556E2">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1600.0</w:t>
            </w:r>
          </w:p>
        </w:tc>
        <w:tc>
          <w:tcPr>
            <w:tcW w:w="1825" w:type="pct"/>
            <w:vAlign w:val="center"/>
          </w:tcPr>
          <w:p w14:paraId="45B2F557">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0.1255</w:t>
            </w:r>
          </w:p>
        </w:tc>
        <w:tc>
          <w:tcPr>
            <w:tcW w:w="1540" w:type="pct"/>
            <w:vAlign w:val="center"/>
          </w:tcPr>
          <w:p w14:paraId="7D7AF141">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0.0063</w:t>
            </w:r>
          </w:p>
        </w:tc>
      </w:tr>
      <w:tr w14:paraId="4D429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Align w:val="center"/>
          </w:tcPr>
          <w:p w14:paraId="6A10CFC2">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1800.0</w:t>
            </w:r>
          </w:p>
        </w:tc>
        <w:tc>
          <w:tcPr>
            <w:tcW w:w="1825" w:type="pct"/>
            <w:vAlign w:val="center"/>
          </w:tcPr>
          <w:p w14:paraId="21FF3473">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0.1136</w:t>
            </w:r>
          </w:p>
        </w:tc>
        <w:tc>
          <w:tcPr>
            <w:tcW w:w="1540" w:type="pct"/>
            <w:vAlign w:val="center"/>
          </w:tcPr>
          <w:p w14:paraId="568BD3A0">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0.0057</w:t>
            </w:r>
          </w:p>
        </w:tc>
      </w:tr>
      <w:tr w14:paraId="2D1F9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Align w:val="center"/>
          </w:tcPr>
          <w:p w14:paraId="0E73795E">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2000.0</w:t>
            </w:r>
          </w:p>
        </w:tc>
        <w:tc>
          <w:tcPr>
            <w:tcW w:w="1825" w:type="pct"/>
            <w:vAlign w:val="center"/>
          </w:tcPr>
          <w:p w14:paraId="7F03B4E1">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0.1036</w:t>
            </w:r>
          </w:p>
        </w:tc>
        <w:tc>
          <w:tcPr>
            <w:tcW w:w="1540" w:type="pct"/>
            <w:vAlign w:val="center"/>
          </w:tcPr>
          <w:p w14:paraId="4C3F229C">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0.0052</w:t>
            </w:r>
          </w:p>
        </w:tc>
      </w:tr>
      <w:tr w14:paraId="26A91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Align w:val="center"/>
          </w:tcPr>
          <w:p w14:paraId="2F4C3A5E">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2500.0</w:t>
            </w:r>
          </w:p>
        </w:tc>
        <w:tc>
          <w:tcPr>
            <w:tcW w:w="1825" w:type="pct"/>
            <w:vAlign w:val="center"/>
          </w:tcPr>
          <w:p w14:paraId="1A67F15B">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0.0843</w:t>
            </w:r>
          </w:p>
        </w:tc>
        <w:tc>
          <w:tcPr>
            <w:tcW w:w="1540" w:type="pct"/>
            <w:vAlign w:val="center"/>
          </w:tcPr>
          <w:p w14:paraId="20A2F54B">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0.0042</w:t>
            </w:r>
          </w:p>
        </w:tc>
      </w:tr>
      <w:tr w14:paraId="2A0B2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Align w:val="center"/>
          </w:tcPr>
          <w:p w14:paraId="3F1C6087">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3000.0</w:t>
            </w:r>
          </w:p>
        </w:tc>
        <w:tc>
          <w:tcPr>
            <w:tcW w:w="1825" w:type="pct"/>
            <w:vAlign w:val="center"/>
          </w:tcPr>
          <w:p w14:paraId="3EAFF555">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0.0705</w:t>
            </w:r>
          </w:p>
        </w:tc>
        <w:tc>
          <w:tcPr>
            <w:tcW w:w="1540" w:type="pct"/>
            <w:vAlign w:val="center"/>
          </w:tcPr>
          <w:p w14:paraId="7F6392FE">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0.0035</w:t>
            </w:r>
          </w:p>
        </w:tc>
      </w:tr>
      <w:tr w14:paraId="792C6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Align w:val="center"/>
          </w:tcPr>
          <w:p w14:paraId="08FD754F">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3500.0</w:t>
            </w:r>
          </w:p>
        </w:tc>
        <w:tc>
          <w:tcPr>
            <w:tcW w:w="1825" w:type="pct"/>
            <w:vAlign w:val="center"/>
          </w:tcPr>
          <w:p w14:paraId="7E8A1549">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0.0602</w:t>
            </w:r>
          </w:p>
        </w:tc>
        <w:tc>
          <w:tcPr>
            <w:tcW w:w="1540" w:type="pct"/>
            <w:vAlign w:val="center"/>
          </w:tcPr>
          <w:p w14:paraId="125F9D90">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0.0030</w:t>
            </w:r>
          </w:p>
        </w:tc>
      </w:tr>
      <w:tr w14:paraId="4955D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Align w:val="center"/>
          </w:tcPr>
          <w:p w14:paraId="36F2C6B9">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4000.0</w:t>
            </w:r>
          </w:p>
        </w:tc>
        <w:tc>
          <w:tcPr>
            <w:tcW w:w="1825" w:type="pct"/>
            <w:vAlign w:val="center"/>
          </w:tcPr>
          <w:p w14:paraId="1ABE8625">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0.0523</w:t>
            </w:r>
          </w:p>
        </w:tc>
        <w:tc>
          <w:tcPr>
            <w:tcW w:w="1540" w:type="pct"/>
            <w:vAlign w:val="center"/>
          </w:tcPr>
          <w:p w14:paraId="1A2CF23D">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0.0026</w:t>
            </w:r>
          </w:p>
        </w:tc>
      </w:tr>
      <w:tr w14:paraId="5E094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Align w:val="center"/>
          </w:tcPr>
          <w:p w14:paraId="7DE06E9F">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4500.0</w:t>
            </w:r>
          </w:p>
        </w:tc>
        <w:tc>
          <w:tcPr>
            <w:tcW w:w="1825" w:type="pct"/>
            <w:vAlign w:val="center"/>
          </w:tcPr>
          <w:p w14:paraId="2600B297">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0.0461</w:t>
            </w:r>
          </w:p>
        </w:tc>
        <w:tc>
          <w:tcPr>
            <w:tcW w:w="1540" w:type="pct"/>
            <w:vAlign w:val="center"/>
          </w:tcPr>
          <w:p w14:paraId="03D002D5">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0.0023</w:t>
            </w:r>
          </w:p>
        </w:tc>
      </w:tr>
      <w:tr w14:paraId="0E6E8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Align w:val="center"/>
          </w:tcPr>
          <w:p w14:paraId="25D3D00E">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5000.0</w:t>
            </w:r>
          </w:p>
        </w:tc>
        <w:tc>
          <w:tcPr>
            <w:tcW w:w="1825" w:type="pct"/>
            <w:vAlign w:val="center"/>
          </w:tcPr>
          <w:p w14:paraId="49E1676D">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0.0411</w:t>
            </w:r>
          </w:p>
        </w:tc>
        <w:tc>
          <w:tcPr>
            <w:tcW w:w="1540" w:type="pct"/>
            <w:vAlign w:val="center"/>
          </w:tcPr>
          <w:p w14:paraId="67499F3B">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0.0021</w:t>
            </w:r>
          </w:p>
        </w:tc>
      </w:tr>
      <w:tr w14:paraId="0B9AE8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Align w:val="center"/>
          </w:tcPr>
          <w:p w14:paraId="40CDF7D0">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10000.0</w:t>
            </w:r>
          </w:p>
        </w:tc>
        <w:tc>
          <w:tcPr>
            <w:tcW w:w="1825" w:type="pct"/>
            <w:vAlign w:val="center"/>
          </w:tcPr>
          <w:p w14:paraId="38A8CCC4">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0.0185</w:t>
            </w:r>
          </w:p>
        </w:tc>
        <w:tc>
          <w:tcPr>
            <w:tcW w:w="1540" w:type="pct"/>
            <w:vAlign w:val="center"/>
          </w:tcPr>
          <w:p w14:paraId="3EC44BC0">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0.0009</w:t>
            </w:r>
          </w:p>
        </w:tc>
      </w:tr>
      <w:tr w14:paraId="2E845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Align w:val="center"/>
          </w:tcPr>
          <w:p w14:paraId="50DE2711">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11000.0</w:t>
            </w:r>
          </w:p>
        </w:tc>
        <w:tc>
          <w:tcPr>
            <w:tcW w:w="1825" w:type="pct"/>
            <w:vAlign w:val="center"/>
          </w:tcPr>
          <w:p w14:paraId="758DA3AB">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0.0165</w:t>
            </w:r>
          </w:p>
        </w:tc>
        <w:tc>
          <w:tcPr>
            <w:tcW w:w="1540" w:type="pct"/>
            <w:vAlign w:val="center"/>
          </w:tcPr>
          <w:p w14:paraId="55CCD7EC">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0.0008</w:t>
            </w:r>
          </w:p>
        </w:tc>
      </w:tr>
      <w:tr w14:paraId="715D2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Align w:val="center"/>
          </w:tcPr>
          <w:p w14:paraId="26C5130A">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12000.0</w:t>
            </w:r>
          </w:p>
        </w:tc>
        <w:tc>
          <w:tcPr>
            <w:tcW w:w="1825" w:type="pct"/>
            <w:vAlign w:val="center"/>
          </w:tcPr>
          <w:p w14:paraId="717833BB">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0.0149</w:t>
            </w:r>
          </w:p>
        </w:tc>
        <w:tc>
          <w:tcPr>
            <w:tcW w:w="1540" w:type="pct"/>
            <w:vAlign w:val="center"/>
          </w:tcPr>
          <w:p w14:paraId="2B65899E">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0.0007</w:t>
            </w:r>
          </w:p>
        </w:tc>
      </w:tr>
      <w:tr w14:paraId="0095D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Align w:val="center"/>
          </w:tcPr>
          <w:p w14:paraId="1EF2C37F">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13000.0</w:t>
            </w:r>
          </w:p>
        </w:tc>
        <w:tc>
          <w:tcPr>
            <w:tcW w:w="1825" w:type="pct"/>
            <w:vAlign w:val="center"/>
          </w:tcPr>
          <w:p w14:paraId="62429BE7">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0.0135</w:t>
            </w:r>
          </w:p>
        </w:tc>
        <w:tc>
          <w:tcPr>
            <w:tcW w:w="1540" w:type="pct"/>
            <w:vAlign w:val="center"/>
          </w:tcPr>
          <w:p w14:paraId="3063D2AC">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0.0007</w:t>
            </w:r>
          </w:p>
        </w:tc>
      </w:tr>
      <w:tr w14:paraId="42CA3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Align w:val="center"/>
          </w:tcPr>
          <w:p w14:paraId="106299D0">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14000.0</w:t>
            </w:r>
          </w:p>
        </w:tc>
        <w:tc>
          <w:tcPr>
            <w:tcW w:w="1825" w:type="pct"/>
            <w:vAlign w:val="center"/>
          </w:tcPr>
          <w:p w14:paraId="31B37DA2">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0.0124</w:t>
            </w:r>
          </w:p>
        </w:tc>
        <w:tc>
          <w:tcPr>
            <w:tcW w:w="1540" w:type="pct"/>
            <w:vAlign w:val="center"/>
          </w:tcPr>
          <w:p w14:paraId="4DE77040">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0.0006</w:t>
            </w:r>
          </w:p>
        </w:tc>
      </w:tr>
      <w:tr w14:paraId="4B2AD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Align w:val="center"/>
          </w:tcPr>
          <w:p w14:paraId="62F4E801">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15000.0</w:t>
            </w:r>
          </w:p>
        </w:tc>
        <w:tc>
          <w:tcPr>
            <w:tcW w:w="1825" w:type="pct"/>
            <w:vAlign w:val="center"/>
          </w:tcPr>
          <w:p w14:paraId="68754727">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0.0114</w:t>
            </w:r>
          </w:p>
        </w:tc>
        <w:tc>
          <w:tcPr>
            <w:tcW w:w="1540" w:type="pct"/>
            <w:vAlign w:val="center"/>
          </w:tcPr>
          <w:p w14:paraId="7637865F">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0.0006</w:t>
            </w:r>
          </w:p>
        </w:tc>
      </w:tr>
      <w:tr w14:paraId="651F2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Align w:val="center"/>
          </w:tcPr>
          <w:p w14:paraId="458FE1DA">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20000.0</w:t>
            </w:r>
          </w:p>
        </w:tc>
        <w:tc>
          <w:tcPr>
            <w:tcW w:w="1825" w:type="pct"/>
            <w:vAlign w:val="center"/>
          </w:tcPr>
          <w:p w14:paraId="3BD845DB">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0.0080</w:t>
            </w:r>
          </w:p>
        </w:tc>
        <w:tc>
          <w:tcPr>
            <w:tcW w:w="1540" w:type="pct"/>
            <w:vAlign w:val="center"/>
          </w:tcPr>
          <w:p w14:paraId="72FCBE58">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0.0004</w:t>
            </w:r>
          </w:p>
        </w:tc>
      </w:tr>
      <w:tr w14:paraId="396DD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Align w:val="center"/>
          </w:tcPr>
          <w:p w14:paraId="769C881D">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25000.0</w:t>
            </w:r>
          </w:p>
        </w:tc>
        <w:tc>
          <w:tcPr>
            <w:tcW w:w="1825" w:type="pct"/>
            <w:vAlign w:val="center"/>
          </w:tcPr>
          <w:p w14:paraId="6E1EBEDD">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0.0061</w:t>
            </w:r>
          </w:p>
        </w:tc>
        <w:tc>
          <w:tcPr>
            <w:tcW w:w="1540" w:type="pct"/>
            <w:vAlign w:val="center"/>
          </w:tcPr>
          <w:p w14:paraId="2C8D07B7">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0.0003</w:t>
            </w:r>
          </w:p>
        </w:tc>
      </w:tr>
      <w:tr w14:paraId="3A050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Align w:val="center"/>
          </w:tcPr>
          <w:p w14:paraId="453D85E0">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下风向最大浓度</w:t>
            </w:r>
          </w:p>
        </w:tc>
        <w:tc>
          <w:tcPr>
            <w:tcW w:w="1825" w:type="pct"/>
            <w:vAlign w:val="center"/>
          </w:tcPr>
          <w:p w14:paraId="6445B611">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3.3425</w:t>
            </w:r>
          </w:p>
        </w:tc>
        <w:tc>
          <w:tcPr>
            <w:tcW w:w="1540" w:type="pct"/>
            <w:vAlign w:val="center"/>
          </w:tcPr>
          <w:p w14:paraId="6166A641">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0.1671</w:t>
            </w:r>
          </w:p>
        </w:tc>
      </w:tr>
      <w:tr w14:paraId="4F7F6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Align w:val="center"/>
          </w:tcPr>
          <w:p w14:paraId="6D78300C">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下风向最大浓度出现距离</w:t>
            </w:r>
          </w:p>
        </w:tc>
        <w:tc>
          <w:tcPr>
            <w:tcW w:w="1825" w:type="pct"/>
            <w:vAlign w:val="center"/>
          </w:tcPr>
          <w:p w14:paraId="36D81C58">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5.0</w:t>
            </w:r>
          </w:p>
        </w:tc>
        <w:tc>
          <w:tcPr>
            <w:tcW w:w="1540" w:type="pct"/>
            <w:vAlign w:val="center"/>
          </w:tcPr>
          <w:p w14:paraId="1BC429AC">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5.0</w:t>
            </w:r>
          </w:p>
        </w:tc>
      </w:tr>
      <w:tr w14:paraId="7A817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35" w:type="pct"/>
            <w:vAlign w:val="center"/>
          </w:tcPr>
          <w:p w14:paraId="667E9D1D">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D10%最远距离</w:t>
            </w:r>
          </w:p>
        </w:tc>
        <w:tc>
          <w:tcPr>
            <w:tcW w:w="1825" w:type="pct"/>
            <w:vAlign w:val="center"/>
          </w:tcPr>
          <w:p w14:paraId="225E3FCC">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w:t>
            </w:r>
          </w:p>
        </w:tc>
        <w:tc>
          <w:tcPr>
            <w:tcW w:w="1540" w:type="pct"/>
            <w:vAlign w:val="center"/>
          </w:tcPr>
          <w:p w14:paraId="14C23BEB">
            <w:pPr>
              <w:widowControl/>
              <w:autoSpaceDE/>
              <w:autoSpaceDN/>
              <w:adjustRightInd w:val="0"/>
              <w:snapToGrid w:val="0"/>
              <w:spacing w:line="360" w:lineRule="exact"/>
              <w:jc w:val="center"/>
              <w:rPr>
                <w:rFonts w:ascii="Times New Roman" w:hAnsi="Times New Roman" w:cs="Times New Roman"/>
                <w:color w:val="000000" w:themeColor="text1"/>
                <w:w w:val="99"/>
                <w:kern w:val="24"/>
                <w:sz w:val="21"/>
                <w:szCs w:val="21"/>
                <w:lang w:val="en-US" w:bidi="ar-SA"/>
                <w14:textFill>
                  <w14:solidFill>
                    <w14:schemeClr w14:val="tx1"/>
                  </w14:solidFill>
                </w14:textFill>
              </w:rPr>
            </w:pPr>
            <w:r>
              <w:rPr>
                <w:rFonts w:ascii="Times New Roman" w:hAnsi="Times New Roman" w:cs="Times New Roman"/>
                <w:color w:val="000000" w:themeColor="text1"/>
                <w:w w:val="99"/>
                <w:kern w:val="24"/>
                <w:sz w:val="21"/>
                <w:szCs w:val="21"/>
                <w:lang w:val="en-US" w:bidi="ar-SA"/>
                <w14:textFill>
                  <w14:solidFill>
                    <w14:schemeClr w14:val="tx1"/>
                  </w14:solidFill>
                </w14:textFill>
              </w:rPr>
              <w:t>/</w:t>
            </w:r>
          </w:p>
        </w:tc>
      </w:tr>
    </w:tbl>
    <w:p w14:paraId="0D3205A4">
      <w:pPr>
        <w:autoSpaceDE/>
        <w:autoSpaceDN/>
        <w:spacing w:line="440" w:lineRule="exact"/>
        <w:ind w:firstLine="474" w:firstLineChars="200"/>
        <w:jc w:val="both"/>
        <w:rPr>
          <w:rFonts w:ascii="Times New Roman" w:hAnsi="Times New Roman" w:cs="Times New Roman"/>
          <w:color w:val="000000" w:themeColor="text1"/>
          <w:w w:val="99"/>
          <w:sz w:val="24"/>
          <w:szCs w:val="20"/>
          <w:lang w:val="en-US" w:bidi="ar-SA"/>
          <w14:textFill>
            <w14:solidFill>
              <w14:schemeClr w14:val="tx1"/>
            </w14:solidFill>
          </w14:textFill>
        </w:rPr>
      </w:pPr>
      <w:r>
        <w:rPr>
          <w:rFonts w:hint="eastAsia" w:ascii="Times New Roman" w:hAnsi="Times New Roman" w:cs="Times New Roman"/>
          <w:color w:val="000000" w:themeColor="text1"/>
          <w:w w:val="99"/>
          <w:sz w:val="24"/>
          <w:szCs w:val="20"/>
          <w:lang w:val="en-US" w:bidi="ar-SA"/>
          <w14:textFill>
            <w14:solidFill>
              <w14:schemeClr w14:val="tx1"/>
            </w14:solidFill>
          </w14:textFill>
        </w:rPr>
        <w:t>本项目混输阀组间</w:t>
      </w:r>
      <w:r>
        <w:rPr>
          <w:rFonts w:hint="eastAsia" w:ascii="Times New Roman" w:hAnsi="Times New Roman" w:cs="Times New Roman"/>
          <w:color w:val="000000" w:themeColor="text1"/>
          <w:w w:val="99"/>
          <w:sz w:val="24"/>
          <w:szCs w:val="20"/>
          <w:lang w:val="en-US"/>
          <w14:textFill>
            <w14:solidFill>
              <w14:schemeClr w14:val="tx1"/>
            </w14:solidFill>
          </w14:textFill>
        </w:rPr>
        <w:t>排放的非甲烷总烃最大地面占标率</w:t>
      </w:r>
      <w:r>
        <w:rPr>
          <w:rFonts w:ascii="Times New Roman" w:hAnsi="Times New Roman" w:cs="Times New Roman"/>
          <w:color w:val="000000" w:themeColor="text1"/>
          <w:w w:val="99"/>
          <w:sz w:val="24"/>
          <w:szCs w:val="20"/>
          <w:lang w:val="en-US" w:bidi="ar-SA"/>
          <w14:textFill>
            <w14:solidFill>
              <w14:schemeClr w14:val="tx1"/>
            </w14:solidFill>
          </w14:textFill>
        </w:rPr>
        <w:t>Pmax</w:t>
      </w:r>
      <w:r>
        <w:rPr>
          <w:rFonts w:hint="eastAsia" w:ascii="Times New Roman" w:hAnsi="Times New Roman" w:cs="Times New Roman"/>
          <w:color w:val="000000" w:themeColor="text1"/>
          <w:w w:val="99"/>
          <w:sz w:val="24"/>
          <w:szCs w:val="20"/>
          <w:lang w:val="en-US" w:bidi="ar-SA"/>
          <w14:textFill>
            <w14:solidFill>
              <w14:schemeClr w14:val="tx1"/>
            </w14:solidFill>
          </w14:textFill>
        </w:rPr>
        <w:t>值为</w:t>
      </w:r>
      <w:r>
        <w:rPr>
          <w:rFonts w:ascii="Times New Roman" w:hAnsi="Times New Roman" w:cs="Times New Roman"/>
          <w:color w:val="000000" w:themeColor="text1"/>
          <w:w w:val="99"/>
          <w:sz w:val="24"/>
          <w:szCs w:val="20"/>
          <w:lang w:val="en-US" w:bidi="ar-SA"/>
          <w14:textFill>
            <w14:solidFill>
              <w14:schemeClr w14:val="tx1"/>
            </w14:solidFill>
          </w14:textFill>
        </w:rPr>
        <w:t>0.1671%</w:t>
      </w:r>
      <w:r>
        <w:rPr>
          <w:rFonts w:hint="eastAsia" w:ascii="Times New Roman" w:hAnsi="Times New Roman" w:cs="Times New Roman"/>
          <w:color w:val="000000" w:themeColor="text1"/>
          <w:w w:val="99"/>
          <w:sz w:val="24"/>
          <w:szCs w:val="20"/>
          <w:lang w:val="en-US" w:bidi="ar-SA"/>
          <w14:textFill>
            <w14:solidFill>
              <w14:schemeClr w14:val="tx1"/>
            </w14:solidFill>
          </w14:textFill>
        </w:rPr>
        <w:t>，</w:t>
      </w:r>
      <w:r>
        <w:rPr>
          <w:rFonts w:ascii="Times New Roman" w:hAnsi="Times New Roman" w:cs="Times New Roman"/>
          <w:color w:val="000000" w:themeColor="text1"/>
          <w:w w:val="99"/>
          <w:sz w:val="24"/>
          <w:szCs w:val="20"/>
          <w:lang w:val="en-US" w:bidi="ar-SA"/>
          <w14:textFill>
            <w14:solidFill>
              <w14:schemeClr w14:val="tx1"/>
            </w14:solidFill>
          </w14:textFill>
        </w:rPr>
        <w:t>Cmax</w:t>
      </w:r>
      <w:r>
        <w:rPr>
          <w:rFonts w:hint="eastAsia" w:ascii="Times New Roman" w:hAnsi="Times New Roman" w:cs="Times New Roman"/>
          <w:color w:val="000000" w:themeColor="text1"/>
          <w:w w:val="99"/>
          <w:sz w:val="24"/>
          <w:szCs w:val="20"/>
          <w:lang w:val="en-US" w:bidi="ar-SA"/>
          <w14:textFill>
            <w14:solidFill>
              <w14:schemeClr w14:val="tx1"/>
            </w14:solidFill>
          </w14:textFill>
        </w:rPr>
        <w:t>为</w:t>
      </w:r>
      <w:r>
        <w:rPr>
          <w:rFonts w:ascii="Times New Roman" w:hAnsi="Times New Roman" w:cs="Times New Roman"/>
          <w:color w:val="000000" w:themeColor="text1"/>
          <w:w w:val="99"/>
          <w:sz w:val="24"/>
          <w:szCs w:val="20"/>
          <w:lang w:val="en-US" w:bidi="ar-SA"/>
          <w14:textFill>
            <w14:solidFill>
              <w14:schemeClr w14:val="tx1"/>
            </w14:solidFill>
          </w14:textFill>
        </w:rPr>
        <w:t>3.3425μg/m³</w:t>
      </w:r>
      <w:r>
        <w:rPr>
          <w:rFonts w:hint="eastAsia" w:ascii="Times New Roman" w:hAnsi="Times New Roman" w:cs="Times New Roman"/>
          <w:color w:val="000000" w:themeColor="text1"/>
          <w:w w:val="99"/>
          <w:sz w:val="24"/>
          <w:szCs w:val="20"/>
          <w:lang w:val="en-US" w:bidi="ar-SA"/>
          <w14:textFill>
            <w14:solidFill>
              <w14:schemeClr w14:val="tx1"/>
            </w14:solidFill>
          </w14:textFill>
        </w:rPr>
        <w:t>，</w:t>
      </w:r>
      <w:r>
        <w:rPr>
          <w:rFonts w:hint="eastAsia" w:ascii="Times New Roman" w:hAnsi="Times New Roman" w:cs="Times New Roman"/>
          <w:color w:val="000000" w:themeColor="text1"/>
          <w:w w:val="99"/>
          <w:sz w:val="24"/>
          <w:szCs w:val="20"/>
          <w:lang w:val="en-US"/>
          <w14:textFill>
            <w14:solidFill>
              <w14:schemeClr w14:val="tx1"/>
            </w14:solidFill>
          </w14:textFill>
        </w:rPr>
        <w:t>混输阀组间</w:t>
      </w:r>
      <w:r>
        <w:rPr>
          <w:rFonts w:hint="eastAsia" w:ascii="Times New Roman" w:hAnsi="Times New Roman" w:cs="Times New Roman"/>
          <w:bCs/>
          <w:color w:val="000000" w:themeColor="text1"/>
          <w:w w:val="99"/>
          <w:sz w:val="24"/>
          <w:szCs w:val="20"/>
          <w:lang w:val="en-US" w:bidi="ar-SA"/>
          <w14:textFill>
            <w14:solidFill>
              <w14:schemeClr w14:val="tx1"/>
            </w14:solidFill>
          </w14:textFill>
        </w:rPr>
        <w:t>排放的非甲烷总烃边界可以</w:t>
      </w:r>
      <w:r>
        <w:rPr>
          <w:rFonts w:hint="eastAsia" w:ascii="Times New Roman" w:hAnsi="Times New Roman" w:cs="Times New Roman"/>
          <w:color w:val="000000" w:themeColor="text1"/>
          <w:w w:val="99"/>
          <w:sz w:val="24"/>
          <w:szCs w:val="20"/>
          <w:lang w:val="en-US" w:bidi="ar-SA"/>
          <w14:textFill>
            <w14:solidFill>
              <w14:schemeClr w14:val="tx1"/>
            </w14:solidFill>
          </w14:textFill>
        </w:rPr>
        <w:t>满足</w:t>
      </w:r>
      <w:r>
        <w:rPr>
          <w:rFonts w:hint="eastAsia" w:ascii="Times New Roman" w:hAnsi="Times New Roman" w:cs="Times New Roman"/>
          <w:bCs/>
          <w:color w:val="000000" w:themeColor="text1"/>
          <w:w w:val="99"/>
          <w:sz w:val="24"/>
          <w:szCs w:val="20"/>
          <w:lang w:val="en-US" w:bidi="ar-SA"/>
          <w14:textFill>
            <w14:solidFill>
              <w14:schemeClr w14:val="tx1"/>
            </w14:solidFill>
          </w14:textFill>
        </w:rPr>
        <w:t>《陆上石油天然气开采工业大气污染物排放标准》（</w:t>
      </w:r>
      <w:r>
        <w:rPr>
          <w:rFonts w:ascii="Times New Roman" w:hAnsi="Times New Roman" w:cs="Times New Roman"/>
          <w:bCs/>
          <w:color w:val="000000" w:themeColor="text1"/>
          <w:w w:val="99"/>
          <w:sz w:val="24"/>
          <w:szCs w:val="20"/>
          <w:lang w:val="en-US" w:bidi="ar-SA"/>
          <w14:textFill>
            <w14:solidFill>
              <w14:schemeClr w14:val="tx1"/>
            </w14:solidFill>
          </w14:textFill>
        </w:rPr>
        <w:t>GB39728-2020</w:t>
      </w:r>
      <w:r>
        <w:rPr>
          <w:rFonts w:hint="eastAsia" w:ascii="Times New Roman" w:hAnsi="Times New Roman" w:cs="Times New Roman"/>
          <w:bCs/>
          <w:color w:val="000000" w:themeColor="text1"/>
          <w:w w:val="99"/>
          <w:sz w:val="24"/>
          <w:szCs w:val="20"/>
          <w:lang w:val="en-US" w:bidi="ar-SA"/>
          <w14:textFill>
            <w14:solidFill>
              <w14:schemeClr w14:val="tx1"/>
            </w14:solidFill>
          </w14:textFill>
        </w:rPr>
        <w:t>）</w:t>
      </w:r>
      <w:r>
        <w:rPr>
          <w:rFonts w:ascii="Times New Roman" w:hAnsi="Times New Roman" w:cs="Times New Roman"/>
          <w:bCs/>
          <w:color w:val="000000" w:themeColor="text1"/>
          <w:w w:val="99"/>
          <w:sz w:val="24"/>
          <w:szCs w:val="20"/>
          <w:lang w:val="en-US" w:bidi="ar-SA"/>
          <w14:textFill>
            <w14:solidFill>
              <w14:schemeClr w14:val="tx1"/>
            </w14:solidFill>
          </w14:textFill>
        </w:rPr>
        <w:t>5.9</w:t>
      </w:r>
      <w:r>
        <w:rPr>
          <w:rFonts w:hint="eastAsia" w:ascii="Times New Roman" w:hAnsi="Times New Roman" w:cs="Times New Roman"/>
          <w:bCs/>
          <w:color w:val="000000" w:themeColor="text1"/>
          <w:w w:val="99"/>
          <w:sz w:val="24"/>
          <w:szCs w:val="20"/>
          <w:lang w:val="en-US" w:bidi="ar-SA"/>
          <w14:textFill>
            <w14:solidFill>
              <w14:schemeClr w14:val="tx1"/>
            </w14:solidFill>
          </w14:textFill>
        </w:rPr>
        <w:t>中规定要求，</w:t>
      </w:r>
      <w:r>
        <w:rPr>
          <w:rFonts w:hint="eastAsia" w:ascii="Times New Roman" w:hAnsi="Times New Roman" w:cs="Times New Roman"/>
          <w:color w:val="000000" w:themeColor="text1"/>
          <w:w w:val="99"/>
          <w:sz w:val="24"/>
          <w:szCs w:val="20"/>
          <w:lang w:val="en-US"/>
          <w14:textFill>
            <w14:solidFill>
              <w14:schemeClr w14:val="tx1"/>
            </w14:solidFill>
          </w14:textFill>
        </w:rPr>
        <w:t>厂区内可以满足《挥发性有机物无组织排放控制标准》（</w:t>
      </w:r>
      <w:r>
        <w:rPr>
          <w:rFonts w:ascii="Times New Roman" w:hAnsi="Times New Roman" w:cs="Times New Roman"/>
          <w:color w:val="000000" w:themeColor="text1"/>
          <w:w w:val="99"/>
          <w:sz w:val="24"/>
          <w:szCs w:val="20"/>
          <w:lang w:val="en-US"/>
          <w14:textFill>
            <w14:solidFill>
              <w14:schemeClr w14:val="tx1"/>
            </w14:solidFill>
          </w14:textFill>
        </w:rPr>
        <w:t>GB 37822-2019</w:t>
      </w:r>
      <w:r>
        <w:rPr>
          <w:rFonts w:hint="eastAsia" w:ascii="Times New Roman" w:hAnsi="Times New Roman" w:cs="Times New Roman"/>
          <w:color w:val="000000" w:themeColor="text1"/>
          <w:w w:val="99"/>
          <w:sz w:val="24"/>
          <w:szCs w:val="20"/>
          <w:lang w:val="en-US"/>
          <w14:textFill>
            <w14:solidFill>
              <w14:schemeClr w14:val="tx1"/>
            </w14:solidFill>
          </w14:textFill>
        </w:rPr>
        <w:t>）附录</w:t>
      </w:r>
      <w:r>
        <w:rPr>
          <w:rFonts w:ascii="Times New Roman" w:hAnsi="Times New Roman" w:cs="Times New Roman"/>
          <w:color w:val="000000" w:themeColor="text1"/>
          <w:w w:val="99"/>
          <w:sz w:val="24"/>
          <w:szCs w:val="20"/>
          <w:lang w:val="en-US"/>
          <w14:textFill>
            <w14:solidFill>
              <w14:schemeClr w14:val="tx1"/>
            </w14:solidFill>
          </w14:textFill>
        </w:rPr>
        <w:t xml:space="preserve">A </w:t>
      </w:r>
      <w:r>
        <w:rPr>
          <w:rFonts w:hint="eastAsia" w:ascii="Times New Roman" w:hAnsi="Times New Roman" w:cs="Times New Roman"/>
          <w:color w:val="000000" w:themeColor="text1"/>
          <w:w w:val="99"/>
          <w:sz w:val="24"/>
          <w:szCs w:val="20"/>
          <w:lang w:val="en-US"/>
          <w14:textFill>
            <w14:solidFill>
              <w14:schemeClr w14:val="tx1"/>
            </w14:solidFill>
          </w14:textFill>
        </w:rPr>
        <w:t>中</w:t>
      </w:r>
      <w:r>
        <w:rPr>
          <w:rFonts w:ascii="Times New Roman" w:hAnsi="Times New Roman" w:cs="Times New Roman"/>
          <w:color w:val="000000" w:themeColor="text1"/>
          <w:w w:val="99"/>
          <w:sz w:val="24"/>
          <w:szCs w:val="20"/>
          <w:lang w:val="en-US"/>
          <w14:textFill>
            <w14:solidFill>
              <w14:schemeClr w14:val="tx1"/>
            </w14:solidFill>
          </w14:textFill>
        </w:rPr>
        <w:t xml:space="preserve">VOCs </w:t>
      </w:r>
      <w:r>
        <w:rPr>
          <w:rFonts w:hint="eastAsia" w:ascii="Times New Roman" w:hAnsi="Times New Roman" w:cs="Times New Roman"/>
          <w:color w:val="000000" w:themeColor="text1"/>
          <w:w w:val="99"/>
          <w:sz w:val="24"/>
          <w:szCs w:val="20"/>
          <w:lang w:val="en-US"/>
          <w14:textFill>
            <w14:solidFill>
              <w14:schemeClr w14:val="tx1"/>
            </w14:solidFill>
          </w14:textFill>
        </w:rPr>
        <w:t>无组织排放一般限值要求。</w:t>
      </w:r>
    </w:p>
    <w:p w14:paraId="381321A4">
      <w:pPr>
        <w:autoSpaceDE/>
        <w:autoSpaceDN/>
        <w:spacing w:line="440" w:lineRule="exact"/>
        <w:ind w:firstLine="474" w:firstLineChars="200"/>
        <w:rPr>
          <w:rFonts w:ascii="Times New Roman" w:hAnsi="Times New Roman" w:cs="Times New Roman"/>
          <w:color w:val="000000" w:themeColor="text1"/>
          <w:w w:val="99"/>
          <w:sz w:val="24"/>
          <w:szCs w:val="20"/>
          <w:lang w:val="en-US" w:bidi="ar-SA"/>
          <w14:textFill>
            <w14:solidFill>
              <w14:schemeClr w14:val="tx1"/>
            </w14:solidFill>
          </w14:textFill>
        </w:rPr>
      </w:pPr>
      <w:r>
        <w:rPr>
          <w:rFonts w:ascii="Times New Roman" w:hAnsi="Times New Roman" w:cs="Times New Roman"/>
          <w:color w:val="000000" w:themeColor="text1"/>
          <w:w w:val="99"/>
          <w:sz w:val="24"/>
          <w:szCs w:val="20"/>
          <w:lang w:val="en-US" w:bidi="ar-SA"/>
          <w14:textFill>
            <w14:solidFill>
              <w14:schemeClr w14:val="tx1"/>
            </w14:solidFill>
          </w14:textFill>
        </w:rPr>
        <w:t>本项目实施后，油气集输全部由分散式罐车拉油</w:t>
      </w:r>
      <w:r>
        <w:rPr>
          <w:rFonts w:hint="eastAsia" w:ascii="Times New Roman" w:hAnsi="Times New Roman" w:cs="Times New Roman"/>
          <w:color w:val="000000" w:themeColor="text1"/>
          <w:w w:val="99"/>
          <w:sz w:val="24"/>
          <w:szCs w:val="20"/>
          <w:lang w:val="en-US" w:bidi="ar-SA"/>
          <w14:textFill>
            <w14:solidFill>
              <w14:schemeClr w14:val="tx1"/>
            </w14:solidFill>
          </w14:textFill>
        </w:rPr>
        <w:t>工艺改造</w:t>
      </w:r>
      <w:r>
        <w:rPr>
          <w:rFonts w:ascii="Times New Roman" w:hAnsi="Times New Roman" w:cs="Times New Roman"/>
          <w:color w:val="000000" w:themeColor="text1"/>
          <w:w w:val="99"/>
          <w:sz w:val="24"/>
          <w:szCs w:val="20"/>
          <w:lang w:val="en-US" w:bidi="ar-SA"/>
          <w14:textFill>
            <w14:solidFill>
              <w14:schemeClr w14:val="tx1"/>
            </w14:solidFill>
          </w14:textFill>
        </w:rPr>
        <w:t>成管线密闭集油工艺流程，杜绝了拉油点九合一装置放空和罐车收储转运过程中烃类气体的排放，</w:t>
      </w:r>
      <w:r>
        <w:rPr>
          <w:rFonts w:hint="eastAsia" w:ascii="Times New Roman" w:hAnsi="Times New Roman" w:cs="Times New Roman"/>
          <w:color w:val="000000" w:themeColor="text1"/>
          <w:w w:val="99"/>
          <w:sz w:val="24"/>
          <w:szCs w:val="20"/>
          <w:lang w:val="en-US" w:bidi="ar-SA"/>
          <w14:textFill>
            <w14:solidFill>
              <w14:schemeClr w14:val="tx1"/>
            </w14:solidFill>
          </w14:textFill>
        </w:rPr>
        <w:t>V</w:t>
      </w:r>
      <w:r>
        <w:rPr>
          <w:rFonts w:ascii="Times New Roman" w:hAnsi="Times New Roman" w:cs="Times New Roman"/>
          <w:color w:val="000000" w:themeColor="text1"/>
          <w:w w:val="99"/>
          <w:sz w:val="24"/>
          <w:szCs w:val="20"/>
          <w:lang w:val="en-US" w:bidi="ar-SA"/>
          <w14:textFill>
            <w14:solidFill>
              <w14:schemeClr w14:val="tx1"/>
            </w14:solidFill>
          </w14:textFill>
        </w:rPr>
        <w:t>OCs无组织排放得到有效控制，相比与原有拉油工艺，本项目实施后</w:t>
      </w:r>
      <w:r>
        <w:rPr>
          <w:rFonts w:hint="eastAsia" w:ascii="Times New Roman" w:hAnsi="Times New Roman" w:cs="Times New Roman"/>
          <w:color w:val="000000" w:themeColor="text1"/>
          <w:w w:val="99"/>
          <w:sz w:val="24"/>
          <w:szCs w:val="20"/>
          <w:lang w:val="en-US" w:bidi="ar-SA"/>
          <w14:textFill>
            <w14:solidFill>
              <w14:schemeClr w14:val="tx1"/>
            </w14:solidFill>
          </w14:textFill>
        </w:rPr>
        <w:t>V</w:t>
      </w:r>
      <w:r>
        <w:rPr>
          <w:rFonts w:ascii="Times New Roman" w:hAnsi="Times New Roman" w:cs="Times New Roman"/>
          <w:color w:val="000000" w:themeColor="text1"/>
          <w:w w:val="99"/>
          <w:sz w:val="24"/>
          <w:szCs w:val="20"/>
          <w:lang w:val="en-US" w:bidi="ar-SA"/>
          <w14:textFill>
            <w14:solidFill>
              <w14:schemeClr w14:val="tx1"/>
            </w14:solidFill>
          </w14:textFill>
        </w:rPr>
        <w:t>OCs排放量可削减</w:t>
      </w:r>
      <w:r>
        <w:rPr>
          <w:rFonts w:ascii="Times New Roman" w:hAnsi="Times New Roman" w:cs="Times New Roman"/>
          <w:bCs/>
          <w:color w:val="000000" w:themeColor="text1"/>
          <w:w w:val="99"/>
          <w:sz w:val="24"/>
          <w:szCs w:val="20"/>
          <w:lang w:val="en-US" w:bidi="ar-SA"/>
          <w14:textFill>
            <w14:solidFill>
              <w14:schemeClr w14:val="tx1"/>
            </w14:solidFill>
          </w14:textFill>
        </w:rPr>
        <w:t>383.48</w:t>
      </w:r>
      <w:r>
        <w:rPr>
          <w:rFonts w:ascii="Times New Roman" w:hAnsi="Times New Roman" w:cs="Times New Roman"/>
          <w:color w:val="000000" w:themeColor="text1"/>
          <w:w w:val="99"/>
          <w:sz w:val="24"/>
          <w:szCs w:val="20"/>
          <w:lang w:val="en-US" w:bidi="ar-SA"/>
          <w14:textFill>
            <w14:solidFill>
              <w14:schemeClr w14:val="tx1"/>
            </w14:solidFill>
          </w14:textFill>
        </w:rPr>
        <w:t>t/a</w:t>
      </w:r>
      <w:r>
        <w:rPr>
          <w:rFonts w:hint="eastAsia" w:ascii="Times New Roman" w:hAnsi="Times New Roman" w:cs="Times New Roman"/>
          <w:color w:val="000000" w:themeColor="text1"/>
          <w:w w:val="99"/>
          <w:sz w:val="24"/>
          <w:szCs w:val="20"/>
          <w:lang w:val="en-US" w:bidi="ar-SA"/>
          <w14:textFill>
            <w14:solidFill>
              <w14:schemeClr w14:val="tx1"/>
            </w14:solidFill>
          </w14:textFill>
        </w:rPr>
        <w:t>，有助于改善原拉油点周边大气环境，对周边大气环境影响明显减小。</w:t>
      </w:r>
    </w:p>
    <w:p w14:paraId="64C1247F">
      <w:pPr>
        <w:autoSpaceDE/>
        <w:autoSpaceDN/>
        <w:spacing w:line="440" w:lineRule="exact"/>
        <w:ind w:firstLine="474" w:firstLineChars="200"/>
        <w:rPr>
          <w:rFonts w:ascii="Times New Roman" w:hAnsi="Times New Roman" w:cs="Times New Roman"/>
          <w:color w:val="000000" w:themeColor="text1"/>
          <w:w w:val="99"/>
          <w:sz w:val="24"/>
          <w:szCs w:val="20"/>
          <w:lang w:val="en-US" w:bidi="ar-SA"/>
          <w14:textFill>
            <w14:solidFill>
              <w14:schemeClr w14:val="tx1"/>
            </w14:solidFill>
          </w14:textFill>
        </w:rPr>
      </w:pPr>
    </w:p>
    <w:p w14:paraId="079420AE">
      <w:pPr>
        <w:autoSpaceDE/>
        <w:autoSpaceDN/>
        <w:spacing w:line="440" w:lineRule="exact"/>
        <w:ind w:firstLine="474" w:firstLineChars="200"/>
        <w:rPr>
          <w:rFonts w:ascii="Times New Roman" w:hAnsi="Times New Roman" w:cs="Times New Roman"/>
          <w:color w:val="000000" w:themeColor="text1"/>
          <w:w w:val="99"/>
          <w:sz w:val="24"/>
          <w:szCs w:val="20"/>
          <w:lang w:val="en-US" w:bidi="ar-SA"/>
          <w14:textFill>
            <w14:solidFill>
              <w14:schemeClr w14:val="tx1"/>
            </w14:solidFill>
          </w14:textFill>
        </w:rPr>
      </w:pPr>
      <w:r>
        <w:rPr>
          <w:rFonts w:hint="eastAsia" w:ascii="Times New Roman" w:hAnsi="Times New Roman" w:cs="Times New Roman"/>
          <w:color w:val="000000" w:themeColor="text1"/>
          <w:w w:val="99"/>
          <w:sz w:val="24"/>
          <w:szCs w:val="20"/>
          <w:lang w:val="en-US" w:bidi="ar-SA"/>
          <w14:textFill>
            <w14:solidFill>
              <w14:schemeClr w14:val="tx1"/>
            </w14:solidFill>
          </w14:textFill>
        </w:rPr>
        <w:t>（</w:t>
      </w:r>
      <w:r>
        <w:rPr>
          <w:rFonts w:ascii="Times New Roman" w:hAnsi="Times New Roman" w:cs="Times New Roman"/>
          <w:color w:val="000000" w:themeColor="text1"/>
          <w:w w:val="99"/>
          <w:sz w:val="24"/>
          <w:szCs w:val="20"/>
          <w:lang w:val="en-US" w:bidi="ar-SA"/>
          <w14:textFill>
            <w14:solidFill>
              <w14:schemeClr w14:val="tx1"/>
            </w14:solidFill>
          </w14:textFill>
        </w:rPr>
        <w:t>3</w:t>
      </w:r>
      <w:r>
        <w:rPr>
          <w:rFonts w:hint="eastAsia" w:ascii="Times New Roman" w:hAnsi="Times New Roman" w:cs="Times New Roman"/>
          <w:color w:val="000000" w:themeColor="text1"/>
          <w:w w:val="99"/>
          <w:sz w:val="24"/>
          <w:szCs w:val="20"/>
          <w:lang w:val="en-US" w:bidi="ar-SA"/>
          <w14:textFill>
            <w14:solidFill>
              <w14:schemeClr w14:val="tx1"/>
            </w14:solidFill>
          </w14:textFill>
        </w:rPr>
        <w:t>）大气环境防护距离</w:t>
      </w:r>
    </w:p>
    <w:p w14:paraId="58B65860">
      <w:pPr>
        <w:autoSpaceDE/>
        <w:autoSpaceDN/>
        <w:spacing w:line="440" w:lineRule="exact"/>
        <w:ind w:firstLine="474" w:firstLineChars="200"/>
        <w:rPr>
          <w:rFonts w:ascii="Times New Roman" w:hAnsi="Times New Roman" w:cs="Times New Roman"/>
          <w:color w:val="000000" w:themeColor="text1"/>
          <w:w w:val="99"/>
          <w:sz w:val="24"/>
          <w:szCs w:val="20"/>
          <w:lang w:val="en-US" w:bidi="ar-SA"/>
          <w14:textFill>
            <w14:solidFill>
              <w14:schemeClr w14:val="tx1"/>
            </w14:solidFill>
          </w14:textFill>
        </w:rPr>
      </w:pPr>
      <w:r>
        <w:rPr>
          <w:rFonts w:hint="eastAsia" w:ascii="Times New Roman" w:hAnsi="Times New Roman" w:cs="Times New Roman"/>
          <w:color w:val="000000" w:themeColor="text1"/>
          <w:w w:val="99"/>
          <w:sz w:val="24"/>
          <w:szCs w:val="20"/>
          <w:lang w:val="en-US" w:bidi="ar-SA"/>
          <w14:textFill>
            <w14:solidFill>
              <w14:schemeClr w14:val="tx1"/>
            </w14:solidFill>
          </w14:textFill>
        </w:rPr>
        <w:t>本次大气环境影响评价等级定为三级，根据《环境影响评价技术导则大气环境》（</w:t>
      </w:r>
      <w:r>
        <w:rPr>
          <w:rFonts w:ascii="Times New Roman" w:hAnsi="Times New Roman" w:cs="Times New Roman"/>
          <w:color w:val="000000" w:themeColor="text1"/>
          <w:w w:val="99"/>
          <w:sz w:val="24"/>
          <w:szCs w:val="20"/>
          <w:lang w:val="en-US" w:bidi="ar-SA"/>
          <w14:textFill>
            <w14:solidFill>
              <w14:schemeClr w14:val="tx1"/>
            </w14:solidFill>
          </w14:textFill>
        </w:rPr>
        <w:t>HJ2.2-2018</w:t>
      </w:r>
      <w:r>
        <w:rPr>
          <w:rFonts w:hint="eastAsia" w:ascii="Times New Roman" w:hAnsi="Times New Roman" w:cs="Times New Roman"/>
          <w:color w:val="000000" w:themeColor="text1"/>
          <w:w w:val="99"/>
          <w:sz w:val="24"/>
          <w:szCs w:val="20"/>
          <w:lang w:val="en-US" w:bidi="ar-SA"/>
          <w14:textFill>
            <w14:solidFill>
              <w14:schemeClr w14:val="tx1"/>
            </w14:solidFill>
          </w14:textFill>
        </w:rPr>
        <w:t>）的</w:t>
      </w:r>
      <w:r>
        <w:rPr>
          <w:rFonts w:ascii="Times New Roman" w:hAnsi="Times New Roman" w:cs="Times New Roman"/>
          <w:color w:val="000000" w:themeColor="text1"/>
          <w:w w:val="99"/>
          <w:sz w:val="24"/>
          <w:szCs w:val="20"/>
          <w:lang w:val="en-US" w:bidi="ar-SA"/>
          <w14:textFill>
            <w14:solidFill>
              <w14:schemeClr w14:val="tx1"/>
            </w14:solidFill>
          </w14:textFill>
        </w:rPr>
        <w:t>8.7.5</w:t>
      </w:r>
      <w:r>
        <w:rPr>
          <w:rFonts w:hint="eastAsia" w:ascii="Times New Roman" w:hAnsi="Times New Roman" w:cs="Times New Roman"/>
          <w:color w:val="000000" w:themeColor="text1"/>
          <w:w w:val="99"/>
          <w:sz w:val="24"/>
          <w:szCs w:val="20"/>
          <w:lang w:val="en-US" w:bidi="ar-SA"/>
          <w14:textFill>
            <w14:solidFill>
              <w14:schemeClr w14:val="tx1"/>
            </w14:solidFill>
          </w14:textFill>
        </w:rPr>
        <w:t>条要求</w:t>
      </w:r>
      <w:r>
        <w:rPr>
          <w:rFonts w:ascii="Times New Roman" w:hAnsi="Times New Roman" w:cs="Times New Roman"/>
          <w:color w:val="000000" w:themeColor="text1"/>
          <w:w w:val="99"/>
          <w:sz w:val="24"/>
          <w:szCs w:val="20"/>
          <w:lang w:val="en-US" w:bidi="ar-SA"/>
          <w14:textFill>
            <w14:solidFill>
              <w14:schemeClr w14:val="tx1"/>
            </w14:solidFill>
          </w14:textFill>
        </w:rPr>
        <w:t>“</w:t>
      </w:r>
      <w:r>
        <w:rPr>
          <w:rFonts w:hint="eastAsia" w:ascii="Times New Roman" w:hAnsi="Times New Roman" w:cs="Times New Roman"/>
          <w:color w:val="000000" w:themeColor="text1"/>
          <w:w w:val="99"/>
          <w:sz w:val="24"/>
          <w:szCs w:val="20"/>
          <w:lang w:val="en-US" w:bidi="ar-SA"/>
          <w14:textFill>
            <w14:solidFill>
              <w14:schemeClr w14:val="tx1"/>
            </w14:solidFill>
          </w14:textFill>
        </w:rPr>
        <w:t>对于项目厂界浓度满足大气污染物厂界浓度限值，但厂界外大气污染物短期贡献浓度超过环境质量浓度限值的，可以自厂界向外设置一定范围的大气环境防护区域，以确保大气环境防护区域外的贡献浓度满足环境质量标准</w:t>
      </w:r>
      <w:r>
        <w:rPr>
          <w:rFonts w:ascii="Times New Roman" w:hAnsi="Times New Roman" w:cs="Times New Roman"/>
          <w:color w:val="000000" w:themeColor="text1"/>
          <w:w w:val="99"/>
          <w:sz w:val="24"/>
          <w:szCs w:val="20"/>
          <w:lang w:val="en-US" w:bidi="ar-SA"/>
          <w14:textFill>
            <w14:solidFill>
              <w14:schemeClr w14:val="tx1"/>
            </w14:solidFill>
          </w14:textFill>
        </w:rPr>
        <w:t>”</w:t>
      </w:r>
      <w:r>
        <w:rPr>
          <w:rFonts w:hint="eastAsia" w:ascii="Times New Roman" w:hAnsi="Times New Roman" w:cs="Times New Roman"/>
          <w:color w:val="000000" w:themeColor="text1"/>
          <w:w w:val="99"/>
          <w:sz w:val="24"/>
          <w:szCs w:val="20"/>
          <w:lang w:val="en-US" w:bidi="ar-SA"/>
          <w14:textFill>
            <w14:solidFill>
              <w14:schemeClr w14:val="tx1"/>
            </w14:solidFill>
          </w14:textFill>
        </w:rPr>
        <w:t>，根据预测结果，本项目无组织排放的非甲烷总烃厂界浓度值满足《大气污染物综合排放标准详解》中标准限值，故无需计算大气环境防护距离，无需设置大气环境防护区域。</w:t>
      </w:r>
    </w:p>
    <w:p w14:paraId="6669384F">
      <w:pPr>
        <w:autoSpaceDE/>
        <w:autoSpaceDN/>
        <w:spacing w:before="60" w:after="60" w:line="440" w:lineRule="exact"/>
        <w:jc w:val="both"/>
        <w:outlineLvl w:val="2"/>
        <w:rPr>
          <w:rFonts w:ascii="Times New Roman" w:hAnsi="Times New Roman" w:cs="Times New Roman"/>
          <w:b/>
          <w:bCs/>
          <w:color w:val="000000" w:themeColor="text1"/>
          <w:w w:val="99"/>
          <w:kern w:val="2"/>
          <w:sz w:val="24"/>
          <w:szCs w:val="24"/>
          <w:lang w:val="en-US" w:bidi="ar-SA"/>
          <w14:textFill>
            <w14:solidFill>
              <w14:schemeClr w14:val="tx1"/>
            </w14:solidFill>
          </w14:textFill>
        </w:rPr>
      </w:pPr>
      <w:bookmarkStart w:id="482" w:name="_Toc106810351"/>
      <w:r>
        <w:rPr>
          <w:rFonts w:ascii="Times New Roman" w:hAnsi="Times New Roman" w:cs="Times New Roman"/>
          <w:b/>
          <w:bCs/>
          <w:color w:val="000000" w:themeColor="text1"/>
          <w:w w:val="99"/>
          <w:kern w:val="2"/>
          <w:sz w:val="24"/>
          <w:szCs w:val="24"/>
          <w:lang w:val="en-US" w:bidi="ar-SA"/>
          <w14:textFill>
            <w14:solidFill>
              <w14:schemeClr w14:val="tx1"/>
            </w14:solidFill>
          </w14:textFill>
        </w:rPr>
        <w:t>5.1.2</w:t>
      </w:r>
      <w:r>
        <w:rPr>
          <w:rFonts w:hint="eastAsia" w:ascii="Times New Roman" w:hAnsi="Times New Roman" w:cs="Times New Roman"/>
          <w:b/>
          <w:bCs/>
          <w:color w:val="000000" w:themeColor="text1"/>
          <w:w w:val="99"/>
          <w:kern w:val="2"/>
          <w:sz w:val="24"/>
          <w:szCs w:val="24"/>
          <w:lang w:val="en-US" w:bidi="ar-SA"/>
          <w14:textFill>
            <w14:solidFill>
              <w14:schemeClr w14:val="tx1"/>
            </w14:solidFill>
          </w14:textFill>
        </w:rPr>
        <w:t>评价结论</w:t>
      </w:r>
      <w:bookmarkEnd w:id="482"/>
    </w:p>
    <w:p w14:paraId="6DA21BF1">
      <w:pPr>
        <w:autoSpaceDE/>
        <w:autoSpaceDN/>
        <w:spacing w:line="440" w:lineRule="exact"/>
        <w:ind w:firstLine="454" w:firstLineChars="200"/>
        <w:jc w:val="both"/>
        <w:rPr>
          <w:rFonts w:ascii="Times New Roman" w:hAnsi="Times New Roman" w:cs="Times New Roman"/>
          <w:color w:val="000000" w:themeColor="text1"/>
          <w:w w:val="99"/>
          <w:kern w:val="2"/>
          <w:sz w:val="24"/>
          <w:szCs w:val="20"/>
          <w:lang w:val="en-US" w:bidi="ar-SA"/>
          <w14:textFill>
            <w14:solidFill>
              <w14:schemeClr w14:val="tx1"/>
            </w14:solidFill>
          </w14:textFill>
        </w:rPr>
      </w:pPr>
      <w:r>
        <w:rPr>
          <w:rFonts w:hint="eastAsia" w:ascii="Times New Roman" w:hAnsi="Times New Roman" w:cs="Times New Roman" w:eastAsiaTheme="minorEastAsia"/>
          <w:color w:val="000000" w:themeColor="text1"/>
          <w:spacing w:val="-5"/>
          <w:w w:val="99"/>
          <w:sz w:val="24"/>
          <w:szCs w:val="24"/>
          <w14:textFill>
            <w14:solidFill>
              <w14:schemeClr w14:val="tx1"/>
            </w14:solidFill>
          </w14:textFill>
        </w:rPr>
        <w:t>项目施工期产生的废气主要为施工扬尘和少量管线焊接废气，通过采取采用洒水抑尘、设置施工围挡、遮盖苫布等措施后对周围大气影响较小，且环境影响施工结束后影响即消除，施工期场界颗粒物浓度满足《大气污染物综合排放标准》（</w:t>
      </w:r>
      <w:r>
        <w:rPr>
          <w:rFonts w:ascii="Times New Roman" w:hAnsi="Times New Roman" w:cs="Times New Roman" w:eastAsiaTheme="minorEastAsia"/>
          <w:color w:val="000000" w:themeColor="text1"/>
          <w:spacing w:val="-5"/>
          <w:w w:val="99"/>
          <w:sz w:val="24"/>
          <w:szCs w:val="24"/>
          <w14:textFill>
            <w14:solidFill>
              <w14:schemeClr w14:val="tx1"/>
            </w14:solidFill>
          </w14:textFill>
        </w:rPr>
        <w:t>GB16297-1996</w:t>
      </w:r>
      <w:r>
        <w:rPr>
          <w:rFonts w:hint="eastAsia" w:ascii="Times New Roman" w:hAnsi="Times New Roman" w:cs="Times New Roman" w:eastAsiaTheme="minorEastAsia"/>
          <w:color w:val="000000" w:themeColor="text1"/>
          <w:spacing w:val="-5"/>
          <w:w w:val="99"/>
          <w:sz w:val="24"/>
          <w:szCs w:val="24"/>
          <w14:textFill>
            <w14:solidFill>
              <w14:schemeClr w14:val="tx1"/>
            </w14:solidFill>
          </w14:textFill>
        </w:rPr>
        <w:t>）要求，对区域空气环境及环保目标的影响较小</w:t>
      </w:r>
      <w:r>
        <w:rPr>
          <w:rFonts w:hint="eastAsia" w:ascii="Times New Roman" w:hAnsi="Times New Roman" w:cs="Times New Roman"/>
          <w:color w:val="000000" w:themeColor="text1"/>
          <w:w w:val="99"/>
          <w:kern w:val="2"/>
          <w:sz w:val="24"/>
          <w:szCs w:val="20"/>
          <w:lang w:val="en-US" w:bidi="ar-SA"/>
          <w14:textFill>
            <w14:solidFill>
              <w14:schemeClr w14:val="tx1"/>
            </w14:solidFill>
          </w14:textFill>
        </w:rPr>
        <w:t>；在</w:t>
      </w:r>
      <w:r>
        <w:rPr>
          <w:rFonts w:hint="eastAsia" w:ascii="Times New Roman" w:hAnsi="Times New Roman" w:cs="Times New Roman"/>
          <w:color w:val="000000" w:themeColor="text1"/>
          <w:w w:val="99"/>
          <w:kern w:val="2"/>
          <w:sz w:val="24"/>
          <w:szCs w:val="20"/>
          <w:lang w:val="en-US"/>
          <w14:textFill>
            <w14:solidFill>
              <w14:schemeClr w14:val="tx1"/>
            </w14:solidFill>
          </w14:textFill>
        </w:rPr>
        <w:t>运营期</w:t>
      </w:r>
      <w:r>
        <w:rPr>
          <w:rFonts w:hint="eastAsia" w:ascii="Times New Roman" w:hAnsi="Times New Roman" w:cs="Times New Roman"/>
          <w:color w:val="000000" w:themeColor="text1"/>
          <w:w w:val="99"/>
          <w:kern w:val="2"/>
          <w:sz w:val="24"/>
          <w:szCs w:val="20"/>
          <w:lang w:val="en-US" w:bidi="ar-SA"/>
          <w14:textFill>
            <w14:solidFill>
              <w14:schemeClr w14:val="tx1"/>
            </w14:solidFill>
          </w14:textFill>
        </w:rPr>
        <w:t>油气集输全部采用密闭集输工艺流程</w:t>
      </w:r>
      <w:r>
        <w:rPr>
          <w:rFonts w:hint="eastAsia" w:ascii="Times New Roman" w:hAnsi="Times New Roman" w:cs="Times New Roman"/>
          <w:color w:val="000000" w:themeColor="text1"/>
          <w:w w:val="99"/>
          <w:kern w:val="2"/>
          <w:sz w:val="24"/>
          <w:szCs w:val="20"/>
          <w:lang w:val="en-US"/>
          <w14:textFill>
            <w14:solidFill>
              <w14:schemeClr w14:val="tx1"/>
            </w14:solidFill>
          </w14:textFill>
        </w:rPr>
        <w:t>，阀门、泵等密封点安装密封垫，</w:t>
      </w:r>
      <w:r>
        <w:rPr>
          <w:rFonts w:hint="eastAsia" w:ascii="Times New Roman" w:hAnsi="Times New Roman" w:cs="Times New Roman"/>
          <w:color w:val="000000" w:themeColor="text1"/>
          <w:w w:val="99"/>
          <w:kern w:val="2"/>
          <w:sz w:val="24"/>
          <w:szCs w:val="20"/>
          <w:lang w:val="en-US" w:bidi="ar-SA"/>
          <w14:textFill>
            <w14:solidFill>
              <w14:schemeClr w14:val="tx1"/>
            </w14:solidFill>
          </w14:textFill>
        </w:rPr>
        <w:t>定期对设备和管道进行维修保养，保证油气集输设施的平稳运行，控制烃类气体的无组织挥发</w:t>
      </w:r>
      <w:r>
        <w:rPr>
          <w:rFonts w:hint="eastAsia" w:ascii="Times New Roman" w:hAnsi="Times New Roman" w:cs="Times New Roman"/>
          <w:bCs/>
          <w:color w:val="000000" w:themeColor="text1"/>
          <w:w w:val="99"/>
          <w:kern w:val="21"/>
          <w:sz w:val="24"/>
          <w:szCs w:val="24"/>
          <w:lang w:val="en-US"/>
          <w14:textFill>
            <w14:solidFill>
              <w14:schemeClr w14:val="tx1"/>
            </w14:solidFill>
          </w14:textFill>
        </w:rPr>
        <w:t>，根据预测分析，</w:t>
      </w:r>
      <w:r>
        <w:rPr>
          <w:rFonts w:hint="eastAsia" w:ascii="Times New Roman" w:hAnsi="Times New Roman" w:cs="Times New Roman"/>
          <w:color w:val="000000" w:themeColor="text1"/>
          <w:w w:val="99"/>
          <w:sz w:val="24"/>
          <w:szCs w:val="24"/>
          <w:lang w:val="en-US" w:bidi="ar-SA"/>
          <w14:textFill>
            <w14:solidFill>
              <w14:schemeClr w14:val="tx1"/>
            </w14:solidFill>
          </w14:textFill>
        </w:rPr>
        <w:t>本项目排放的非甲烷总烃最大落地浓度为</w:t>
      </w:r>
      <w:r>
        <w:rPr>
          <w:rFonts w:ascii="Times New Roman" w:hAnsi="Times New Roman" w:cs="Times New Roman"/>
          <w:color w:val="000000" w:themeColor="text1"/>
          <w:w w:val="99"/>
          <w:sz w:val="24"/>
          <w:szCs w:val="20"/>
          <w:lang w:val="en-US" w:bidi="ar-SA"/>
          <w14:textFill>
            <w14:solidFill>
              <w14:schemeClr w14:val="tx1"/>
            </w14:solidFill>
          </w14:textFill>
        </w:rPr>
        <w:t>3.3425</w:t>
      </w:r>
      <w:r>
        <w:rPr>
          <w:rFonts w:ascii="Times New Roman" w:hAnsi="Times New Roman" w:cs="Times New Roman"/>
          <w:color w:val="000000" w:themeColor="text1"/>
          <w:w w:val="99"/>
          <w:sz w:val="24"/>
          <w:szCs w:val="24"/>
          <w:lang w:val="en-US" w:bidi="ar-SA"/>
          <w14:textFill>
            <w14:solidFill>
              <w14:schemeClr w14:val="tx1"/>
            </w14:solidFill>
          </w14:textFill>
        </w:rPr>
        <w:t>μg/m³</w:t>
      </w:r>
      <w:r>
        <w:rPr>
          <w:rFonts w:hint="eastAsia" w:ascii="Times New Roman" w:hAnsi="Times New Roman" w:cs="Times New Roman"/>
          <w:color w:val="000000" w:themeColor="text1"/>
          <w:w w:val="99"/>
          <w:sz w:val="24"/>
          <w:szCs w:val="24"/>
          <w:lang w:val="en-US" w:bidi="ar-SA"/>
          <w14:textFill>
            <w14:solidFill>
              <w14:schemeClr w14:val="tx1"/>
            </w14:solidFill>
          </w14:textFill>
        </w:rPr>
        <w:t>，最大占标率为</w:t>
      </w:r>
      <w:r>
        <w:rPr>
          <w:rFonts w:ascii="Times New Roman" w:hAnsi="Times New Roman" w:cs="Times New Roman"/>
          <w:color w:val="000000" w:themeColor="text1"/>
          <w:w w:val="99"/>
          <w:sz w:val="24"/>
          <w:szCs w:val="20"/>
          <w:lang w:val="en-US" w:bidi="ar-SA"/>
          <w14:textFill>
            <w14:solidFill>
              <w14:schemeClr w14:val="tx1"/>
            </w14:solidFill>
          </w14:textFill>
        </w:rPr>
        <w:t>0.1671</w:t>
      </w:r>
      <w:r>
        <w:rPr>
          <w:rFonts w:ascii="Times New Roman" w:hAnsi="Times New Roman" w:cs="Times New Roman"/>
          <w:color w:val="000000" w:themeColor="text1"/>
          <w:w w:val="99"/>
          <w:sz w:val="24"/>
          <w:szCs w:val="24"/>
          <w:lang w:val="en-US" w:bidi="ar-SA"/>
          <w14:textFill>
            <w14:solidFill>
              <w14:schemeClr w14:val="tx1"/>
            </w14:solidFill>
          </w14:textFill>
        </w:rPr>
        <w:t>%</w:t>
      </w:r>
      <w:r>
        <w:rPr>
          <w:rFonts w:hint="eastAsia" w:ascii="Times New Roman" w:hAnsi="Times New Roman" w:cs="Times New Roman"/>
          <w:color w:val="000000" w:themeColor="text1"/>
          <w:w w:val="99"/>
          <w:sz w:val="24"/>
          <w:szCs w:val="24"/>
          <w:lang w:val="en-US" w:bidi="ar-SA"/>
          <w14:textFill>
            <w14:solidFill>
              <w14:schemeClr w14:val="tx1"/>
            </w14:solidFill>
          </w14:textFill>
        </w:rPr>
        <w:t>，满足《大气污染物综合排放标准详解》中的</w:t>
      </w:r>
      <w:r>
        <w:rPr>
          <w:rFonts w:ascii="Times New Roman" w:hAnsi="Times New Roman" w:cs="Times New Roman"/>
          <w:color w:val="000000" w:themeColor="text1"/>
          <w:w w:val="99"/>
          <w:sz w:val="24"/>
          <w:szCs w:val="24"/>
          <w:lang w:val="en-US" w:bidi="ar-SA"/>
          <w14:textFill>
            <w14:solidFill>
              <w14:schemeClr w14:val="tx1"/>
            </w14:solidFill>
          </w14:textFill>
        </w:rPr>
        <w:t>2.0mg/m</w:t>
      </w:r>
      <w:r>
        <w:rPr>
          <w:rFonts w:ascii="Times New Roman" w:hAnsi="Times New Roman" w:cs="Times New Roman"/>
          <w:color w:val="000000" w:themeColor="text1"/>
          <w:w w:val="99"/>
          <w:sz w:val="24"/>
          <w:szCs w:val="24"/>
          <w:vertAlign w:val="superscript"/>
          <w:lang w:val="en-US" w:bidi="ar-SA"/>
          <w14:textFill>
            <w14:solidFill>
              <w14:schemeClr w14:val="tx1"/>
            </w14:solidFill>
          </w14:textFill>
        </w:rPr>
        <w:t>3</w:t>
      </w:r>
      <w:r>
        <w:rPr>
          <w:rFonts w:hint="eastAsia" w:ascii="Times New Roman" w:hAnsi="Times New Roman" w:cs="Times New Roman"/>
          <w:color w:val="000000" w:themeColor="text1"/>
          <w:w w:val="99"/>
          <w:sz w:val="24"/>
          <w:szCs w:val="24"/>
          <w:lang w:val="en-US" w:bidi="ar-SA"/>
          <w14:textFill>
            <w14:solidFill>
              <w14:schemeClr w14:val="tx1"/>
            </w14:solidFill>
          </w14:textFill>
        </w:rPr>
        <w:t>标准限值</w:t>
      </w:r>
      <w:r>
        <w:rPr>
          <w:rFonts w:hint="eastAsia" w:ascii="Times New Roman" w:hAnsi="Times New Roman" w:cs="Times New Roman"/>
          <w:bCs/>
          <w:color w:val="000000" w:themeColor="text1"/>
          <w:w w:val="99"/>
          <w:kern w:val="21"/>
          <w:sz w:val="24"/>
          <w:szCs w:val="24"/>
          <w:lang w:val="en-US"/>
          <w14:textFill>
            <w14:solidFill>
              <w14:schemeClr w14:val="tx1"/>
            </w14:solidFill>
          </w14:textFill>
        </w:rPr>
        <w:t>，项目运行后</w:t>
      </w:r>
      <w:r>
        <w:rPr>
          <w:rFonts w:hint="eastAsia" w:ascii="Times New Roman" w:hAnsi="Times New Roman" w:cs="Times New Roman"/>
          <w:color w:val="000000" w:themeColor="text1"/>
          <w:w w:val="99"/>
          <w:sz w:val="24"/>
          <w:szCs w:val="24"/>
          <w:lang w:val="en-US" w:bidi="ar-SA"/>
          <w14:textFill>
            <w14:solidFill>
              <w14:schemeClr w14:val="tx1"/>
            </w14:solidFill>
          </w14:textFill>
        </w:rPr>
        <w:t>对周边环境敏感点影响较小</w:t>
      </w:r>
      <w:r>
        <w:rPr>
          <w:rFonts w:hint="eastAsia" w:ascii="Times New Roman" w:hAnsi="Times New Roman" w:cs="Times New Roman"/>
          <w:bCs/>
          <w:color w:val="000000" w:themeColor="text1"/>
          <w:w w:val="99"/>
          <w:kern w:val="21"/>
          <w:sz w:val="24"/>
          <w:szCs w:val="24"/>
          <w:lang w:val="en-US"/>
          <w14:textFill>
            <w14:solidFill>
              <w14:schemeClr w14:val="tx1"/>
            </w14:solidFill>
          </w14:textFill>
        </w:rPr>
        <w:t>；</w:t>
      </w:r>
      <w:r>
        <w:rPr>
          <w:rFonts w:hint="eastAsia" w:ascii="Times New Roman" w:hAnsi="Times New Roman" w:cs="Times New Roman"/>
          <w:bCs/>
          <w:color w:val="000000" w:themeColor="text1"/>
          <w:w w:val="99"/>
          <w:sz w:val="24"/>
          <w:szCs w:val="24"/>
          <w:lang w:val="en-US"/>
          <w14:textFill>
            <w14:solidFill>
              <w14:schemeClr w14:val="tx1"/>
            </w14:solidFill>
          </w14:textFill>
        </w:rPr>
        <w:t>混输阀组间</w:t>
      </w:r>
      <w:r>
        <w:rPr>
          <w:rFonts w:hint="eastAsia" w:ascii="Times New Roman" w:hAnsi="Times New Roman" w:cs="Times New Roman"/>
          <w:bCs/>
          <w:color w:val="000000" w:themeColor="text1"/>
          <w:w w:val="99"/>
          <w:sz w:val="24"/>
          <w:szCs w:val="24"/>
          <w:lang w:val="en-US" w:bidi="ar-SA"/>
          <w14:textFill>
            <w14:solidFill>
              <w14:schemeClr w14:val="tx1"/>
            </w14:solidFill>
          </w14:textFill>
        </w:rPr>
        <w:t>排放的非甲烷总烃边界可以满足《陆上石油天然气开采工业大气污染物排放标准》（</w:t>
      </w:r>
      <w:r>
        <w:rPr>
          <w:rFonts w:ascii="Times New Roman" w:hAnsi="Times New Roman" w:cs="Times New Roman"/>
          <w:bCs/>
          <w:color w:val="000000" w:themeColor="text1"/>
          <w:w w:val="99"/>
          <w:sz w:val="24"/>
          <w:szCs w:val="24"/>
          <w:lang w:val="en-US" w:bidi="ar-SA"/>
          <w14:textFill>
            <w14:solidFill>
              <w14:schemeClr w14:val="tx1"/>
            </w14:solidFill>
          </w14:textFill>
        </w:rPr>
        <w:t>GB39728-2020</w:t>
      </w:r>
      <w:r>
        <w:rPr>
          <w:rFonts w:hint="eastAsia" w:ascii="Times New Roman" w:hAnsi="Times New Roman" w:cs="Times New Roman"/>
          <w:bCs/>
          <w:color w:val="000000" w:themeColor="text1"/>
          <w:w w:val="99"/>
          <w:sz w:val="24"/>
          <w:szCs w:val="24"/>
          <w:lang w:val="en-US" w:bidi="ar-SA"/>
          <w14:textFill>
            <w14:solidFill>
              <w14:schemeClr w14:val="tx1"/>
            </w14:solidFill>
          </w14:textFill>
        </w:rPr>
        <w:t>）</w:t>
      </w:r>
      <w:r>
        <w:rPr>
          <w:rFonts w:ascii="Times New Roman" w:hAnsi="Times New Roman" w:cs="Times New Roman"/>
          <w:bCs/>
          <w:color w:val="000000" w:themeColor="text1"/>
          <w:w w:val="99"/>
          <w:sz w:val="24"/>
          <w:szCs w:val="24"/>
          <w:lang w:val="en-US" w:bidi="ar-SA"/>
          <w14:textFill>
            <w14:solidFill>
              <w14:schemeClr w14:val="tx1"/>
            </w14:solidFill>
          </w14:textFill>
        </w:rPr>
        <w:t>5.9</w:t>
      </w:r>
      <w:r>
        <w:rPr>
          <w:rFonts w:hint="eastAsia" w:ascii="Times New Roman" w:hAnsi="Times New Roman" w:cs="Times New Roman"/>
          <w:bCs/>
          <w:color w:val="000000" w:themeColor="text1"/>
          <w:w w:val="99"/>
          <w:sz w:val="24"/>
          <w:szCs w:val="24"/>
          <w:lang w:val="en-US" w:bidi="ar-SA"/>
          <w14:textFill>
            <w14:solidFill>
              <w14:schemeClr w14:val="tx1"/>
            </w14:solidFill>
          </w14:textFill>
        </w:rPr>
        <w:t>中规定要求，</w:t>
      </w:r>
      <w:r>
        <w:rPr>
          <w:rFonts w:hint="eastAsia" w:ascii="Times New Roman" w:hAnsi="Times New Roman" w:cs="Times New Roman"/>
          <w:bCs/>
          <w:color w:val="000000" w:themeColor="text1"/>
          <w:w w:val="99"/>
          <w:sz w:val="24"/>
          <w:szCs w:val="24"/>
          <w:lang w:val="en-US"/>
          <w14:textFill>
            <w14:solidFill>
              <w14:schemeClr w14:val="tx1"/>
            </w14:solidFill>
          </w14:textFill>
        </w:rPr>
        <w:t>厂区内可以满足《挥发性有机物无组织排放控制标准》（</w:t>
      </w:r>
      <w:r>
        <w:rPr>
          <w:rFonts w:ascii="Times New Roman" w:hAnsi="Times New Roman" w:cs="Times New Roman"/>
          <w:bCs/>
          <w:color w:val="000000" w:themeColor="text1"/>
          <w:w w:val="99"/>
          <w:sz w:val="24"/>
          <w:szCs w:val="24"/>
          <w:lang w:val="en-US"/>
          <w14:textFill>
            <w14:solidFill>
              <w14:schemeClr w14:val="tx1"/>
            </w14:solidFill>
          </w14:textFill>
        </w:rPr>
        <w:t>GB 37822-2019</w:t>
      </w:r>
      <w:r>
        <w:rPr>
          <w:rFonts w:hint="eastAsia" w:ascii="Times New Roman" w:hAnsi="Times New Roman" w:cs="Times New Roman"/>
          <w:bCs/>
          <w:color w:val="000000" w:themeColor="text1"/>
          <w:w w:val="99"/>
          <w:sz w:val="24"/>
          <w:szCs w:val="24"/>
          <w:lang w:val="en-US"/>
          <w14:textFill>
            <w14:solidFill>
              <w14:schemeClr w14:val="tx1"/>
            </w14:solidFill>
          </w14:textFill>
        </w:rPr>
        <w:t>）附录</w:t>
      </w:r>
      <w:r>
        <w:rPr>
          <w:rFonts w:ascii="Times New Roman" w:hAnsi="Times New Roman" w:cs="Times New Roman"/>
          <w:bCs/>
          <w:color w:val="000000" w:themeColor="text1"/>
          <w:w w:val="99"/>
          <w:sz w:val="24"/>
          <w:szCs w:val="24"/>
          <w:lang w:val="en-US"/>
          <w14:textFill>
            <w14:solidFill>
              <w14:schemeClr w14:val="tx1"/>
            </w14:solidFill>
          </w14:textFill>
        </w:rPr>
        <w:t xml:space="preserve">A </w:t>
      </w:r>
      <w:r>
        <w:rPr>
          <w:rFonts w:hint="eastAsia" w:ascii="Times New Roman" w:hAnsi="Times New Roman" w:cs="Times New Roman"/>
          <w:bCs/>
          <w:color w:val="000000" w:themeColor="text1"/>
          <w:w w:val="99"/>
          <w:sz w:val="24"/>
          <w:szCs w:val="24"/>
          <w:lang w:val="en-US"/>
          <w14:textFill>
            <w14:solidFill>
              <w14:schemeClr w14:val="tx1"/>
            </w14:solidFill>
          </w14:textFill>
        </w:rPr>
        <w:t>中</w:t>
      </w:r>
      <w:r>
        <w:rPr>
          <w:rFonts w:ascii="Times New Roman" w:hAnsi="Times New Roman" w:cs="Times New Roman"/>
          <w:bCs/>
          <w:color w:val="000000" w:themeColor="text1"/>
          <w:w w:val="99"/>
          <w:sz w:val="24"/>
          <w:szCs w:val="24"/>
          <w:lang w:val="en-US"/>
          <w14:textFill>
            <w14:solidFill>
              <w14:schemeClr w14:val="tx1"/>
            </w14:solidFill>
          </w14:textFill>
        </w:rPr>
        <w:t xml:space="preserve">VOCs </w:t>
      </w:r>
      <w:r>
        <w:rPr>
          <w:rFonts w:hint="eastAsia" w:ascii="Times New Roman" w:hAnsi="Times New Roman" w:cs="Times New Roman"/>
          <w:bCs/>
          <w:color w:val="000000" w:themeColor="text1"/>
          <w:w w:val="99"/>
          <w:sz w:val="24"/>
          <w:szCs w:val="24"/>
          <w:lang w:val="en-US"/>
          <w14:textFill>
            <w14:solidFill>
              <w14:schemeClr w14:val="tx1"/>
            </w14:solidFill>
          </w14:textFill>
        </w:rPr>
        <w:t>无组织排放一般限值要求</w:t>
      </w:r>
      <w:r>
        <w:rPr>
          <w:rFonts w:hint="eastAsia" w:ascii="Times New Roman" w:hAnsi="Times New Roman" w:cs="Times New Roman"/>
          <w:color w:val="000000" w:themeColor="text1"/>
          <w:w w:val="99"/>
          <w:kern w:val="2"/>
          <w:sz w:val="24"/>
          <w:szCs w:val="20"/>
          <w:lang w:val="en-US" w:bidi="ar-SA"/>
          <w14:textFill>
            <w14:solidFill>
              <w14:schemeClr w14:val="tx1"/>
            </w14:solidFill>
          </w14:textFill>
        </w:rPr>
        <w:t>。通过采取过程全控制的措施，满足相关标准的要求。通过预测可知，本项目对大气环境影响较小，无需设置大气环境防护区域。大气环境影响评价自查表见附表</w:t>
      </w:r>
      <w:r>
        <w:rPr>
          <w:rFonts w:ascii="Times New Roman" w:hAnsi="Times New Roman" w:cs="Times New Roman"/>
          <w:color w:val="000000" w:themeColor="text1"/>
          <w:w w:val="99"/>
          <w:kern w:val="2"/>
          <w:sz w:val="24"/>
          <w:szCs w:val="20"/>
          <w:lang w:val="en-US" w:bidi="ar-SA"/>
          <w14:textFill>
            <w14:solidFill>
              <w14:schemeClr w14:val="tx1"/>
            </w14:solidFill>
          </w14:textFill>
        </w:rPr>
        <w:t>1</w:t>
      </w:r>
      <w:r>
        <w:rPr>
          <w:rFonts w:hint="eastAsia" w:ascii="Times New Roman" w:hAnsi="Times New Roman" w:cs="Times New Roman"/>
          <w:color w:val="000000" w:themeColor="text1"/>
          <w:w w:val="99"/>
          <w:kern w:val="2"/>
          <w:sz w:val="24"/>
          <w:szCs w:val="20"/>
          <w:lang w:val="en-US" w:bidi="ar-SA"/>
          <w14:textFill>
            <w14:solidFill>
              <w14:schemeClr w14:val="tx1"/>
            </w14:solidFill>
          </w14:textFill>
        </w:rPr>
        <w:t>。</w:t>
      </w:r>
    </w:p>
    <w:p w14:paraId="54010070">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483" w:name="_Toc117794593"/>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5.2地表水影响分析</w:t>
      </w:r>
      <w:bookmarkEnd w:id="483"/>
    </w:p>
    <w:p w14:paraId="2F89EC54">
      <w:pPr>
        <w:pStyle w:val="46"/>
        <w:spacing w:after="0" w:line="440" w:lineRule="exact"/>
        <w:ind w:left="0" w:leftChars="0" w:firstLine="474" w:firstLineChars="200"/>
        <w:rPr>
          <w:rFonts w:eastAsiaTheme="minorEastAsia"/>
          <w:bCs/>
          <w:color w:val="000000" w:themeColor="text1"/>
          <w:w w:val="99"/>
          <w:sz w:val="24"/>
          <w14:textFill>
            <w14:solidFill>
              <w14:schemeClr w14:val="tx1"/>
            </w14:solidFill>
          </w14:textFill>
        </w:rPr>
      </w:pPr>
      <w:r>
        <w:rPr>
          <w:rFonts w:eastAsiaTheme="minorEastAsia"/>
          <w:bCs/>
          <w:color w:val="000000" w:themeColor="text1"/>
          <w:w w:val="99"/>
          <w:sz w:val="24"/>
          <w14:textFill>
            <w14:solidFill>
              <w14:schemeClr w14:val="tx1"/>
            </w14:solidFill>
          </w14:textFill>
        </w:rPr>
        <w:t>项目区域地表水体主要为</w:t>
      </w:r>
      <w:r>
        <w:rPr>
          <w:rFonts w:hint="eastAsia" w:eastAsiaTheme="minorEastAsia"/>
          <w:bCs/>
          <w:color w:val="000000" w:themeColor="text1"/>
          <w:w w:val="99"/>
          <w:sz w:val="24"/>
          <w14:textFill>
            <w14:solidFill>
              <w14:schemeClr w14:val="tx1"/>
            </w14:solidFill>
          </w14:textFill>
        </w:rPr>
        <w:t>古努泡子</w:t>
      </w:r>
      <w:r>
        <w:rPr>
          <w:rFonts w:eastAsiaTheme="minorEastAsia"/>
          <w:bCs/>
          <w:color w:val="000000" w:themeColor="text1"/>
          <w:w w:val="99"/>
          <w:sz w:val="24"/>
          <w14:textFill>
            <w14:solidFill>
              <w14:schemeClr w14:val="tx1"/>
            </w14:solidFill>
          </w14:textFill>
        </w:rPr>
        <w:t>，位于</w:t>
      </w:r>
      <w:r>
        <w:rPr>
          <w:rFonts w:eastAsiaTheme="minorEastAsia"/>
          <w:bCs/>
          <w:color w:val="000000" w:themeColor="text1"/>
          <w:w w:val="99"/>
          <w:sz w:val="24"/>
          <w:lang w:val="en-US"/>
          <w14:textFill>
            <w14:solidFill>
              <w14:schemeClr w14:val="tx1"/>
            </w14:solidFill>
          </w14:textFill>
        </w:rPr>
        <w:t>11号平台至龙一联合站集油管道北侧219m</w:t>
      </w:r>
      <w:r>
        <w:rPr>
          <w:rFonts w:eastAsiaTheme="minorEastAsia"/>
          <w:bCs/>
          <w:color w:val="000000" w:themeColor="text1"/>
          <w:w w:val="99"/>
          <w:sz w:val="24"/>
          <w14:textFill>
            <w14:solidFill>
              <w14:schemeClr w14:val="tx1"/>
            </w14:solidFill>
          </w14:textFill>
        </w:rPr>
        <w:t>。</w:t>
      </w:r>
    </w:p>
    <w:p w14:paraId="4817F934">
      <w:pPr>
        <w:pStyle w:val="46"/>
        <w:spacing w:after="0" w:line="440" w:lineRule="exact"/>
        <w:ind w:left="0" w:leftChars="0" w:firstLine="474" w:firstLineChars="200"/>
        <w:rPr>
          <w:rFonts w:eastAsiaTheme="minorEastAsia"/>
          <w:bCs/>
          <w:color w:val="000000" w:themeColor="text1"/>
          <w:w w:val="99"/>
          <w:sz w:val="24"/>
          <w14:textFill>
            <w14:solidFill>
              <w14:schemeClr w14:val="tx1"/>
            </w14:solidFill>
          </w14:textFill>
        </w:rPr>
      </w:pPr>
      <w:r>
        <w:rPr>
          <w:rFonts w:eastAsiaTheme="minorEastAsia"/>
          <w:bCs/>
          <w:color w:val="000000" w:themeColor="text1"/>
          <w:w w:val="99"/>
          <w:sz w:val="24"/>
          <w:lang w:val="en-US"/>
          <w14:textFill>
            <w14:solidFill>
              <w14:schemeClr w14:val="tx1"/>
            </w14:solidFill>
          </w14:textFill>
        </w:rPr>
        <w:t>正常工况下本项目运行期不产生废水，施工期废水主要为试压</w:t>
      </w:r>
      <w:r>
        <w:rPr>
          <w:rFonts w:hint="eastAsia" w:eastAsiaTheme="minorEastAsia"/>
          <w:bCs/>
          <w:color w:val="000000" w:themeColor="text1"/>
          <w:w w:val="99"/>
          <w:sz w:val="24"/>
          <w:lang w:val="en-US"/>
          <w14:textFill>
            <w14:solidFill>
              <w14:schemeClr w14:val="tx1"/>
            </w14:solidFill>
          </w14:textFill>
        </w:rPr>
        <w:t>废水</w:t>
      </w:r>
      <w:r>
        <w:rPr>
          <w:rFonts w:eastAsiaTheme="minorEastAsia"/>
          <w:bCs/>
          <w:color w:val="000000" w:themeColor="text1"/>
          <w:w w:val="99"/>
          <w:sz w:val="24"/>
          <w:lang w:val="en-US"/>
          <w14:textFill>
            <w14:solidFill>
              <w14:schemeClr w14:val="tx1"/>
            </w14:solidFill>
          </w14:textFill>
        </w:rPr>
        <w:t>和施工人员的生活污水</w:t>
      </w:r>
      <w:r>
        <w:rPr>
          <w:rFonts w:hint="eastAsia" w:eastAsiaTheme="minorEastAsia"/>
          <w:bCs/>
          <w:color w:val="000000" w:themeColor="text1"/>
          <w:w w:val="99"/>
          <w:sz w:val="24"/>
          <w:lang w:val="en-US"/>
          <w14:textFill>
            <w14:solidFill>
              <w14:schemeClr w14:val="tx1"/>
            </w14:solidFill>
          </w14:textFill>
        </w:rPr>
        <w:t>；</w:t>
      </w:r>
      <w:r>
        <w:rPr>
          <w:rFonts w:eastAsiaTheme="minorEastAsia"/>
          <w:bCs/>
          <w:color w:val="000000" w:themeColor="text1"/>
          <w:w w:val="99"/>
          <w:sz w:val="24"/>
          <w:lang w:val="en-US"/>
          <w14:textFill>
            <w14:solidFill>
              <w14:schemeClr w14:val="tx1"/>
            </w14:solidFill>
          </w14:textFill>
        </w:rPr>
        <w:t>事故状态下，在生产运行过程中由于处理、输送工艺物料的管道腐蚀穿孔、接头密闭不严、操作失误，发生泄漏，对</w:t>
      </w:r>
      <w:r>
        <w:rPr>
          <w:rFonts w:hint="eastAsia" w:eastAsiaTheme="minorEastAsia"/>
          <w:bCs/>
          <w:color w:val="000000" w:themeColor="text1"/>
          <w:w w:val="99"/>
          <w:sz w:val="24"/>
          <w:lang w:val="en-US"/>
          <w14:textFill>
            <w14:solidFill>
              <w14:schemeClr w14:val="tx1"/>
            </w14:solidFill>
          </w14:textFill>
        </w:rPr>
        <w:t>地表水</w:t>
      </w:r>
      <w:r>
        <w:rPr>
          <w:rFonts w:eastAsiaTheme="minorEastAsia"/>
          <w:bCs/>
          <w:color w:val="000000" w:themeColor="text1"/>
          <w:w w:val="99"/>
          <w:sz w:val="24"/>
          <w:lang w:val="en-US"/>
          <w14:textFill>
            <w14:solidFill>
              <w14:schemeClr w14:val="tx1"/>
            </w14:solidFill>
          </w14:textFill>
        </w:rPr>
        <w:t>环境造成污染</w:t>
      </w:r>
      <w:r>
        <w:rPr>
          <w:rFonts w:hint="eastAsia" w:eastAsiaTheme="minorEastAsia"/>
          <w:bCs/>
          <w:color w:val="000000" w:themeColor="text1"/>
          <w:w w:val="99"/>
          <w:sz w:val="24"/>
          <w:lang w:val="en-US"/>
          <w14:textFill>
            <w14:solidFill>
              <w14:schemeClr w14:val="tx1"/>
            </w14:solidFill>
          </w14:textFill>
        </w:rPr>
        <w:t>。</w:t>
      </w:r>
    </w:p>
    <w:p w14:paraId="0C39D5EA">
      <w:pPr>
        <w:autoSpaceDE/>
        <w:autoSpaceDN/>
        <w:spacing w:before="60" w:after="60" w:line="440" w:lineRule="exact"/>
        <w:jc w:val="both"/>
        <w:outlineLvl w:val="2"/>
        <w:rPr>
          <w:rFonts w:ascii="Times New Roman" w:hAnsi="Times New Roman" w:cs="Times New Roman"/>
          <w:b/>
          <w:bCs/>
          <w:color w:val="000000" w:themeColor="text1"/>
          <w:w w:val="99"/>
          <w:kern w:val="2"/>
          <w:sz w:val="24"/>
          <w:szCs w:val="24"/>
          <w:lang w:val="en-US" w:bidi="ar-SA"/>
          <w14:textFill>
            <w14:solidFill>
              <w14:schemeClr w14:val="tx1"/>
            </w14:solidFill>
          </w14:textFill>
        </w:rPr>
      </w:pPr>
      <w:r>
        <w:rPr>
          <w:rFonts w:ascii="Times New Roman" w:hAnsi="Times New Roman" w:cs="Times New Roman"/>
          <w:b/>
          <w:bCs/>
          <w:color w:val="000000" w:themeColor="text1"/>
          <w:w w:val="99"/>
          <w:kern w:val="2"/>
          <w:sz w:val="24"/>
          <w:szCs w:val="24"/>
          <w:lang w:val="en-US" w:bidi="ar-SA"/>
          <w14:textFill>
            <w14:solidFill>
              <w14:schemeClr w14:val="tx1"/>
            </w14:solidFill>
          </w14:textFill>
        </w:rPr>
        <w:t>5.2.1</w:t>
      </w:r>
      <w:r>
        <w:rPr>
          <w:rFonts w:ascii="Times New Roman" w:hAnsi="Times New Roman"/>
          <w:b/>
          <w:color w:val="000000" w:themeColor="text1"/>
          <w:w w:val="99"/>
          <w:sz w:val="24"/>
          <w:szCs w:val="24"/>
          <w:lang w:val="en-US" w:bidi="ar-SA"/>
          <w14:textFill>
            <w14:solidFill>
              <w14:schemeClr w14:val="tx1"/>
            </w14:solidFill>
          </w14:textFill>
        </w:rPr>
        <w:t>正常工况下地表水环境影响分析</w:t>
      </w:r>
    </w:p>
    <w:p w14:paraId="0AFBB3B9">
      <w:pPr>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（1）试压废水</w:t>
      </w:r>
    </w:p>
    <w:p w14:paraId="3C6621CB">
      <w:pPr>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根据工程分析，项目共产生试压废水约</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225.5m</w:t>
      </w:r>
      <w:r>
        <w:rPr>
          <w:rFonts w:ascii="Times New Roman" w:hAnsi="Times New Roman" w:cs="Times New Roman" w:eastAsiaTheme="minorEastAsia"/>
          <w:bCs/>
          <w:color w:val="000000" w:themeColor="text1"/>
          <w:w w:val="99"/>
          <w:sz w:val="24"/>
          <w:szCs w:val="24"/>
          <w:vertAlign w:val="superscript"/>
          <w:lang w:val="en-US"/>
          <w14:textFill>
            <w14:solidFill>
              <w14:schemeClr w14:val="tx1"/>
            </w14:solidFill>
          </w14:textFill>
        </w:rPr>
        <w:t>3</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，该废水中主要含铁锈和泥屑，试压结束后，统一由罐车收集运送至龙一联含油污水处理站处理</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达到《大庆油田地面工程建设设计规定》（Q/SYDQ0639-2015）表3中的“含油量≤8mg/L、悬浮固体≤3mg/L、粒径中值≤2μm”规定后回注油层，不外排</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。龙一联含油污水处理站</w:t>
      </w:r>
      <w:r>
        <w:rPr>
          <w:rFonts w:ascii="Times New Roman" w:hAnsi="Times New Roman" w:cs="Times New Roman" w:eastAsiaTheme="minorEastAsia"/>
          <w:bCs/>
          <w:color w:val="000000" w:themeColor="text1"/>
          <w:w w:val="99"/>
          <w:sz w:val="24"/>
          <w:szCs w:val="24"/>
          <w:lang w:val="de-DE" w:bidi="ar-SA"/>
          <w14:textFill>
            <w14:solidFill>
              <w14:schemeClr w14:val="tx1"/>
            </w14:solidFill>
          </w14:textFill>
        </w:rPr>
        <w:t>采用自然沉降、混凝沉降、两级压力过滤处理工艺，一级过滤罐为核桃壳过滤罐，二级过滤罐为石英砂、磁铁矿双层滤料过滤罐。设计出水水质指标为</w:t>
      </w:r>
      <w:r>
        <w:rPr>
          <w:rFonts w:hint="eastAsia" w:ascii="Times New Roman" w:hAnsi="Times New Roman" w:cs="Times New Roman" w:eastAsiaTheme="minorEastAsia"/>
          <w:bCs/>
          <w:color w:val="000000" w:themeColor="text1"/>
          <w:w w:val="99"/>
          <w:sz w:val="24"/>
          <w:szCs w:val="24"/>
          <w:lang w:val="de-DE" w:bidi="ar-SA"/>
          <w14:textFill>
            <w14:solidFill>
              <w14:schemeClr w14:val="tx1"/>
            </w14:solidFill>
          </w14:textFill>
        </w:rPr>
        <w:t>《大庆油田地面工程建设设计规定》（</w:t>
      </w:r>
      <w:r>
        <w:rPr>
          <w:rFonts w:ascii="Times New Roman" w:hAnsi="Times New Roman" w:cs="Times New Roman" w:eastAsiaTheme="minorEastAsia"/>
          <w:bCs/>
          <w:color w:val="000000" w:themeColor="text1"/>
          <w:w w:val="99"/>
          <w:sz w:val="24"/>
          <w:szCs w:val="24"/>
          <w:lang w:val="de-DE" w:bidi="ar-SA"/>
          <w14:textFill>
            <w14:solidFill>
              <w14:schemeClr w14:val="tx1"/>
            </w14:solidFill>
          </w14:textFill>
        </w:rPr>
        <w:t>Q/SYDQ0639-2015）表3中的“含油量≤8mg/L、悬浮固体≤3mg/L、粒径中值≤2μm”规定，设计污水处理量为</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7500m</w:t>
      </w:r>
      <w:r>
        <w:rPr>
          <w:rFonts w:ascii="Times New Roman" w:hAnsi="Times New Roman" w:cs="Times New Roman" w:eastAsiaTheme="minorEastAsia"/>
          <w:bCs/>
          <w:color w:val="000000" w:themeColor="text1"/>
          <w:w w:val="99"/>
          <w:sz w:val="24"/>
          <w:szCs w:val="24"/>
          <w:vertAlign w:val="superscript"/>
          <w:lang w:val="en-US" w:bidi="ar-SA"/>
          <w14:textFill>
            <w14:solidFill>
              <w14:schemeClr w14:val="tx1"/>
            </w14:solidFill>
          </w14:textFill>
        </w:rPr>
        <w:t>3</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/d。</w:t>
      </w:r>
      <w:r>
        <w:rPr>
          <w:rFonts w:ascii="Times New Roman" w:hAnsi="Times New Roman" w:cs="Times New Roman" w:eastAsiaTheme="minorEastAsia"/>
          <w:bCs/>
          <w:color w:val="000000" w:themeColor="text1"/>
          <w:w w:val="99"/>
          <w:sz w:val="24"/>
          <w:szCs w:val="24"/>
          <w:lang w:val="de-DE" w:bidi="ar-SA"/>
          <w14:textFill>
            <w14:solidFill>
              <w14:schemeClr w14:val="tx1"/>
            </w14:solidFill>
          </w14:textFill>
        </w:rPr>
        <w:t>目前实际污水处理量为</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5970</w:t>
      </w:r>
      <w:r>
        <w:rPr>
          <w:rFonts w:ascii="Times New Roman" w:hAnsi="Times New Roman" w:cs="Times New Roman" w:eastAsiaTheme="minorEastAsia"/>
          <w:bCs/>
          <w:color w:val="000000" w:themeColor="text1"/>
          <w:w w:val="99"/>
          <w:sz w:val="24"/>
          <w:szCs w:val="24"/>
          <w:lang w:val="de-DE" w:bidi="ar-SA"/>
          <w14:textFill>
            <w14:solidFill>
              <w14:schemeClr w14:val="tx1"/>
            </w14:solidFill>
          </w14:textFill>
        </w:rPr>
        <w:t>m</w:t>
      </w:r>
      <w:r>
        <w:rPr>
          <w:rFonts w:ascii="Times New Roman" w:hAnsi="Times New Roman" w:cs="Times New Roman" w:eastAsiaTheme="minorEastAsia"/>
          <w:bCs/>
          <w:color w:val="000000" w:themeColor="text1"/>
          <w:w w:val="99"/>
          <w:sz w:val="24"/>
          <w:szCs w:val="24"/>
          <w:vertAlign w:val="superscript"/>
          <w:lang w:val="de-DE" w:bidi="ar-SA"/>
          <w14:textFill>
            <w14:solidFill>
              <w14:schemeClr w14:val="tx1"/>
            </w14:solidFill>
          </w14:textFill>
        </w:rPr>
        <w:t>3</w:t>
      </w:r>
      <w:r>
        <w:rPr>
          <w:rFonts w:ascii="Times New Roman" w:hAnsi="Times New Roman" w:cs="Times New Roman" w:eastAsiaTheme="minorEastAsia"/>
          <w:bCs/>
          <w:color w:val="000000" w:themeColor="text1"/>
          <w:w w:val="99"/>
          <w:sz w:val="24"/>
          <w:szCs w:val="24"/>
          <w:lang w:val="de-DE" w:bidi="ar-SA"/>
          <w14:textFill>
            <w14:solidFill>
              <w14:schemeClr w14:val="tx1"/>
            </w14:solidFill>
          </w14:textFill>
        </w:rPr>
        <w:t>/d，本项目</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试压废水产生</w:t>
      </w:r>
      <w:r>
        <w:rPr>
          <w:rFonts w:ascii="Times New Roman" w:hAnsi="Times New Roman" w:cs="Times New Roman" w:eastAsiaTheme="minorEastAsia"/>
          <w:bCs/>
          <w:color w:val="000000" w:themeColor="text1"/>
          <w:w w:val="99"/>
          <w:sz w:val="24"/>
          <w:szCs w:val="24"/>
          <w:lang w:val="de-DE" w:bidi="ar-SA"/>
          <w14:textFill>
            <w14:solidFill>
              <w14:schemeClr w14:val="tx1"/>
            </w14:solidFill>
          </w14:textFill>
        </w:rPr>
        <w:t>量为225.5</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m</w:t>
      </w:r>
      <w:r>
        <w:rPr>
          <w:rFonts w:ascii="Times New Roman" w:hAnsi="Times New Roman" w:cs="Times New Roman" w:eastAsiaTheme="minorEastAsia"/>
          <w:bCs/>
          <w:color w:val="000000" w:themeColor="text1"/>
          <w:w w:val="99"/>
          <w:sz w:val="24"/>
          <w:szCs w:val="24"/>
          <w:vertAlign w:val="superscript"/>
          <w:lang w:val="en-US" w:bidi="ar-SA"/>
          <w14:textFill>
            <w14:solidFill>
              <w14:schemeClr w14:val="tx1"/>
            </w14:solidFill>
          </w14:textFill>
        </w:rPr>
        <w:t>3</w:t>
      </w:r>
      <w:r>
        <w:rPr>
          <w:rFonts w:ascii="Times New Roman" w:hAnsi="Times New Roman" w:cs="Times New Roman" w:eastAsiaTheme="minorEastAsia"/>
          <w:bCs/>
          <w:color w:val="000000" w:themeColor="text1"/>
          <w:w w:val="99"/>
          <w:sz w:val="24"/>
          <w:szCs w:val="24"/>
          <w:lang w:val="de-DE" w:bidi="ar-SA"/>
          <w14:textFill>
            <w14:solidFill>
              <w14:schemeClr w14:val="tx1"/>
            </w14:solidFill>
          </w14:textFill>
        </w:rPr>
        <w:t>，增加本项目废水后，该站负荷率为</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82.6</w:t>
      </w:r>
      <w:r>
        <w:rPr>
          <w:rFonts w:ascii="Times New Roman" w:hAnsi="Times New Roman" w:cs="Times New Roman" w:eastAsiaTheme="minorEastAsia"/>
          <w:bCs/>
          <w:color w:val="000000" w:themeColor="text1"/>
          <w:w w:val="99"/>
          <w:sz w:val="24"/>
          <w:szCs w:val="24"/>
          <w:lang w:val="de-DE" w:bidi="ar-SA"/>
          <w14:textFill>
            <w14:solidFill>
              <w14:schemeClr w14:val="tx1"/>
            </w14:solidFill>
          </w14:textFill>
        </w:rPr>
        <w:t>%，满足本项目需求</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w:t>
      </w:r>
    </w:p>
    <w:p w14:paraId="7BE94C9C">
      <w:pPr>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（2）生活污水</w:t>
      </w:r>
    </w:p>
    <w:p w14:paraId="402CF289">
      <w:pPr>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根据工程分析可知，项目施工期产生的生活污水量为76.8m</w:t>
      </w:r>
      <w:r>
        <w:rPr>
          <w:rFonts w:ascii="Times New Roman" w:hAnsi="Times New Roman" w:cs="Times New Roman" w:eastAsiaTheme="minorEastAsia"/>
          <w:bCs/>
          <w:color w:val="000000" w:themeColor="text1"/>
          <w:w w:val="99"/>
          <w:sz w:val="24"/>
          <w:szCs w:val="24"/>
          <w:vertAlign w:val="superscript"/>
          <w:lang w:val="en-US" w:bidi="ar-SA"/>
          <w14:textFill>
            <w14:solidFill>
              <w14:schemeClr w14:val="tx1"/>
            </w14:solidFill>
          </w14:textFill>
        </w:rPr>
        <w:t>3</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。主要污染因子为COD、NH</w:t>
      </w:r>
      <w:r>
        <w:rPr>
          <w:rFonts w:ascii="Times New Roman" w:hAnsi="Times New Roman" w:cs="Times New Roman" w:eastAsiaTheme="minorEastAsia"/>
          <w:bCs/>
          <w:color w:val="000000" w:themeColor="text1"/>
          <w:w w:val="99"/>
          <w:sz w:val="24"/>
          <w:szCs w:val="24"/>
          <w:vertAlign w:val="subscript"/>
          <w:lang w:val="en-US" w:bidi="ar-SA"/>
          <w14:textFill>
            <w14:solidFill>
              <w14:schemeClr w14:val="tx1"/>
            </w14:solidFill>
          </w14:textFill>
        </w:rPr>
        <w:t>3</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-N，</w:t>
      </w:r>
      <w:bookmarkStart w:id="484" w:name="_bookmark52"/>
      <w:bookmarkEnd w:id="484"/>
      <w:r>
        <w:rPr>
          <w:rFonts w:ascii="Times New Roman" w:hAnsi="Times New Roman" w:cs="Times New Roman" w:eastAsiaTheme="minorEastAsia"/>
          <w:color w:val="000000" w:themeColor="text1"/>
          <w:w w:val="99"/>
          <w:sz w:val="24"/>
          <w:szCs w:val="24"/>
          <w:lang w:val="en-US"/>
          <w14:textFill>
            <w14:solidFill>
              <w14:schemeClr w14:val="tx1"/>
            </w14:solidFill>
          </w14:textFill>
        </w:rPr>
        <w:t>施工人员的生活污水排入拉油点已建防渗旱厕，定期清掏外运堆肥处理。</w:t>
      </w:r>
    </w:p>
    <w:p w14:paraId="176140F9">
      <w:pPr>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综上所述，正常工况下，采取以上措施后，本项目产生的废水均能够正常处置，不会对周边地表水体产生影响。</w:t>
      </w:r>
    </w:p>
    <w:p w14:paraId="24633A9C">
      <w:pPr>
        <w:autoSpaceDE/>
        <w:autoSpaceDN/>
        <w:spacing w:before="60" w:after="60" w:line="440" w:lineRule="exact"/>
        <w:jc w:val="both"/>
        <w:outlineLvl w:val="2"/>
        <w:rPr>
          <w:rFonts w:ascii="Times New Roman" w:hAnsi="Times New Roman" w:cs="Times New Roman"/>
          <w:b/>
          <w:bCs/>
          <w:color w:val="000000" w:themeColor="text1"/>
          <w:w w:val="99"/>
          <w:kern w:val="2"/>
          <w:sz w:val="24"/>
          <w:szCs w:val="24"/>
          <w:lang w:val="en-US" w:bidi="ar-SA"/>
          <w14:textFill>
            <w14:solidFill>
              <w14:schemeClr w14:val="tx1"/>
            </w14:solidFill>
          </w14:textFill>
        </w:rPr>
      </w:pPr>
      <w:r>
        <w:rPr>
          <w:rFonts w:ascii="Times New Roman" w:hAnsi="Times New Roman" w:cs="Times New Roman"/>
          <w:b/>
          <w:bCs/>
          <w:color w:val="000000" w:themeColor="text1"/>
          <w:w w:val="99"/>
          <w:kern w:val="2"/>
          <w:sz w:val="24"/>
          <w:szCs w:val="24"/>
          <w:lang w:val="en-US" w:bidi="ar-SA"/>
          <w14:textFill>
            <w14:solidFill>
              <w14:schemeClr w14:val="tx1"/>
            </w14:solidFill>
          </w14:textFill>
        </w:rPr>
        <w:t>5.2.2</w:t>
      </w:r>
      <w:r>
        <w:rPr>
          <w:rFonts w:hint="eastAsia" w:ascii="Times New Roman" w:hAnsi="Times New Roman"/>
          <w:b/>
          <w:color w:val="000000" w:themeColor="text1"/>
          <w:w w:val="99"/>
          <w:sz w:val="24"/>
          <w:szCs w:val="24"/>
          <w:lang w:val="en-US" w:bidi="ar-SA"/>
          <w14:textFill>
            <w14:solidFill>
              <w14:schemeClr w14:val="tx1"/>
            </w14:solidFill>
          </w14:textFill>
        </w:rPr>
        <w:t>事故</w:t>
      </w:r>
      <w:r>
        <w:rPr>
          <w:rFonts w:ascii="Times New Roman" w:hAnsi="Times New Roman"/>
          <w:b/>
          <w:color w:val="000000" w:themeColor="text1"/>
          <w:w w:val="99"/>
          <w:sz w:val="24"/>
          <w:szCs w:val="24"/>
          <w:lang w:val="en-US" w:bidi="ar-SA"/>
          <w14:textFill>
            <w14:solidFill>
              <w14:schemeClr w14:val="tx1"/>
            </w14:solidFill>
          </w14:textFill>
        </w:rPr>
        <w:t>状态下地表水环境影响分析</w:t>
      </w:r>
    </w:p>
    <w:p w14:paraId="76B194F1">
      <w:pPr>
        <w:pStyle w:val="46"/>
        <w:spacing w:after="0" w:line="440" w:lineRule="exact"/>
        <w:ind w:left="0" w:leftChars="0" w:firstLine="474" w:firstLineChars="200"/>
        <w:rPr>
          <w:rFonts w:eastAsiaTheme="minorEastAsia"/>
          <w:bCs/>
          <w:color w:val="000000" w:themeColor="text1"/>
          <w:w w:val="99"/>
          <w:sz w:val="24"/>
          <w14:textFill>
            <w14:solidFill>
              <w14:schemeClr w14:val="tx1"/>
            </w14:solidFill>
          </w14:textFill>
        </w:rPr>
      </w:pPr>
      <w:r>
        <w:rPr>
          <w:rFonts w:hint="eastAsia" w:eastAsiaTheme="minorEastAsia"/>
          <w:bCs/>
          <w:color w:val="000000" w:themeColor="text1"/>
          <w:w w:val="99"/>
          <w:sz w:val="24"/>
          <w:szCs w:val="24"/>
          <w:lang w:val="en-US" w:bidi="ar-SA"/>
          <w14:textFill>
            <w14:solidFill>
              <w14:schemeClr w14:val="tx1"/>
            </w14:solidFill>
          </w14:textFill>
        </w:rPr>
        <w:t>本项目事故状态下运行期对水体产生污染的途径主要为集油管线泄漏。</w:t>
      </w:r>
      <w:r>
        <w:rPr>
          <w:rFonts w:eastAsiaTheme="minorEastAsia"/>
          <w:bCs/>
          <w:color w:val="000000" w:themeColor="text1"/>
          <w:w w:val="99"/>
          <w:sz w:val="24"/>
          <w14:textFill>
            <w14:solidFill>
              <w14:schemeClr w14:val="tx1"/>
            </w14:solidFill>
          </w14:textFill>
        </w:rPr>
        <w:t>在油田生产建设及运营过程中，加强管理，同时确保各项污染控制措施及事故应急措施切实落实。</w:t>
      </w:r>
    </w:p>
    <w:p w14:paraId="15ABDA1D">
      <w:pPr>
        <w:pStyle w:val="46"/>
        <w:spacing w:after="0" w:line="440" w:lineRule="exact"/>
        <w:ind w:left="0" w:leftChars="0" w:firstLine="474" w:firstLineChars="200"/>
        <w:rPr>
          <w:rFonts w:eastAsiaTheme="minorEastAsia"/>
          <w:bCs/>
          <w:color w:val="000000" w:themeColor="text1"/>
          <w:w w:val="99"/>
          <w:sz w:val="24"/>
          <w14:textFill>
            <w14:solidFill>
              <w14:schemeClr w14:val="tx1"/>
            </w14:solidFill>
          </w14:textFill>
        </w:rPr>
      </w:pPr>
      <w:r>
        <w:rPr>
          <w:rFonts w:hint="eastAsia" w:ascii="宋体" w:hAnsi="宋体" w:cs="宋体"/>
          <w:bCs/>
          <w:color w:val="000000" w:themeColor="text1"/>
          <w:w w:val="99"/>
          <w:sz w:val="24"/>
          <w14:textFill>
            <w14:solidFill>
              <w14:schemeClr w14:val="tx1"/>
            </w14:solidFill>
          </w14:textFill>
        </w:rPr>
        <w:t>①</w:t>
      </w:r>
      <w:r>
        <w:rPr>
          <w:rFonts w:eastAsiaTheme="minorEastAsia"/>
          <w:bCs/>
          <w:color w:val="000000" w:themeColor="text1"/>
          <w:w w:val="99"/>
          <w:sz w:val="24"/>
          <w14:textFill>
            <w14:solidFill>
              <w14:schemeClr w14:val="tx1"/>
            </w14:solidFill>
          </w14:textFill>
        </w:rPr>
        <w:t>为避免</w:t>
      </w:r>
      <w:r>
        <w:rPr>
          <w:rFonts w:hint="eastAsia" w:eastAsiaTheme="minorEastAsia"/>
          <w:bCs/>
          <w:color w:val="000000" w:themeColor="text1"/>
          <w:w w:val="99"/>
          <w:sz w:val="24"/>
          <w14:textFill>
            <w14:solidFill>
              <w14:schemeClr w14:val="tx1"/>
            </w14:solidFill>
          </w14:textFill>
        </w:rPr>
        <w:t>管线</w:t>
      </w:r>
      <w:r>
        <w:rPr>
          <w:rFonts w:eastAsiaTheme="minorEastAsia"/>
          <w:bCs/>
          <w:color w:val="000000" w:themeColor="text1"/>
          <w:w w:val="99"/>
          <w:sz w:val="24"/>
          <w14:textFill>
            <w14:solidFill>
              <w14:schemeClr w14:val="tx1"/>
            </w14:solidFill>
          </w14:textFill>
        </w:rPr>
        <w:t>泄露污染物随地表径流进入地表水体，地表水古努泡子周边可设置护坡，护坡高度应高出水泡最高水位50~80cm，将事故产生的污油污水截留在地表水体外。</w:t>
      </w:r>
    </w:p>
    <w:p w14:paraId="7CDB480C">
      <w:pPr>
        <w:pStyle w:val="46"/>
        <w:spacing w:after="0" w:line="440" w:lineRule="exact"/>
        <w:ind w:left="0" w:leftChars="0" w:firstLine="474" w:firstLineChars="200"/>
        <w:rPr>
          <w:rFonts w:eastAsiaTheme="minorEastAsia"/>
          <w:bCs/>
          <w:color w:val="000000" w:themeColor="text1"/>
          <w:w w:val="99"/>
          <w:sz w:val="24"/>
          <w14:textFill>
            <w14:solidFill>
              <w14:schemeClr w14:val="tx1"/>
            </w14:solidFill>
          </w14:textFill>
        </w:rPr>
      </w:pPr>
      <w:r>
        <w:rPr>
          <w:rFonts w:hint="eastAsia" w:ascii="宋体" w:hAnsi="宋体" w:cs="宋体"/>
          <w:bCs/>
          <w:color w:val="000000" w:themeColor="text1"/>
          <w:w w:val="99"/>
          <w:sz w:val="24"/>
          <w14:textFill>
            <w14:solidFill>
              <w14:schemeClr w14:val="tx1"/>
            </w14:solidFill>
          </w14:textFill>
        </w:rPr>
        <w:t>②</w:t>
      </w:r>
      <w:r>
        <w:rPr>
          <w:rFonts w:eastAsiaTheme="minorEastAsia"/>
          <w:bCs/>
          <w:color w:val="000000" w:themeColor="text1"/>
          <w:w w:val="99"/>
          <w:sz w:val="24"/>
          <w14:textFill>
            <w14:solidFill>
              <w14:schemeClr w14:val="tx1"/>
            </w14:solidFill>
          </w14:textFill>
        </w:rPr>
        <w:t>集油管线采用无缝钢管，管道设计采用管道内防腐，管道的外防腐等级采用特加强级、管道的连接方式采用焊接，能有效防止管线泄漏，同时定期对管线检查、维修，确保各部分的使用性能；</w:t>
      </w:r>
    </w:p>
    <w:p w14:paraId="0367F970">
      <w:pPr>
        <w:pStyle w:val="46"/>
        <w:spacing w:after="0" w:line="440" w:lineRule="exact"/>
        <w:ind w:left="0" w:leftChars="0" w:firstLine="474" w:firstLineChars="200"/>
        <w:rPr>
          <w:rFonts w:eastAsiaTheme="minorEastAsia"/>
          <w:bCs/>
          <w:color w:val="000000" w:themeColor="text1"/>
          <w:w w:val="99"/>
          <w:sz w:val="24"/>
          <w14:textFill>
            <w14:solidFill>
              <w14:schemeClr w14:val="tx1"/>
            </w14:solidFill>
          </w14:textFill>
        </w:rPr>
      </w:pPr>
      <w:r>
        <w:rPr>
          <w:rFonts w:hint="eastAsia" w:ascii="宋体" w:hAnsi="宋体" w:cs="宋体"/>
          <w:bCs/>
          <w:color w:val="000000" w:themeColor="text1"/>
          <w:w w:val="99"/>
          <w:sz w:val="24"/>
          <w14:textFill>
            <w14:solidFill>
              <w14:schemeClr w14:val="tx1"/>
            </w14:solidFill>
          </w14:textFill>
        </w:rPr>
        <w:t>③</w:t>
      </w:r>
      <w:r>
        <w:rPr>
          <w:rFonts w:eastAsiaTheme="minorEastAsia"/>
          <w:bCs/>
          <w:color w:val="000000" w:themeColor="text1"/>
          <w:w w:val="99"/>
          <w:sz w:val="24"/>
          <w14:textFill>
            <w14:solidFill>
              <w14:schemeClr w14:val="tx1"/>
            </w14:solidFill>
          </w14:textFill>
        </w:rPr>
        <w:t>定期巡检，每天有专职人员对油井及管线进行检查，巡检次数至少为1次/d，雨季等特殊天气增加巡检次数，若管线泄漏应及时关闭切断阀，同时确保应急工具和设备齐备完好，准备围油栏、吸油毡、消油剂、接油桶等应急物资，以便在发生泄漏事故时对产生的污油污水进行及时回收和处理，避免对周围地表水环境产生大面积污染。</w:t>
      </w:r>
    </w:p>
    <w:p w14:paraId="5741A3C9">
      <w:pPr>
        <w:pStyle w:val="46"/>
        <w:spacing w:after="0" w:line="440" w:lineRule="exact"/>
        <w:ind w:left="0" w:leftChars="0" w:firstLine="474" w:firstLineChars="200"/>
        <w:rPr>
          <w:rFonts w:eastAsiaTheme="minorEastAsia"/>
          <w:bCs/>
          <w:color w:val="000000" w:themeColor="text1"/>
          <w:w w:val="99"/>
          <w:sz w:val="24"/>
          <w14:textFill>
            <w14:solidFill>
              <w14:schemeClr w14:val="tx1"/>
            </w14:solidFill>
          </w14:textFill>
        </w:rPr>
      </w:pPr>
      <w:r>
        <w:rPr>
          <w:rFonts w:eastAsiaTheme="minorEastAsia"/>
          <w:bCs/>
          <w:color w:val="000000" w:themeColor="text1"/>
          <w:w w:val="99"/>
          <w:sz w:val="24"/>
          <w14:textFill>
            <w14:solidFill>
              <w14:schemeClr w14:val="tx1"/>
            </w14:solidFill>
          </w14:textFill>
        </w:rPr>
        <w:t>采取以上措施后，</w:t>
      </w:r>
      <w:r>
        <w:rPr>
          <w:rFonts w:hint="eastAsia" w:eastAsiaTheme="minorEastAsia"/>
          <w:bCs/>
          <w:color w:val="000000" w:themeColor="text1"/>
          <w:w w:val="99"/>
          <w:sz w:val="24"/>
          <w:lang w:val="en-US"/>
          <w14:textFill>
            <w14:solidFill>
              <w14:schemeClr w14:val="tx1"/>
            </w14:solidFill>
          </w14:textFill>
        </w:rPr>
        <w:t>集油管线随地表径流进入地表水体的可能性不大，为避免泄露事故的发生，应该通过加强检测、巡检巡视、事故应急措施等事故预防和控制措施尽量避免事故的发生，降低事故发生后对环境的影响程度和范围。</w:t>
      </w:r>
    </w:p>
    <w:p w14:paraId="5CE6B810">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485" w:name="_Toc117794594"/>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5.3 地下水环境影响预测与评价</w:t>
      </w:r>
      <w:bookmarkEnd w:id="485"/>
    </w:p>
    <w:p w14:paraId="1A301508">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486" w:name="_Toc117794595"/>
      <w:r>
        <w:rPr>
          <w:rFonts w:ascii="Times New Roman" w:hAnsi="Times New Roman" w:cs="Times New Roman" w:eastAsiaTheme="minorEastAsia"/>
          <w:color w:val="000000" w:themeColor="text1"/>
          <w:w w:val="99"/>
          <w:kern w:val="2"/>
          <w:lang w:val="en-US" w:bidi="ar-SA"/>
          <w14:textFill>
            <w14:solidFill>
              <w14:schemeClr w14:val="tx1"/>
            </w14:solidFill>
          </w14:textFill>
        </w:rPr>
        <w:t>5.3.1 正常工况下地下水环境影响分析</w:t>
      </w:r>
      <w:bookmarkEnd w:id="486"/>
    </w:p>
    <w:p w14:paraId="41A397DE">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bookmarkStart w:id="487" w:name="_bookmark45"/>
      <w:bookmarkEnd w:id="487"/>
      <w:bookmarkStart w:id="488" w:name="_bookmark47"/>
      <w:bookmarkEnd w:id="488"/>
      <w:bookmarkStart w:id="489" w:name="_bookmark49"/>
      <w:bookmarkEnd w:id="489"/>
      <w:r>
        <w:rPr>
          <w:rFonts w:ascii="Times New Roman" w:hAnsi="Times New Roman" w:cs="Times New Roman" w:eastAsiaTheme="minorEastAsia"/>
          <w:color w:val="000000" w:themeColor="text1"/>
          <w:w w:val="99"/>
          <w:sz w:val="24"/>
          <w:szCs w:val="24"/>
          <w14:textFill>
            <w14:solidFill>
              <w14:schemeClr w14:val="tx1"/>
            </w14:solidFill>
          </w14:textFill>
        </w:rPr>
        <w:t>本项目施工期可能对地下水产生影响的因素主要为试压废水、生活污水等污染物。为了避免污染地下水和土壤，</w:t>
      </w:r>
      <w:r>
        <w:rPr>
          <w:rFonts w:ascii="Times New Roman" w:hAnsi="Times New Roman" w:cs="Times New Roman" w:eastAsiaTheme="minorEastAsia"/>
          <w:color w:val="000000" w:themeColor="text1"/>
          <w:w w:val="99"/>
          <w:sz w:val="24"/>
          <w:szCs w:val="24"/>
          <w:lang w:val="en-US"/>
          <w14:textFill>
            <w14:solidFill>
              <w14:schemeClr w14:val="tx1"/>
            </w14:solidFill>
          </w14:textFill>
        </w:rPr>
        <w:t>管道试压废水由罐车拉运至龙一联含油污水处理站处理后回注，不外排；施工人员的生活污水排入拉油点已建防渗旱厕，定期清掏外运堆肥处理</w:t>
      </w:r>
      <w:r>
        <w:rPr>
          <w:rFonts w:ascii="Times New Roman" w:hAnsi="Times New Roman" w:cs="Times New Roman" w:eastAsiaTheme="minorEastAsia"/>
          <w:color w:val="000000" w:themeColor="text1"/>
          <w:w w:val="99"/>
          <w:sz w:val="24"/>
          <w:szCs w:val="24"/>
          <w14:textFill>
            <w14:solidFill>
              <w14:schemeClr w14:val="tx1"/>
            </w14:solidFill>
          </w14:textFill>
        </w:rPr>
        <w:t>。</w:t>
      </w:r>
    </w:p>
    <w:p w14:paraId="3C05EFD3">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采取以上措施后，本项目施工期正常情况下不会对地下水产生影响。</w:t>
      </w:r>
    </w:p>
    <w:p w14:paraId="4ACE32C4">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490" w:name="_Toc117794596"/>
      <w:r>
        <w:rPr>
          <w:rFonts w:ascii="Times New Roman" w:hAnsi="Times New Roman" w:cs="Times New Roman" w:eastAsiaTheme="minorEastAsia"/>
          <w:color w:val="000000" w:themeColor="text1"/>
          <w:w w:val="99"/>
          <w:kern w:val="2"/>
          <w:lang w:val="en-US" w:bidi="ar-SA"/>
          <w14:textFill>
            <w14:solidFill>
              <w14:schemeClr w14:val="tx1"/>
            </w14:solidFill>
          </w14:textFill>
        </w:rPr>
        <w:t>5.3.2 非正常工况下地下水环境影响分</w:t>
      </w:r>
      <w:bookmarkEnd w:id="490"/>
    </w:p>
    <w:p w14:paraId="637E5D1F">
      <w:pPr>
        <w:spacing w:line="440" w:lineRule="exact"/>
        <w:ind w:firstLine="474" w:firstLineChars="200"/>
        <w:jc w:val="both"/>
        <w:rPr>
          <w:rFonts w:ascii="Times New Roman" w:hAnsi="Times New Roman" w:cs="Times New Roman" w:eastAsiaTheme="minorEastAsia"/>
          <w:color w:val="000000" w:themeColor="text1"/>
          <w:w w:val="99"/>
          <w:sz w:val="28"/>
          <w:szCs w:val="28"/>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本项目非正常的工况下，是指管线老化、腐蚀，产生的渗漏。定期对管线进行巡检、检测，发现渗漏情况及时处理。所以正常工况下，不会对地下水环境产生影响。非正常工况下，主要是管线腐蚀老化渗漏情况对地下水产生的影响。</w:t>
      </w:r>
    </w:p>
    <w:p w14:paraId="01C758E4">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t>（1）泄漏源强</w:t>
      </w:r>
    </w:p>
    <w:p w14:paraId="57A9C226">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t>事故情况下输油管线泄漏主要影响潜水层位，本项目输油量最大的管道为</w:t>
      </w:r>
      <w:r>
        <w:rPr>
          <w:rFonts w:ascii="Times New Roman" w:hAnsi="Times New Roman" w:cs="Times New Roman" w:eastAsiaTheme="minorEastAsia"/>
          <w:color w:val="000000" w:themeColor="text1"/>
          <w:w w:val="99"/>
          <w:kern w:val="2"/>
          <w:sz w:val="24"/>
          <w:szCs w:val="32"/>
          <w:lang w:val="en-US"/>
          <w14:textFill>
            <w14:solidFill>
              <w14:schemeClr w14:val="tx1"/>
            </w14:solidFill>
          </w14:textFill>
        </w:rPr>
        <w:t>混输阀组间至龙一联合站输油管道，本项目建成后，除</w:t>
      </w:r>
      <w:r>
        <w:rPr>
          <w:rFonts w:hint="eastAsia" w:ascii="Times New Roman" w:hAnsi="Times New Roman" w:cs="Times New Roman" w:eastAsiaTheme="minorEastAsia"/>
          <w:color w:val="000000" w:themeColor="text1"/>
          <w:w w:val="99"/>
          <w:kern w:val="2"/>
          <w:sz w:val="24"/>
          <w:szCs w:val="32"/>
          <w:lang w:val="en-US"/>
          <w14:textFill>
            <w14:solidFill>
              <w14:schemeClr w14:val="tx1"/>
            </w14:solidFill>
          </w14:textFill>
        </w:rPr>
        <w:t>4</w:t>
      </w:r>
      <w:r>
        <w:rPr>
          <w:rFonts w:ascii="Times New Roman" w:hAnsi="Times New Roman" w:cs="Times New Roman" w:eastAsiaTheme="minorEastAsia"/>
          <w:color w:val="000000" w:themeColor="text1"/>
          <w:w w:val="99"/>
          <w:kern w:val="2"/>
          <w:sz w:val="24"/>
          <w:szCs w:val="32"/>
          <w:lang w:val="en-US"/>
          <w14:textFill>
            <w14:solidFill>
              <w14:schemeClr w14:val="tx1"/>
            </w14:solidFill>
          </w14:textFill>
        </w:rPr>
        <w:t>#拉油点外，其余拉油点产生的原油均由该管道</w:t>
      </w:r>
      <w:r>
        <w:rPr>
          <w:rFonts w:hint="eastAsia" w:ascii="Times New Roman" w:hAnsi="Times New Roman" w:cs="Times New Roman" w:eastAsiaTheme="minorEastAsia"/>
          <w:color w:val="000000" w:themeColor="text1"/>
          <w:w w:val="99"/>
          <w:kern w:val="2"/>
          <w:sz w:val="24"/>
          <w:szCs w:val="32"/>
          <w:lang w:val="en-US"/>
          <w14:textFill>
            <w14:solidFill>
              <w14:schemeClr w14:val="tx1"/>
            </w14:solidFill>
          </w14:textFill>
        </w:rPr>
        <w:t>输送</w:t>
      </w:r>
      <w:r>
        <w:rPr>
          <w:rFonts w:ascii="Times New Roman" w:hAnsi="Times New Roman" w:cs="Times New Roman" w:eastAsiaTheme="minorEastAsia"/>
          <w:color w:val="000000" w:themeColor="text1"/>
          <w:w w:val="99"/>
          <w:kern w:val="2"/>
          <w:sz w:val="24"/>
          <w:szCs w:val="32"/>
          <w:lang w:val="en-US"/>
          <w14:textFill>
            <w14:solidFill>
              <w14:schemeClr w14:val="tx1"/>
            </w14:solidFill>
          </w14:textFill>
        </w:rPr>
        <w:t>至龙一联，根据</w:t>
      </w:r>
      <w:r>
        <w:rPr>
          <w:rFonts w:hint="eastAsia" w:ascii="Times New Roman" w:hAnsi="Times New Roman" w:cs="Times New Roman" w:eastAsiaTheme="minorEastAsia"/>
          <w:color w:val="000000" w:themeColor="text1"/>
          <w:w w:val="99"/>
          <w:kern w:val="2"/>
          <w:sz w:val="24"/>
          <w:szCs w:val="32"/>
          <w:lang w:val="en-US"/>
          <w14:textFill>
            <w14:solidFill>
              <w14:schemeClr w14:val="tx1"/>
            </w14:solidFill>
          </w14:textFill>
        </w:rPr>
        <w:t>表</w:t>
      </w:r>
      <w:r>
        <w:rPr>
          <w:rFonts w:ascii="Times New Roman" w:hAnsi="Times New Roman" w:cs="Times New Roman" w:eastAsiaTheme="minorEastAsia"/>
          <w:color w:val="000000" w:themeColor="text1"/>
          <w:w w:val="99"/>
          <w:kern w:val="2"/>
          <w:sz w:val="24"/>
          <w:szCs w:val="32"/>
          <w:lang w:val="en-US"/>
          <w14:textFill>
            <w14:solidFill>
              <w14:schemeClr w14:val="tx1"/>
            </w14:solidFill>
          </w14:textFill>
        </w:rPr>
        <w:t>3.2-1拉油点产油量统计，</w:t>
      </w:r>
      <w:r>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t>混输阀组间至龙一联合站输油管道输油量为69.2t/d，假设其管线发生泄漏，根据大庆油田多年统计数据，泄漏源强以输油量的10%计，由于管道设有压力监控，并已在龙一联合站联网，龙一联合站值班人员可在30min内可发现泄漏状况，并采取关闭机泵、阀门等措施，其泄漏原油量144kg。</w:t>
      </w:r>
    </w:p>
    <w:p w14:paraId="268A02CD">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t>（2）预测因子</w:t>
      </w:r>
    </w:p>
    <w:p w14:paraId="179A3889">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t>预测因子选取项目特征污染物石油类。</w:t>
      </w:r>
    </w:p>
    <w:p w14:paraId="12778CE1">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t>（3）预测模型</w:t>
      </w:r>
    </w:p>
    <w:p w14:paraId="0F64548E">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t>预测模型选择《环境影响评价技术导则 地下水环境》推荐的地下水溶质运移解析法中的一维稳定流动二维水动力弥散模型进行预测。由于集油管道泄漏时可以及时发现并处理，因此按瞬时点源计算。</w:t>
      </w:r>
    </w:p>
    <w:p w14:paraId="170C83A3">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t>瞬时注入示踪剂—平面瞬时点源</w:t>
      </w:r>
    </w:p>
    <w:p w14:paraId="5622B298">
      <w:pPr>
        <w:autoSpaceDE/>
        <w:autoSpaceDN/>
        <w:ind w:firstLine="474" w:firstLineChars="200"/>
        <w:jc w:val="center"/>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drawing>
          <wp:inline distT="0" distB="0" distL="114300" distR="114300">
            <wp:extent cx="3543300" cy="866775"/>
            <wp:effectExtent l="0" t="0" r="0" b="9525"/>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61"/>
                    <a:stretch>
                      <a:fillRect/>
                    </a:stretch>
                  </pic:blipFill>
                  <pic:spPr>
                    <a:xfrm>
                      <a:off x="0" y="0"/>
                      <a:ext cx="3543300" cy="866775"/>
                    </a:xfrm>
                    <a:prstGeom prst="rect">
                      <a:avLst/>
                    </a:prstGeom>
                    <a:noFill/>
                    <a:ln>
                      <a:noFill/>
                    </a:ln>
                  </pic:spPr>
                </pic:pic>
              </a:graphicData>
            </a:graphic>
          </wp:inline>
        </w:drawing>
      </w:r>
    </w:p>
    <w:p w14:paraId="0C2A5BC5">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t>式中：x，y--计算点处的位置坐标；</w:t>
      </w:r>
    </w:p>
    <w:p w14:paraId="500F5348">
      <w:pPr>
        <w:autoSpaceDE/>
        <w:autoSpaceDN/>
        <w:spacing w:line="440" w:lineRule="exact"/>
        <w:ind w:firstLine="1137" w:firstLineChars="480"/>
        <w:jc w:val="both"/>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t>t--时间，d；</w:t>
      </w:r>
    </w:p>
    <w:p w14:paraId="76FACC44">
      <w:pPr>
        <w:autoSpaceDE/>
        <w:autoSpaceDN/>
        <w:spacing w:line="440" w:lineRule="exact"/>
        <w:ind w:firstLine="1137" w:firstLineChars="480"/>
        <w:jc w:val="both"/>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t>C（x，y，t）--t时刻x，y处的示踪剂浓度，g/L；</w:t>
      </w:r>
    </w:p>
    <w:p w14:paraId="0E7B481D">
      <w:pPr>
        <w:autoSpaceDE/>
        <w:autoSpaceDN/>
        <w:spacing w:line="440" w:lineRule="exact"/>
        <w:ind w:firstLine="1137" w:firstLineChars="480"/>
        <w:jc w:val="both"/>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t>M--含水层的厚度，m；</w:t>
      </w:r>
    </w:p>
    <w:p w14:paraId="2A8A3A4E">
      <w:pPr>
        <w:autoSpaceDE/>
        <w:autoSpaceDN/>
        <w:spacing w:line="440" w:lineRule="exact"/>
        <w:ind w:firstLine="1137" w:firstLineChars="480"/>
        <w:jc w:val="both"/>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t>m</w:t>
      </w:r>
      <w:r>
        <w:rPr>
          <w:rFonts w:ascii="Times New Roman" w:hAnsi="Times New Roman" w:cs="Times New Roman" w:eastAsiaTheme="minorEastAsia"/>
          <w:color w:val="000000" w:themeColor="text1"/>
          <w:w w:val="99"/>
          <w:kern w:val="2"/>
          <w:sz w:val="24"/>
          <w:szCs w:val="32"/>
          <w:vertAlign w:val="subscript"/>
          <w:lang w:val="en-US" w:bidi="ar-SA"/>
          <w14:textFill>
            <w14:solidFill>
              <w14:schemeClr w14:val="tx1"/>
            </w14:solidFill>
          </w14:textFill>
        </w:rPr>
        <w:t>M</w:t>
      </w:r>
      <w:r>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t>--长度为M的线源瞬时注入的示踪剂质量，kg；</w:t>
      </w:r>
    </w:p>
    <w:p w14:paraId="13EB9DE7">
      <w:pPr>
        <w:autoSpaceDE/>
        <w:autoSpaceDN/>
        <w:spacing w:line="440" w:lineRule="exact"/>
        <w:ind w:firstLine="1137" w:firstLineChars="480"/>
        <w:jc w:val="both"/>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t>U--水流速度，m/d；</w:t>
      </w:r>
    </w:p>
    <w:p w14:paraId="5115590B">
      <w:pPr>
        <w:autoSpaceDE/>
        <w:autoSpaceDN/>
        <w:spacing w:line="440" w:lineRule="exact"/>
        <w:ind w:firstLine="1137" w:firstLineChars="480"/>
        <w:jc w:val="both"/>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t>n</w:t>
      </w:r>
      <w:r>
        <w:rPr>
          <w:rFonts w:ascii="Times New Roman" w:hAnsi="Times New Roman" w:cs="Times New Roman" w:eastAsiaTheme="minorEastAsia"/>
          <w:color w:val="000000" w:themeColor="text1"/>
          <w:w w:val="99"/>
          <w:kern w:val="2"/>
          <w:sz w:val="24"/>
          <w:szCs w:val="32"/>
          <w:vertAlign w:val="subscript"/>
          <w:lang w:val="en-US" w:bidi="ar-SA"/>
          <w14:textFill>
            <w14:solidFill>
              <w14:schemeClr w14:val="tx1"/>
            </w14:solidFill>
          </w14:textFill>
        </w:rPr>
        <w:t>e</w:t>
      </w:r>
      <w:r>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t>--有效孔隙度，无量纲；</w:t>
      </w:r>
    </w:p>
    <w:p w14:paraId="3B05E8B1">
      <w:pPr>
        <w:autoSpaceDE/>
        <w:autoSpaceDN/>
        <w:spacing w:line="440" w:lineRule="exact"/>
        <w:ind w:firstLine="1137" w:firstLineChars="480"/>
        <w:jc w:val="both"/>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t>D</w:t>
      </w:r>
      <w:r>
        <w:rPr>
          <w:rFonts w:ascii="Times New Roman" w:hAnsi="Times New Roman" w:cs="Times New Roman" w:eastAsiaTheme="minorEastAsia"/>
          <w:color w:val="000000" w:themeColor="text1"/>
          <w:w w:val="99"/>
          <w:kern w:val="2"/>
          <w:sz w:val="24"/>
          <w:szCs w:val="32"/>
          <w:vertAlign w:val="subscript"/>
          <w:lang w:val="en-US" w:bidi="ar-SA"/>
          <w14:textFill>
            <w14:solidFill>
              <w14:schemeClr w14:val="tx1"/>
            </w14:solidFill>
          </w14:textFill>
        </w:rPr>
        <w:t>L</w:t>
      </w:r>
      <w:r>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t>--纵向弥散系数，m</w:t>
      </w:r>
      <w:r>
        <w:rPr>
          <w:rFonts w:ascii="Times New Roman" w:hAnsi="Times New Roman" w:cs="Times New Roman" w:eastAsiaTheme="minorEastAsia"/>
          <w:color w:val="000000" w:themeColor="text1"/>
          <w:w w:val="99"/>
          <w:kern w:val="2"/>
          <w:sz w:val="24"/>
          <w:szCs w:val="32"/>
          <w:vertAlign w:val="superscript"/>
          <w:lang w:val="en-US" w:bidi="ar-SA"/>
          <w14:textFill>
            <w14:solidFill>
              <w14:schemeClr w14:val="tx1"/>
            </w14:solidFill>
          </w14:textFill>
        </w:rPr>
        <w:t>2</w:t>
      </w:r>
      <w:r>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t>/d；</w:t>
      </w:r>
    </w:p>
    <w:p w14:paraId="6CBCA524">
      <w:pPr>
        <w:autoSpaceDE/>
        <w:autoSpaceDN/>
        <w:spacing w:line="440" w:lineRule="exact"/>
        <w:ind w:firstLine="1137" w:firstLineChars="480"/>
        <w:jc w:val="both"/>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t>D</w:t>
      </w:r>
      <w:r>
        <w:rPr>
          <w:rFonts w:ascii="Times New Roman" w:hAnsi="Times New Roman" w:cs="Times New Roman" w:eastAsiaTheme="minorEastAsia"/>
          <w:color w:val="000000" w:themeColor="text1"/>
          <w:w w:val="99"/>
          <w:kern w:val="2"/>
          <w:sz w:val="24"/>
          <w:szCs w:val="32"/>
          <w:vertAlign w:val="subscript"/>
          <w:lang w:val="en-US" w:bidi="ar-SA"/>
          <w14:textFill>
            <w14:solidFill>
              <w14:schemeClr w14:val="tx1"/>
            </w14:solidFill>
          </w14:textFill>
        </w:rPr>
        <w:t>T</w:t>
      </w:r>
      <w:r>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t>--纵向y方向的弥散系数，m</w:t>
      </w:r>
      <w:r>
        <w:rPr>
          <w:rFonts w:ascii="Times New Roman" w:hAnsi="Times New Roman" w:cs="Times New Roman" w:eastAsiaTheme="minorEastAsia"/>
          <w:color w:val="000000" w:themeColor="text1"/>
          <w:w w:val="99"/>
          <w:kern w:val="2"/>
          <w:sz w:val="24"/>
          <w:szCs w:val="32"/>
          <w:vertAlign w:val="superscript"/>
          <w:lang w:val="en-US" w:bidi="ar-SA"/>
          <w14:textFill>
            <w14:solidFill>
              <w14:schemeClr w14:val="tx1"/>
            </w14:solidFill>
          </w14:textFill>
        </w:rPr>
        <w:t>2</w:t>
      </w:r>
      <w:r>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t>/d。</w:t>
      </w:r>
    </w:p>
    <w:p w14:paraId="1C1843ED">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t>（4）参数选择</w:t>
      </w:r>
    </w:p>
    <w:p w14:paraId="69F299A9">
      <w:pPr>
        <w:autoSpaceDE/>
        <w:autoSpaceDN/>
        <w:spacing w:line="440" w:lineRule="exact"/>
        <w:ind w:firstLine="474" w:firstLineChars="200"/>
        <w:jc w:val="both"/>
        <w:rPr>
          <w:rFonts w:ascii="Times New Roman" w:hAnsi="Times New Roman" w:cs="Times New Roman" w:eastAsiaTheme="minorEastAsia"/>
          <w:bCs/>
          <w:color w:val="000000" w:themeColor="text1"/>
          <w:w w:val="99"/>
          <w:kern w:val="2"/>
          <w:sz w:val="24"/>
          <w:szCs w:val="32"/>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4"/>
          <w:szCs w:val="32"/>
          <w:lang w:val="en-US" w:bidi="ar-SA"/>
          <w14:textFill>
            <w14:solidFill>
              <w14:schemeClr w14:val="tx1"/>
            </w14:solidFill>
          </w14:textFill>
        </w:rPr>
        <w:t>根据《大庆市水文地质勘察报告》（石油管理局），参照《环境影响评价技术导则 地下水》（HJ610-2016）附录B水文地质参数经验值表，项目潜水含水层岩性为细粉砂层和亚砂土，潜水含水层渗透系数取K=5m/d，根据区域等水位线与距离确定，潜水水力坡度I=0.001，有效孔隙度取0.3，则水流速度为0.017m/d。根据水文地质资料，第四系哈尔滨组潜水含水层厚度范围为20.0~30.0m，考虑最不利影响，选取最小值20m。区域地下水纵向弥散系数0.2m</w:t>
      </w:r>
      <w:r>
        <w:rPr>
          <w:rFonts w:ascii="Times New Roman" w:hAnsi="Times New Roman" w:cs="Times New Roman" w:eastAsiaTheme="minorEastAsia"/>
          <w:bCs/>
          <w:color w:val="000000" w:themeColor="text1"/>
          <w:w w:val="99"/>
          <w:kern w:val="2"/>
          <w:sz w:val="24"/>
          <w:szCs w:val="32"/>
          <w:vertAlign w:val="superscript"/>
          <w:lang w:val="en-US" w:bidi="ar-SA"/>
          <w14:textFill>
            <w14:solidFill>
              <w14:schemeClr w14:val="tx1"/>
            </w14:solidFill>
          </w14:textFill>
        </w:rPr>
        <w:t>2</w:t>
      </w:r>
      <w:r>
        <w:rPr>
          <w:rFonts w:ascii="Times New Roman" w:hAnsi="Times New Roman" w:cs="Times New Roman" w:eastAsiaTheme="minorEastAsia"/>
          <w:bCs/>
          <w:color w:val="000000" w:themeColor="text1"/>
          <w:w w:val="99"/>
          <w:kern w:val="2"/>
          <w:sz w:val="24"/>
          <w:szCs w:val="32"/>
          <w:lang w:val="en-US" w:bidi="ar-SA"/>
          <w14:textFill>
            <w14:solidFill>
              <w14:schemeClr w14:val="tx1"/>
            </w14:solidFill>
          </w14:textFill>
        </w:rPr>
        <w:t>/d，横向弥散系数0.02m</w:t>
      </w:r>
      <w:r>
        <w:rPr>
          <w:rFonts w:ascii="Times New Roman" w:hAnsi="Times New Roman" w:cs="Times New Roman" w:eastAsiaTheme="minorEastAsia"/>
          <w:bCs/>
          <w:color w:val="000000" w:themeColor="text1"/>
          <w:w w:val="99"/>
          <w:kern w:val="2"/>
          <w:sz w:val="24"/>
          <w:szCs w:val="32"/>
          <w:vertAlign w:val="superscript"/>
          <w:lang w:val="en-US" w:bidi="ar-SA"/>
          <w14:textFill>
            <w14:solidFill>
              <w14:schemeClr w14:val="tx1"/>
            </w14:solidFill>
          </w14:textFill>
        </w:rPr>
        <w:t>2</w:t>
      </w:r>
      <w:r>
        <w:rPr>
          <w:rFonts w:ascii="Times New Roman" w:hAnsi="Times New Roman" w:cs="Times New Roman" w:eastAsiaTheme="minorEastAsia"/>
          <w:bCs/>
          <w:color w:val="000000" w:themeColor="text1"/>
          <w:w w:val="99"/>
          <w:kern w:val="2"/>
          <w:sz w:val="24"/>
          <w:szCs w:val="32"/>
          <w:lang w:val="en-US" w:bidi="ar-SA"/>
          <w14:textFill>
            <w14:solidFill>
              <w14:schemeClr w14:val="tx1"/>
            </w14:solidFill>
          </w14:textFill>
        </w:rPr>
        <w:t>/d，化学反应常数为0。</w:t>
      </w:r>
    </w:p>
    <w:p w14:paraId="1AFDDBF0">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32"/>
          <w:lang w:val="en-US" w:bidi="ar-SA"/>
          <w14:textFill>
            <w14:solidFill>
              <w14:schemeClr w14:val="tx1"/>
            </w14:solidFill>
          </w14:textFill>
        </w:rPr>
        <w:t>（5）预测结果</w:t>
      </w:r>
    </w:p>
    <w:p w14:paraId="17EB3D1D">
      <w:pPr>
        <w:spacing w:line="440" w:lineRule="exact"/>
        <w:ind w:firstLine="436" w:firstLineChars="200"/>
        <w:jc w:val="both"/>
        <w:rPr>
          <w:rFonts w:ascii="Times New Roman" w:hAnsi="Times New Roman" w:cs="Times New Roman" w:eastAsiaTheme="minorEastAsia"/>
          <w:b/>
          <w:color w:val="000000" w:themeColor="text1"/>
          <w:w w:val="99"/>
          <w:kern w:val="2"/>
          <w:szCs w:val="20"/>
          <w14:textFill>
            <w14:solidFill>
              <w14:schemeClr w14:val="tx1"/>
            </w14:solidFill>
          </w14:textFill>
        </w:rPr>
      </w:pPr>
      <w:r>
        <w:rPr>
          <w:rFonts w:ascii="Times New Roman" w:hAnsi="Times New Roman" w:cs="Times New Roman" w:eastAsiaTheme="minorEastAsia"/>
          <w:b/>
          <w:color w:val="000000" w:themeColor="text1"/>
          <w:w w:val="99"/>
          <w:kern w:val="2"/>
          <w:szCs w:val="20"/>
          <w14:textFill>
            <w14:solidFill>
              <w14:schemeClr w14:val="tx1"/>
            </w14:solidFill>
          </w14:textFill>
        </w:rPr>
        <w:t>表5.</w:t>
      </w:r>
      <w:r>
        <w:rPr>
          <w:rFonts w:ascii="Times New Roman" w:hAnsi="Times New Roman" w:cs="Times New Roman" w:eastAsiaTheme="minorEastAsia"/>
          <w:b/>
          <w:color w:val="000000" w:themeColor="text1"/>
          <w:w w:val="99"/>
          <w:kern w:val="2"/>
          <w:szCs w:val="20"/>
          <w:lang w:val="en-US"/>
          <w14:textFill>
            <w14:solidFill>
              <w14:schemeClr w14:val="tx1"/>
            </w14:solidFill>
          </w14:textFill>
        </w:rPr>
        <w:t>3</w:t>
      </w:r>
      <w:r>
        <w:rPr>
          <w:rFonts w:ascii="Times New Roman" w:hAnsi="Times New Roman" w:cs="Times New Roman" w:eastAsiaTheme="minorEastAsia"/>
          <w:b/>
          <w:color w:val="000000" w:themeColor="text1"/>
          <w:w w:val="99"/>
          <w:kern w:val="2"/>
          <w:szCs w:val="20"/>
          <w14:textFill>
            <w14:solidFill>
              <w14:schemeClr w14:val="tx1"/>
            </w14:solidFill>
          </w14:textFill>
        </w:rPr>
        <w:t>-</w:t>
      </w:r>
      <w:r>
        <w:rPr>
          <w:rFonts w:ascii="Times New Roman" w:hAnsi="Times New Roman" w:cs="Times New Roman" w:eastAsiaTheme="minorEastAsia"/>
          <w:b/>
          <w:color w:val="000000" w:themeColor="text1"/>
          <w:w w:val="99"/>
          <w:kern w:val="2"/>
          <w:szCs w:val="20"/>
          <w:lang w:val="en-US"/>
          <w14:textFill>
            <w14:solidFill>
              <w14:schemeClr w14:val="tx1"/>
            </w14:solidFill>
          </w14:textFill>
        </w:rPr>
        <w:t xml:space="preserve">1    </w:t>
      </w:r>
      <w:r>
        <w:rPr>
          <w:rFonts w:ascii="Times New Roman" w:hAnsi="Times New Roman" w:cs="Times New Roman" w:eastAsiaTheme="minorEastAsia"/>
          <w:b/>
          <w:color w:val="000000" w:themeColor="text1"/>
          <w:w w:val="99"/>
          <w:kern w:val="2"/>
          <w:szCs w:val="20"/>
          <w14:textFill>
            <w14:solidFill>
              <w14:schemeClr w14:val="tx1"/>
            </w14:solidFill>
          </w14:textFill>
        </w:rPr>
        <w:t xml:space="preserve">     集油管道泄漏对地下水的影响预测结果表</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86"/>
        <w:gridCol w:w="956"/>
        <w:gridCol w:w="1350"/>
        <w:gridCol w:w="1551"/>
        <w:gridCol w:w="1454"/>
        <w:gridCol w:w="2037"/>
        <w:gridCol w:w="1152"/>
      </w:tblGrid>
      <w:tr w14:paraId="14A33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3" w:type="pct"/>
            <w:vAlign w:val="center"/>
          </w:tcPr>
          <w:p w14:paraId="4F48B409">
            <w:pPr>
              <w:widowControl/>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污染物</w:t>
            </w:r>
          </w:p>
        </w:tc>
        <w:tc>
          <w:tcPr>
            <w:tcW w:w="515" w:type="pct"/>
            <w:vAlign w:val="center"/>
          </w:tcPr>
          <w:p w14:paraId="332F9FE0">
            <w:pPr>
              <w:widowControl/>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预测时间</w:t>
            </w:r>
          </w:p>
        </w:tc>
        <w:tc>
          <w:tcPr>
            <w:tcW w:w="727" w:type="pct"/>
            <w:vAlign w:val="center"/>
          </w:tcPr>
          <w:p w14:paraId="45152FB6">
            <w:pPr>
              <w:widowControl/>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下游最大浓度</w:t>
            </w:r>
          </w:p>
        </w:tc>
        <w:tc>
          <w:tcPr>
            <w:tcW w:w="835" w:type="pct"/>
            <w:vAlign w:val="center"/>
          </w:tcPr>
          <w:p w14:paraId="58D44311">
            <w:pPr>
              <w:widowControl/>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超标最远距离</w:t>
            </w:r>
          </w:p>
        </w:tc>
        <w:tc>
          <w:tcPr>
            <w:tcW w:w="783" w:type="pct"/>
            <w:vAlign w:val="center"/>
          </w:tcPr>
          <w:p w14:paraId="621DB6DE">
            <w:pPr>
              <w:widowControl/>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超标面积</w:t>
            </w:r>
          </w:p>
        </w:tc>
        <w:tc>
          <w:tcPr>
            <w:tcW w:w="1097" w:type="pct"/>
            <w:vAlign w:val="center"/>
          </w:tcPr>
          <w:p w14:paraId="28FD5EBB">
            <w:pPr>
              <w:widowControl/>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最远影响距离</w:t>
            </w:r>
          </w:p>
          <w:p w14:paraId="1B27FDFC">
            <w:pPr>
              <w:widowControl/>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（最大迁移距离）</w:t>
            </w:r>
          </w:p>
        </w:tc>
        <w:tc>
          <w:tcPr>
            <w:tcW w:w="620" w:type="pct"/>
            <w:vAlign w:val="center"/>
          </w:tcPr>
          <w:p w14:paraId="68475C0D">
            <w:pPr>
              <w:widowControl/>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影响面积</w:t>
            </w:r>
          </w:p>
        </w:tc>
      </w:tr>
      <w:tr w14:paraId="083C7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3" w:type="pct"/>
            <w:vMerge w:val="restart"/>
            <w:vAlign w:val="center"/>
          </w:tcPr>
          <w:p w14:paraId="55A97361">
            <w:pPr>
              <w:widowControl/>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石油类</w:t>
            </w:r>
          </w:p>
        </w:tc>
        <w:tc>
          <w:tcPr>
            <w:tcW w:w="515" w:type="pct"/>
            <w:vAlign w:val="center"/>
          </w:tcPr>
          <w:p w14:paraId="60BC30F8">
            <w:pPr>
              <w:widowControl/>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100天</w:t>
            </w:r>
          </w:p>
        </w:tc>
        <w:tc>
          <w:tcPr>
            <w:tcW w:w="727" w:type="pct"/>
            <w:vAlign w:val="center"/>
          </w:tcPr>
          <w:p w14:paraId="2EAF870A">
            <w:pPr>
              <w:widowControl/>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301.97mg/L</w:t>
            </w:r>
          </w:p>
        </w:tc>
        <w:tc>
          <w:tcPr>
            <w:tcW w:w="835" w:type="pct"/>
            <w:vAlign w:val="center"/>
          </w:tcPr>
          <w:p w14:paraId="1EDC6885">
            <w:pPr>
              <w:widowControl/>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28.7m</w:t>
            </w:r>
          </w:p>
        </w:tc>
        <w:tc>
          <w:tcPr>
            <w:tcW w:w="783" w:type="pct"/>
            <w:vAlign w:val="center"/>
          </w:tcPr>
          <w:p w14:paraId="08A280A6">
            <w:pPr>
              <w:widowControl/>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691.5m</w:t>
            </w:r>
            <w:r>
              <w:rPr>
                <w:rFonts w:ascii="Times New Roman" w:hAnsi="Times New Roman" w:cs="Times New Roman" w:eastAsiaTheme="minorEastAsia"/>
                <w:color w:val="000000" w:themeColor="text1"/>
                <w:w w:val="99"/>
                <w:szCs w:val="21"/>
                <w:vertAlign w:val="superscript"/>
                <w14:textFill>
                  <w14:solidFill>
                    <w14:schemeClr w14:val="tx1"/>
                  </w14:solidFill>
                </w14:textFill>
              </w:rPr>
              <w:t>2</w:t>
            </w:r>
          </w:p>
        </w:tc>
        <w:tc>
          <w:tcPr>
            <w:tcW w:w="1097" w:type="pct"/>
            <w:vAlign w:val="center"/>
          </w:tcPr>
          <w:p w14:paraId="5D2E1AF9">
            <w:pPr>
              <w:widowControl/>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30.7m</w:t>
            </w:r>
          </w:p>
        </w:tc>
        <w:tc>
          <w:tcPr>
            <w:tcW w:w="620" w:type="pct"/>
            <w:vAlign w:val="center"/>
          </w:tcPr>
          <w:p w14:paraId="4CCDA4EA">
            <w:pPr>
              <w:widowControl/>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820.75m</w:t>
            </w:r>
            <w:r>
              <w:rPr>
                <w:rFonts w:ascii="Times New Roman" w:hAnsi="Times New Roman" w:cs="Times New Roman" w:eastAsiaTheme="minorEastAsia"/>
                <w:color w:val="000000" w:themeColor="text1"/>
                <w:w w:val="99"/>
                <w:szCs w:val="21"/>
                <w:vertAlign w:val="superscript"/>
                <w14:textFill>
                  <w14:solidFill>
                    <w14:schemeClr w14:val="tx1"/>
                  </w14:solidFill>
                </w14:textFill>
              </w:rPr>
              <w:t>2</w:t>
            </w:r>
          </w:p>
        </w:tc>
      </w:tr>
      <w:tr w14:paraId="3B51A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3" w:type="pct"/>
            <w:vMerge w:val="continue"/>
            <w:vAlign w:val="center"/>
          </w:tcPr>
          <w:p w14:paraId="11FDF1FA">
            <w:pPr>
              <w:widowControl/>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p>
        </w:tc>
        <w:tc>
          <w:tcPr>
            <w:tcW w:w="515" w:type="pct"/>
            <w:vAlign w:val="center"/>
          </w:tcPr>
          <w:p w14:paraId="5638B067">
            <w:pPr>
              <w:widowControl/>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1000天</w:t>
            </w:r>
          </w:p>
        </w:tc>
        <w:tc>
          <w:tcPr>
            <w:tcW w:w="727" w:type="pct"/>
            <w:vAlign w:val="center"/>
          </w:tcPr>
          <w:p w14:paraId="57D43C2E">
            <w:pPr>
              <w:widowControl/>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30.2mg/L</w:t>
            </w:r>
          </w:p>
        </w:tc>
        <w:tc>
          <w:tcPr>
            <w:tcW w:w="835" w:type="pct"/>
            <w:vAlign w:val="center"/>
          </w:tcPr>
          <w:p w14:paraId="0415859C">
            <w:pPr>
              <w:widowControl/>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89m</w:t>
            </w:r>
          </w:p>
        </w:tc>
        <w:tc>
          <w:tcPr>
            <w:tcW w:w="783" w:type="pct"/>
            <w:vAlign w:val="center"/>
          </w:tcPr>
          <w:p w14:paraId="48B35D6E">
            <w:pPr>
              <w:widowControl/>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5087m</w:t>
            </w:r>
            <w:r>
              <w:rPr>
                <w:rFonts w:ascii="Times New Roman" w:hAnsi="Times New Roman" w:cs="Times New Roman" w:eastAsiaTheme="minorEastAsia"/>
                <w:color w:val="000000" w:themeColor="text1"/>
                <w:w w:val="99"/>
                <w:szCs w:val="21"/>
                <w:vertAlign w:val="superscript"/>
                <w14:textFill>
                  <w14:solidFill>
                    <w14:schemeClr w14:val="tx1"/>
                  </w14:solidFill>
                </w14:textFill>
              </w:rPr>
              <w:t>2</w:t>
            </w:r>
          </w:p>
        </w:tc>
        <w:tc>
          <w:tcPr>
            <w:tcW w:w="1097" w:type="pct"/>
            <w:vAlign w:val="center"/>
          </w:tcPr>
          <w:p w14:paraId="241421CD">
            <w:pPr>
              <w:widowControl/>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98m</w:t>
            </w:r>
          </w:p>
        </w:tc>
        <w:tc>
          <w:tcPr>
            <w:tcW w:w="620" w:type="pct"/>
            <w:vAlign w:val="center"/>
          </w:tcPr>
          <w:p w14:paraId="33616AF9">
            <w:pPr>
              <w:widowControl/>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6375m</w:t>
            </w:r>
            <w:r>
              <w:rPr>
                <w:rFonts w:ascii="Times New Roman" w:hAnsi="Times New Roman" w:cs="Times New Roman" w:eastAsiaTheme="minorEastAsia"/>
                <w:color w:val="000000" w:themeColor="text1"/>
                <w:w w:val="99"/>
                <w:szCs w:val="21"/>
                <w:vertAlign w:val="superscript"/>
                <w14:textFill>
                  <w14:solidFill>
                    <w14:schemeClr w14:val="tx1"/>
                  </w14:solidFill>
                </w14:textFill>
              </w:rPr>
              <w:t>2</w:t>
            </w:r>
          </w:p>
        </w:tc>
      </w:tr>
      <w:tr w14:paraId="36E14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23" w:type="pct"/>
            <w:vMerge w:val="continue"/>
            <w:vAlign w:val="center"/>
          </w:tcPr>
          <w:p w14:paraId="458585B7">
            <w:pPr>
              <w:widowControl/>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p>
        </w:tc>
        <w:tc>
          <w:tcPr>
            <w:tcW w:w="515" w:type="pct"/>
            <w:vAlign w:val="center"/>
          </w:tcPr>
          <w:p w14:paraId="2E6795D3">
            <w:pPr>
              <w:widowControl/>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5000天</w:t>
            </w:r>
          </w:p>
        </w:tc>
        <w:tc>
          <w:tcPr>
            <w:tcW w:w="727" w:type="pct"/>
            <w:vAlign w:val="center"/>
          </w:tcPr>
          <w:p w14:paraId="56EB790C">
            <w:pPr>
              <w:widowControl/>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6.04mg/L</w:t>
            </w:r>
          </w:p>
        </w:tc>
        <w:tc>
          <w:tcPr>
            <w:tcW w:w="835" w:type="pct"/>
            <w:vAlign w:val="center"/>
          </w:tcPr>
          <w:p w14:paraId="228FA072">
            <w:pPr>
              <w:widowControl/>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224m</w:t>
            </w:r>
          </w:p>
        </w:tc>
        <w:tc>
          <w:tcPr>
            <w:tcW w:w="783" w:type="pct"/>
            <w:vAlign w:val="center"/>
          </w:tcPr>
          <w:p w14:paraId="7B0AFC25">
            <w:pPr>
              <w:widowControl/>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19047m</w:t>
            </w:r>
            <w:r>
              <w:rPr>
                <w:rFonts w:ascii="Times New Roman" w:hAnsi="Times New Roman" w:cs="Times New Roman" w:eastAsiaTheme="minorEastAsia"/>
                <w:color w:val="000000" w:themeColor="text1"/>
                <w:w w:val="99"/>
                <w:szCs w:val="21"/>
                <w:vertAlign w:val="superscript"/>
                <w14:textFill>
                  <w14:solidFill>
                    <w14:schemeClr w14:val="tx1"/>
                  </w14:solidFill>
                </w14:textFill>
              </w:rPr>
              <w:t>2</w:t>
            </w:r>
          </w:p>
        </w:tc>
        <w:tc>
          <w:tcPr>
            <w:tcW w:w="1097" w:type="pct"/>
            <w:vAlign w:val="center"/>
          </w:tcPr>
          <w:p w14:paraId="6F780343">
            <w:pPr>
              <w:widowControl/>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246m</w:t>
            </w:r>
          </w:p>
        </w:tc>
        <w:tc>
          <w:tcPr>
            <w:tcW w:w="620" w:type="pct"/>
            <w:vAlign w:val="center"/>
          </w:tcPr>
          <w:p w14:paraId="6A2209DD">
            <w:pPr>
              <w:widowControl/>
              <w:spacing w:line="360" w:lineRule="exac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25449m</w:t>
            </w:r>
            <w:r>
              <w:rPr>
                <w:rFonts w:ascii="Times New Roman" w:hAnsi="Times New Roman" w:cs="Times New Roman" w:eastAsiaTheme="minorEastAsia"/>
                <w:color w:val="000000" w:themeColor="text1"/>
                <w:w w:val="99"/>
                <w:szCs w:val="21"/>
                <w:vertAlign w:val="superscript"/>
                <w14:textFill>
                  <w14:solidFill>
                    <w14:schemeClr w14:val="tx1"/>
                  </w14:solidFill>
                </w14:textFill>
              </w:rPr>
              <w:t>2</w:t>
            </w:r>
          </w:p>
        </w:tc>
      </w:tr>
    </w:tbl>
    <w:p w14:paraId="619A5DED">
      <w:pPr>
        <w:widowControl/>
        <w:autoSpaceDE/>
        <w:autoSpaceDN/>
        <w:jc w:val="center"/>
        <w:rPr>
          <w:rFonts w:ascii="Times New Roman" w:hAnsi="Times New Roman" w:cs="Times New Roman"/>
          <w:b/>
          <w:color w:val="000000" w:themeColor="text1"/>
          <w:w w:val="99"/>
          <w:kern w:val="2"/>
          <w:sz w:val="21"/>
          <w:szCs w:val="24"/>
          <w:lang w:val="en-US" w:bidi="ar-SA"/>
          <w14:textFill>
            <w14:solidFill>
              <w14:schemeClr w14:val="tx1"/>
            </w14:solidFill>
          </w14:textFill>
        </w:rPr>
      </w:pPr>
      <w:r>
        <w:rPr>
          <w:rFonts w:ascii="Times New Roman" w:hAnsi="Times New Roman" w:cs="Times New Roman"/>
          <w:color w:val="000000" w:themeColor="text1"/>
          <w:w w:val="99"/>
          <w:kern w:val="2"/>
          <w:sz w:val="21"/>
          <w:lang w:val="en-US" w:bidi="ar-SA"/>
          <w14:textFill>
            <w14:solidFill>
              <w14:schemeClr w14:val="tx1"/>
            </w14:solidFill>
          </w14:textFill>
        </w:rPr>
        <mc:AlternateContent>
          <mc:Choice Requires="wpg">
            <w:drawing>
              <wp:anchor distT="0" distB="0" distL="114300" distR="114300" simplePos="0" relativeHeight="251665408" behindDoc="0" locked="0" layoutInCell="1" allowOverlap="1">
                <wp:simplePos x="0" y="0"/>
                <wp:positionH relativeFrom="column">
                  <wp:posOffset>2294890</wp:posOffset>
                </wp:positionH>
                <wp:positionV relativeFrom="paragraph">
                  <wp:posOffset>608965</wp:posOffset>
                </wp:positionV>
                <wp:extent cx="1551305" cy="1400175"/>
                <wp:effectExtent l="0" t="0" r="0" b="47625"/>
                <wp:wrapNone/>
                <wp:docPr id="17" name="组合 17"/>
                <wp:cNvGraphicFramePr/>
                <a:graphic xmlns:a="http://schemas.openxmlformats.org/drawingml/2006/main">
                  <a:graphicData uri="http://schemas.microsoft.com/office/word/2010/wordprocessingGroup">
                    <wpg:wgp>
                      <wpg:cNvGrpSpPr/>
                      <wpg:grpSpPr>
                        <a:xfrm>
                          <a:off x="0" y="0"/>
                          <a:ext cx="1551305" cy="1400175"/>
                          <a:chOff x="0" y="0"/>
                          <a:chExt cx="1551236" cy="1400175"/>
                        </a:xfrm>
                      </wpg:grpSpPr>
                      <wps:wsp>
                        <wps:cNvPr id="467" name="椭圆 467"/>
                        <wps:cNvSpPr/>
                        <wps:spPr>
                          <a:xfrm>
                            <a:off x="352425" y="657225"/>
                            <a:ext cx="45719" cy="6667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68" name="矩形 468"/>
                        <wps:cNvSpPr/>
                        <wps:spPr>
                          <a:xfrm>
                            <a:off x="0" y="266700"/>
                            <a:ext cx="742950" cy="621665"/>
                          </a:xfrm>
                          <a:prstGeom prst="rect">
                            <a:avLst/>
                          </a:prstGeom>
                          <a:noFill/>
                          <a:ln w="12700" cap="flat" cmpd="sng" algn="ctr">
                            <a:noFill/>
                            <a:prstDash val="solid"/>
                            <a:miter lim="800000"/>
                          </a:ln>
                          <a:effectLst/>
                        </wps:spPr>
                        <wps:txbx>
                          <w:txbxContent>
                            <w:p w14:paraId="6065D1B9">
                              <w:pPr>
                                <w:jc w:val="center"/>
                                <w:rPr>
                                  <w:b/>
                                  <w:color w:val="000000"/>
                                  <w:sz w:val="11"/>
                                  <w:szCs w:val="11"/>
                                </w:rPr>
                              </w:pPr>
                              <w:r>
                                <w:rPr>
                                  <w:rFonts w:hint="eastAsia"/>
                                  <w:b/>
                                  <w:color w:val="000000"/>
                                  <w:sz w:val="11"/>
                                  <w:szCs w:val="11"/>
                                </w:rPr>
                                <w:t>污染</w:t>
                              </w:r>
                              <w:r>
                                <w:rPr>
                                  <w:b/>
                                  <w:color w:val="000000"/>
                                  <w:sz w:val="11"/>
                                  <w:szCs w:val="11"/>
                                </w:rPr>
                                <w:t>源点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0" name="矩形 470"/>
                        <wps:cNvSpPr/>
                        <wps:spPr>
                          <a:xfrm>
                            <a:off x="676275" y="85725"/>
                            <a:ext cx="874961" cy="1214120"/>
                          </a:xfrm>
                          <a:prstGeom prst="rect">
                            <a:avLst/>
                          </a:prstGeom>
                          <a:noFill/>
                          <a:ln w="12700" cap="flat" cmpd="sng" algn="ctr">
                            <a:noFill/>
                            <a:prstDash val="solid"/>
                            <a:miter lim="800000"/>
                          </a:ln>
                          <a:effectLst/>
                        </wps:spPr>
                        <wps:txbx>
                          <w:txbxContent>
                            <w:p w14:paraId="3D2B9A6C">
                              <w:pPr>
                                <w:jc w:val="center"/>
                                <w:rPr>
                                  <w:color w:val="000000"/>
                                </w:rPr>
                              </w:pPr>
                              <w:r>
                                <w:rPr>
                                  <w:rFonts w:hint="eastAsia"/>
                                  <w:color w:val="000000"/>
                                </w:rPr>
                                <w:t>地</w:t>
                              </w:r>
                            </w:p>
                            <w:p w14:paraId="4CCFF082">
                              <w:pPr>
                                <w:jc w:val="center"/>
                                <w:rPr>
                                  <w:color w:val="000000"/>
                                </w:rPr>
                              </w:pPr>
                              <w:r>
                                <w:rPr>
                                  <w:rFonts w:hint="eastAsia"/>
                                  <w:color w:val="000000"/>
                                </w:rPr>
                                <w:t>下</w:t>
                              </w:r>
                            </w:p>
                            <w:p w14:paraId="604A8BCF">
                              <w:pPr>
                                <w:jc w:val="center"/>
                                <w:rPr>
                                  <w:color w:val="000000"/>
                                </w:rPr>
                              </w:pPr>
                              <w:r>
                                <w:rPr>
                                  <w:rFonts w:hint="eastAsia"/>
                                  <w:color w:val="000000"/>
                                </w:rPr>
                                <w:t>水</w:t>
                              </w:r>
                            </w:p>
                            <w:p w14:paraId="26E26336">
                              <w:pPr>
                                <w:jc w:val="center"/>
                                <w:rPr>
                                  <w:color w:val="000000"/>
                                </w:rPr>
                              </w:pPr>
                              <w:r>
                                <w:rPr>
                                  <w:color w:val="000000"/>
                                </w:rPr>
                                <w:t>流</w:t>
                              </w:r>
                            </w:p>
                            <w:p w14:paraId="5604CE61">
                              <w:pPr>
                                <w:jc w:val="center"/>
                                <w:rPr>
                                  <w:color w:val="000000"/>
                                </w:rPr>
                              </w:pPr>
                              <w:r>
                                <w:rPr>
                                  <w:color w:val="000000"/>
                                </w:rPr>
                                <w:t>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 name="直接箭头连接符 4"/>
                        <wps:cNvCnPr/>
                        <wps:spPr>
                          <a:xfrm>
                            <a:off x="942975" y="0"/>
                            <a:ext cx="9525" cy="1400175"/>
                          </a:xfrm>
                          <a:prstGeom prst="straightConnector1">
                            <a:avLst/>
                          </a:prstGeom>
                          <a:noFill/>
                          <a:ln w="6350" cap="flat" cmpd="sng" algn="ctr">
                            <a:solidFill>
                              <a:srgbClr val="66FF33"/>
                            </a:solidFill>
                            <a:prstDash val="solid"/>
                            <a:miter lim="800000"/>
                            <a:tailEnd type="triangle"/>
                          </a:ln>
                          <a:effectLst/>
                        </wps:spPr>
                        <wps:bodyPr/>
                      </wps:wsp>
                    </wpg:wgp>
                  </a:graphicData>
                </a:graphic>
              </wp:anchor>
            </w:drawing>
          </mc:Choice>
          <mc:Fallback>
            <w:pict>
              <v:group id="_x0000_s1026" o:spid="_x0000_s1026" o:spt="203" style="position:absolute;left:0pt;margin-left:180.7pt;margin-top:47.95pt;height:110.25pt;width:122.15pt;z-index:251665408;mso-width-relative:page;mso-height-relative:page;" coordsize="1551236,1400175" o:gfxdata="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">
                <o:lock v:ext="edit" aspectratio="f"/>
                <v:shape id="_x0000_s1026" o:spid="_x0000_s1026" o:spt="3" type="#_x0000_t3" style="position:absolute;left:352425;top:657225;height:66675;width:45719;v-text-anchor:middle;" fillcolor="#000000" filled="t" stroked="t" coordsize="21600,21600" o:gfxdata="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PR/3vQAA&#10;ANw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shape>
                <v:rect id="_x0000_s1026" o:spid="_x0000_s1026" o:spt="1" style="position:absolute;left:0;top:266700;height:621665;width:742950;v-text-anchor:middle;" filled="f" stroked="f" coordsize="21600,21600" o:gfxdata="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EkfObsAAADc&#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6065D1B9">
                        <w:pPr>
                          <w:jc w:val="center"/>
                          <w:rPr>
                            <w:b/>
                            <w:color w:val="000000"/>
                            <w:sz w:val="11"/>
                            <w:szCs w:val="11"/>
                          </w:rPr>
                        </w:pPr>
                        <w:r>
                          <w:rPr>
                            <w:rFonts w:hint="eastAsia"/>
                            <w:b/>
                            <w:color w:val="000000"/>
                            <w:sz w:val="11"/>
                            <w:szCs w:val="11"/>
                          </w:rPr>
                          <w:t>污染</w:t>
                        </w:r>
                        <w:r>
                          <w:rPr>
                            <w:b/>
                            <w:color w:val="000000"/>
                            <w:sz w:val="11"/>
                            <w:szCs w:val="11"/>
                          </w:rPr>
                          <w:t>源点</w:t>
                        </w:r>
                      </w:p>
                    </w:txbxContent>
                  </v:textbox>
                </v:rect>
                <v:rect id="_x0000_s1026" o:spid="_x0000_s1026" o:spt="1" style="position:absolute;left:676275;top:85725;height:1214120;width:874961;v-text-anchor:middle;" filled="f" stroked="f" coordsize="21600,21600" o:gfxdata="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mheK5AAAA3A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14:paraId="3D2B9A6C">
                        <w:pPr>
                          <w:jc w:val="center"/>
                          <w:rPr>
                            <w:color w:val="000000"/>
                          </w:rPr>
                        </w:pPr>
                        <w:r>
                          <w:rPr>
                            <w:rFonts w:hint="eastAsia"/>
                            <w:color w:val="000000"/>
                          </w:rPr>
                          <w:t>地</w:t>
                        </w:r>
                      </w:p>
                      <w:p w14:paraId="4CCFF082">
                        <w:pPr>
                          <w:jc w:val="center"/>
                          <w:rPr>
                            <w:color w:val="000000"/>
                          </w:rPr>
                        </w:pPr>
                        <w:r>
                          <w:rPr>
                            <w:rFonts w:hint="eastAsia"/>
                            <w:color w:val="000000"/>
                          </w:rPr>
                          <w:t>下</w:t>
                        </w:r>
                      </w:p>
                      <w:p w14:paraId="604A8BCF">
                        <w:pPr>
                          <w:jc w:val="center"/>
                          <w:rPr>
                            <w:color w:val="000000"/>
                          </w:rPr>
                        </w:pPr>
                        <w:r>
                          <w:rPr>
                            <w:rFonts w:hint="eastAsia"/>
                            <w:color w:val="000000"/>
                          </w:rPr>
                          <w:t>水</w:t>
                        </w:r>
                      </w:p>
                      <w:p w14:paraId="26E26336">
                        <w:pPr>
                          <w:jc w:val="center"/>
                          <w:rPr>
                            <w:color w:val="000000"/>
                          </w:rPr>
                        </w:pPr>
                        <w:r>
                          <w:rPr>
                            <w:color w:val="000000"/>
                          </w:rPr>
                          <w:t>流</w:t>
                        </w:r>
                      </w:p>
                      <w:p w14:paraId="5604CE61">
                        <w:pPr>
                          <w:jc w:val="center"/>
                          <w:rPr>
                            <w:color w:val="000000"/>
                          </w:rPr>
                        </w:pPr>
                        <w:r>
                          <w:rPr>
                            <w:color w:val="000000"/>
                          </w:rPr>
                          <w:t>向</w:t>
                        </w:r>
                      </w:p>
                    </w:txbxContent>
                  </v:textbox>
                </v:rect>
                <v:shape id="_x0000_s1026" o:spid="_x0000_s1026" o:spt="32" type="#_x0000_t32" style="position:absolute;left:942975;top:0;height:1400175;width:9525;" filled="f" stroked="t" coordsize="21600,21600" o:gfxdata="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IZTpLsAAADa&#10;AAAADwAAAAAAAAABACAAAAAiAAAAZHJzL2Rvd25yZXYueG1sUEsBAhQAFAAAAAgAh07iQDMvBZ47&#10;AAAAOQAAABAAAAAAAAAAAQAgAAAACgEAAGRycy9zaGFwZXhtbC54bWxQSwUGAAAAAAYABgBbAQAA&#10;tAMAAAAA&#10;">
                  <v:fill on="f" focussize="0,0"/>
                  <v:stroke weight="0.5pt" color="#66FF33" miterlimit="8" joinstyle="miter" endarrow="block"/>
                  <v:imagedata o:title=""/>
                  <o:lock v:ext="edit" aspectratio="f"/>
                </v:shape>
              </v:group>
            </w:pict>
          </mc:Fallback>
        </mc:AlternateContent>
      </w:r>
      <w:r>
        <w:rPr>
          <w:rFonts w:ascii="Times New Roman" w:hAnsi="Times New Roman" w:cs="Times New Roman"/>
          <w:color w:val="000000" w:themeColor="text1"/>
          <w:w w:val="99"/>
          <w:kern w:val="2"/>
          <w:sz w:val="21"/>
          <w:lang w:val="en-US" w:bidi="ar-SA"/>
          <w14:textFill>
            <w14:solidFill>
              <w14:schemeClr w14:val="tx1"/>
            </w14:solidFill>
          </w14:textFill>
        </w:rPr>
        <w:drawing>
          <wp:inline distT="0" distB="0" distL="0" distR="0">
            <wp:extent cx="2823845" cy="2452370"/>
            <wp:effectExtent l="0" t="0" r="0" b="5080"/>
            <wp:docPr id="454"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24144" cy="2452971"/>
                    </a:xfrm>
                    <a:prstGeom prst="rect">
                      <a:avLst/>
                    </a:prstGeom>
                    <a:noFill/>
                    <a:ln>
                      <a:noFill/>
                    </a:ln>
                    <a:effectLst/>
                  </pic:spPr>
                </pic:pic>
              </a:graphicData>
            </a:graphic>
          </wp:inline>
        </w:drawing>
      </w:r>
      <w:r>
        <w:rPr>
          <w:rFonts w:ascii="Times New Roman" w:hAnsi="Times New Roman" w:cs="Times New Roman"/>
          <w:color w:val="000000" w:themeColor="text1"/>
          <w:w w:val="99"/>
          <w:kern w:val="2"/>
          <w:sz w:val="21"/>
          <w:lang w:val="en-US" w:bidi="ar-SA"/>
          <w14:textFill>
            <w14:solidFill>
              <w14:schemeClr w14:val="tx1"/>
            </w14:solidFill>
          </w14:textFill>
        </w:rPr>
        <mc:AlternateContent>
          <mc:Choice Requires="wpg">
            <w:drawing>
              <wp:anchor distT="0" distB="0" distL="114300" distR="114300" simplePos="0" relativeHeight="251662336" behindDoc="1" locked="0" layoutInCell="1" allowOverlap="1">
                <wp:simplePos x="0" y="0"/>
                <wp:positionH relativeFrom="column">
                  <wp:posOffset>1025525</wp:posOffset>
                </wp:positionH>
                <wp:positionV relativeFrom="paragraph">
                  <wp:posOffset>137795</wp:posOffset>
                </wp:positionV>
                <wp:extent cx="4155440" cy="1962150"/>
                <wp:effectExtent l="1905" t="1270" r="0" b="0"/>
                <wp:wrapNone/>
                <wp:docPr id="513" name="组合 513"/>
                <wp:cNvGraphicFramePr/>
                <a:graphic xmlns:a="http://schemas.openxmlformats.org/drawingml/2006/main">
                  <a:graphicData uri="http://schemas.microsoft.com/office/word/2010/wordprocessingGroup">
                    <wpg:wgp>
                      <wpg:cNvGrpSpPr/>
                      <wpg:grpSpPr>
                        <a:xfrm>
                          <a:off x="0" y="0"/>
                          <a:ext cx="4155440" cy="1962150"/>
                          <a:chOff x="2735" y="1461"/>
                          <a:chExt cx="6894" cy="3540203"/>
                        </a:xfrm>
                      </wpg:grpSpPr>
                      <pic:pic xmlns:pic="http://schemas.openxmlformats.org/drawingml/2006/picture">
                        <pic:nvPicPr>
                          <pic:cNvPr id="514" name="图片 25" descr="C:\Users\Lina\Desktop\1.png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2735" y="1461"/>
                            <a:ext cx="6524" cy="3540"/>
                          </a:xfrm>
                          <a:prstGeom prst="rect">
                            <a:avLst/>
                          </a:prstGeom>
                          <a:noFill/>
                          <a:ln>
                            <a:noFill/>
                          </a:ln>
                        </pic:spPr>
                      </pic:pic>
                      <wps:wsp>
                        <wps:cNvPr id="515" name="文本框 26"/>
                        <wps:cNvSpPr txBox="1">
                          <a:spLocks noChangeArrowheads="1"/>
                        </wps:cNvSpPr>
                        <wps:spPr bwMode="auto">
                          <a:xfrm>
                            <a:off x="9319" y="4701"/>
                            <a:ext cx="310" cy="279"/>
                          </a:xfrm>
                          <a:prstGeom prst="rect">
                            <a:avLst/>
                          </a:prstGeom>
                          <a:noFill/>
                          <a:ln>
                            <a:noFill/>
                          </a:ln>
                        </wps:spPr>
                        <wps:txbx>
                          <w:txbxContent>
                            <w:p w14:paraId="116E4F2F">
                              <w:r>
                                <w:rPr>
                                  <w:rFonts w:hint="eastAsia"/>
                                </w:rPr>
                                <w:t>m</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80.75pt;margin-top:10.85pt;height:154.5pt;width:327.2pt;z-index:-251654144;mso-width-relative:page;mso-height-relative:page;" coordorigin="2735,1461" coordsize="6894,3540203" o:gfxdata="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">
                <o:lock v:ext="edit" aspectratio="f"/>
                <v:shape id="图片 25" o:spid="_x0000_s1026" o:spt="75" alt="C:\Users\Lina\Desktop\1.png1" type="#_x0000_t75" style="position:absolute;left:2735;top:1461;height:3540;width:6524;" filled="f" o:preferrelative="t" stroked="f" coordsize="21600,21600" o:gfxdata="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7RlL4A&#10;AADcAAAADwAAAAAAAAABACAAAAAiAAAAZHJzL2Rvd25yZXYueG1sUEsBAhQAFAAAAAgAh07iQDMv&#10;BZ47AAAAOQAAABAAAAAAAAAAAQAgAAAADQEAAGRycy9zaGFwZXhtbC54bWxQSwUGAAAAAAYABgBb&#10;AQAAtwMAAAAA&#10;">
                  <v:fill on="f" focussize="0,0"/>
                  <v:stroke on="f"/>
                  <v:imagedata r:id="rId63" o:title=""/>
                  <o:lock v:ext="edit" aspectratio="t"/>
                </v:shape>
                <v:shape id="文本框 26" o:spid="_x0000_s1026" o:spt="202" type="#_x0000_t202" style="position:absolute;left:9319;top:4701;height:279;width:310;" filled="f" stroked="f" coordsize="21600,21600" o:gfxdata="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HP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16E4F2F">
                        <w:r>
                          <w:rPr>
                            <w:rFonts w:hint="eastAsia"/>
                          </w:rPr>
                          <w:t>m</w:t>
                        </w:r>
                      </w:p>
                    </w:txbxContent>
                  </v:textbox>
                </v:shape>
              </v:group>
            </w:pict>
          </mc:Fallback>
        </mc:AlternateContent>
      </w:r>
    </w:p>
    <w:p w14:paraId="7A122CA1">
      <w:pPr>
        <w:widowControl/>
        <w:autoSpaceDE/>
        <w:autoSpaceDN/>
        <w:spacing w:line="440" w:lineRule="exact"/>
        <w:jc w:val="center"/>
        <w:rPr>
          <w:rFonts w:ascii="Times New Roman" w:hAnsi="Times New Roman" w:cs="Times New Roman"/>
          <w:b/>
          <w:color w:val="000000" w:themeColor="text1"/>
          <w:w w:val="99"/>
          <w:kern w:val="2"/>
          <w:sz w:val="24"/>
          <w:lang w:val="en-US" w:bidi="ar-SA"/>
          <w14:textFill>
            <w14:solidFill>
              <w14:schemeClr w14:val="tx1"/>
            </w14:solidFill>
          </w14:textFill>
        </w:rPr>
      </w:pPr>
      <w:r>
        <w:rPr>
          <w:rFonts w:ascii="Times New Roman" w:hAnsi="Times New Roman" w:cs="Times New Roman"/>
          <w:b/>
          <w:color w:val="000000" w:themeColor="text1"/>
          <w:w w:val="99"/>
          <w:kern w:val="2"/>
          <w:sz w:val="24"/>
          <w:szCs w:val="24"/>
          <w:lang w:val="en-US" w:bidi="ar-SA"/>
          <w14:textFill>
            <w14:solidFill>
              <w14:schemeClr w14:val="tx1"/>
            </w14:solidFill>
          </w14:textFill>
        </w:rPr>
        <w:t>图5.3-1    集油管道泄漏后100天污染物浓度分布图</w:t>
      </w:r>
    </w:p>
    <w:p w14:paraId="26470D08">
      <w:pPr>
        <w:widowControl/>
        <w:autoSpaceDE/>
        <w:autoSpaceDN/>
        <w:snapToGrid w:val="0"/>
        <w:jc w:val="center"/>
        <w:textAlignment w:val="baseline"/>
        <w:rPr>
          <w:rFonts w:ascii="Times New Roman" w:hAnsi="Times New Roman" w:cs="Times New Roman"/>
          <w:color w:val="000000" w:themeColor="text1"/>
          <w:w w:val="99"/>
          <w:sz w:val="24"/>
          <w:szCs w:val="24"/>
          <w:lang w:val="en-US" w:bidi="ar-SA"/>
          <w14:textFill>
            <w14:solidFill>
              <w14:schemeClr w14:val="tx1"/>
            </w14:solidFill>
          </w14:textFill>
        </w:rPr>
      </w:pPr>
      <w:r>
        <w:rPr>
          <w:rFonts w:ascii="Times New Roman" w:hAnsi="Times New Roman" w:cs="Times New Roman"/>
          <w:color w:val="000000" w:themeColor="text1"/>
          <w:w w:val="99"/>
          <w:sz w:val="24"/>
          <w:szCs w:val="24"/>
          <w:lang w:val="en-US" w:bidi="ar-SA"/>
          <w14:textFill>
            <w14:solidFill>
              <w14:schemeClr w14:val="tx1"/>
            </w14:solidFill>
          </w14:textFill>
        </w:rPr>
        <mc:AlternateContent>
          <mc:Choice Requires="wpg">
            <w:drawing>
              <wp:anchor distT="0" distB="0" distL="114300" distR="114300" simplePos="0" relativeHeight="251666432" behindDoc="0" locked="0" layoutInCell="1" allowOverlap="1">
                <wp:simplePos x="0" y="0"/>
                <wp:positionH relativeFrom="column">
                  <wp:posOffset>2303780</wp:posOffset>
                </wp:positionH>
                <wp:positionV relativeFrom="paragraph">
                  <wp:posOffset>568960</wp:posOffset>
                </wp:positionV>
                <wp:extent cx="1495425" cy="1400175"/>
                <wp:effectExtent l="0" t="0" r="0" b="47625"/>
                <wp:wrapNone/>
                <wp:docPr id="49" name="组合 49"/>
                <wp:cNvGraphicFramePr/>
                <a:graphic xmlns:a="http://schemas.openxmlformats.org/drawingml/2006/main">
                  <a:graphicData uri="http://schemas.microsoft.com/office/word/2010/wordprocessingGroup">
                    <wpg:wgp>
                      <wpg:cNvGrpSpPr/>
                      <wpg:grpSpPr>
                        <a:xfrm>
                          <a:off x="0" y="0"/>
                          <a:ext cx="1495577" cy="1400175"/>
                          <a:chOff x="0" y="0"/>
                          <a:chExt cx="1495577" cy="1400175"/>
                        </a:xfrm>
                      </wpg:grpSpPr>
                      <wps:wsp>
                        <wps:cNvPr id="51" name="椭圆 51"/>
                        <wps:cNvSpPr/>
                        <wps:spPr>
                          <a:xfrm>
                            <a:off x="352425" y="657225"/>
                            <a:ext cx="45719" cy="6667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6" name="矩形 56"/>
                        <wps:cNvSpPr/>
                        <wps:spPr>
                          <a:xfrm>
                            <a:off x="0" y="250798"/>
                            <a:ext cx="742950" cy="621665"/>
                          </a:xfrm>
                          <a:prstGeom prst="rect">
                            <a:avLst/>
                          </a:prstGeom>
                          <a:noFill/>
                          <a:ln w="12700" cap="flat" cmpd="sng" algn="ctr">
                            <a:noFill/>
                            <a:prstDash val="solid"/>
                            <a:miter lim="800000"/>
                          </a:ln>
                          <a:effectLst/>
                        </wps:spPr>
                        <wps:txbx>
                          <w:txbxContent>
                            <w:p w14:paraId="4FE07FC9">
                              <w:pPr>
                                <w:jc w:val="center"/>
                                <w:rPr>
                                  <w:b/>
                                  <w:color w:val="000000"/>
                                  <w:sz w:val="11"/>
                                  <w:szCs w:val="11"/>
                                </w:rPr>
                              </w:pPr>
                              <w:r>
                                <w:rPr>
                                  <w:rFonts w:hint="eastAsia"/>
                                  <w:b/>
                                  <w:color w:val="000000"/>
                                  <w:sz w:val="11"/>
                                  <w:szCs w:val="11"/>
                                </w:rPr>
                                <w:t>污染</w:t>
                              </w:r>
                              <w:r>
                                <w:rPr>
                                  <w:b/>
                                  <w:color w:val="000000"/>
                                  <w:sz w:val="11"/>
                                  <w:szCs w:val="11"/>
                                </w:rPr>
                                <w:t>源点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 name="矩形 62"/>
                        <wps:cNvSpPr/>
                        <wps:spPr>
                          <a:xfrm>
                            <a:off x="620616" y="77773"/>
                            <a:ext cx="874961" cy="1214120"/>
                          </a:xfrm>
                          <a:prstGeom prst="rect">
                            <a:avLst/>
                          </a:prstGeom>
                          <a:noFill/>
                          <a:ln w="12700" cap="flat" cmpd="sng" algn="ctr">
                            <a:noFill/>
                            <a:prstDash val="solid"/>
                            <a:miter lim="800000"/>
                          </a:ln>
                          <a:effectLst/>
                        </wps:spPr>
                        <wps:txbx>
                          <w:txbxContent>
                            <w:p w14:paraId="72932752">
                              <w:pPr>
                                <w:jc w:val="center"/>
                                <w:rPr>
                                  <w:color w:val="000000"/>
                                </w:rPr>
                              </w:pPr>
                              <w:r>
                                <w:rPr>
                                  <w:rFonts w:hint="eastAsia"/>
                                  <w:color w:val="000000"/>
                                </w:rPr>
                                <w:t>地</w:t>
                              </w:r>
                            </w:p>
                            <w:p w14:paraId="125864CF">
                              <w:pPr>
                                <w:jc w:val="center"/>
                                <w:rPr>
                                  <w:color w:val="000000"/>
                                </w:rPr>
                              </w:pPr>
                              <w:r>
                                <w:rPr>
                                  <w:rFonts w:hint="eastAsia"/>
                                  <w:color w:val="000000"/>
                                </w:rPr>
                                <w:t>下</w:t>
                              </w:r>
                            </w:p>
                            <w:p w14:paraId="642021F4">
                              <w:pPr>
                                <w:jc w:val="center"/>
                                <w:rPr>
                                  <w:color w:val="000000"/>
                                </w:rPr>
                              </w:pPr>
                              <w:r>
                                <w:rPr>
                                  <w:rFonts w:hint="eastAsia"/>
                                  <w:color w:val="000000"/>
                                </w:rPr>
                                <w:t>水</w:t>
                              </w:r>
                            </w:p>
                            <w:p w14:paraId="3FC375CB">
                              <w:pPr>
                                <w:jc w:val="center"/>
                                <w:rPr>
                                  <w:color w:val="000000"/>
                                </w:rPr>
                              </w:pPr>
                              <w:r>
                                <w:rPr>
                                  <w:color w:val="000000"/>
                                </w:rPr>
                                <w:t>流</w:t>
                              </w:r>
                            </w:p>
                            <w:p w14:paraId="488AB2A7">
                              <w:pPr>
                                <w:jc w:val="center"/>
                                <w:rPr>
                                  <w:color w:val="000000"/>
                                </w:rPr>
                              </w:pPr>
                              <w:r>
                                <w:rPr>
                                  <w:color w:val="000000"/>
                                </w:rPr>
                                <w:t>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8" name="直接箭头连接符 448"/>
                        <wps:cNvCnPr/>
                        <wps:spPr>
                          <a:xfrm>
                            <a:off x="942975" y="0"/>
                            <a:ext cx="9525" cy="1400175"/>
                          </a:xfrm>
                          <a:prstGeom prst="straightConnector1">
                            <a:avLst/>
                          </a:prstGeom>
                          <a:noFill/>
                          <a:ln w="6350" cap="flat" cmpd="sng" algn="ctr">
                            <a:solidFill>
                              <a:srgbClr val="66FF33"/>
                            </a:solidFill>
                            <a:prstDash val="solid"/>
                            <a:miter lim="800000"/>
                            <a:tailEnd type="triangle"/>
                          </a:ln>
                          <a:effectLst/>
                        </wps:spPr>
                        <wps:bodyPr/>
                      </wps:wsp>
                    </wpg:wgp>
                  </a:graphicData>
                </a:graphic>
              </wp:anchor>
            </w:drawing>
          </mc:Choice>
          <mc:Fallback>
            <w:pict>
              <v:group id="_x0000_s1026" o:spid="_x0000_s1026" o:spt="203" style="position:absolute;left:0pt;margin-left:181.4pt;margin-top:44.8pt;height:110.25pt;width:117.75pt;z-index:251666432;mso-width-relative:page;mso-height-relative:page;" coordsize="1495577,1400175" o:gfxdata="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">
                <o:lock v:ext="edit" aspectratio="f"/>
                <v:shape id="_x0000_s1026" o:spid="_x0000_s1026" o:spt="3" type="#_x0000_t3" style="position:absolute;left:352425;top:657225;height:66675;width:45719;v-text-anchor:middle;" fillcolor="#000000" filled="t" stroked="t" coordsize="21600,21600" o:gfxdata="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9ozzrsAAADb&#10;AAAADwAAAAAAAAABACAAAAAiAAAAZHJzL2Rvd25yZXYueG1sUEsBAhQAFAAAAAgAh07iQDMvBZ47&#10;AAAAOQAAABAAAAAAAAAAAQAgAAAACgEAAGRycy9zaGFwZXhtbC54bWxQSwUGAAAAAAYABgBbAQAA&#10;tAMAAAAA&#10;">
                  <v:fill on="t" focussize="0,0"/>
                  <v:stroke weight="1pt" color="#000000" miterlimit="8" joinstyle="miter"/>
                  <v:imagedata o:title=""/>
                  <o:lock v:ext="edit" aspectratio="f"/>
                </v:shape>
                <v:rect id="_x0000_s1026" o:spid="_x0000_s1026" o:spt="1" style="position:absolute;left:0;top:250798;height:621665;width:742950;v-text-anchor:middle;" filled="f" stroked="f" coordsize="21600,21600" o:gfxdata="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KMNIvQAA&#10;ANs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4FE07FC9">
                        <w:pPr>
                          <w:jc w:val="center"/>
                          <w:rPr>
                            <w:b/>
                            <w:color w:val="000000"/>
                            <w:sz w:val="11"/>
                            <w:szCs w:val="11"/>
                          </w:rPr>
                        </w:pPr>
                        <w:r>
                          <w:rPr>
                            <w:rFonts w:hint="eastAsia"/>
                            <w:b/>
                            <w:color w:val="000000"/>
                            <w:sz w:val="11"/>
                            <w:szCs w:val="11"/>
                          </w:rPr>
                          <w:t>污染</w:t>
                        </w:r>
                        <w:r>
                          <w:rPr>
                            <w:b/>
                            <w:color w:val="000000"/>
                            <w:sz w:val="11"/>
                            <w:szCs w:val="11"/>
                          </w:rPr>
                          <w:t>源点</w:t>
                        </w:r>
                      </w:p>
                    </w:txbxContent>
                  </v:textbox>
                </v:rect>
                <v:rect id="_x0000_s1026" o:spid="_x0000_s1026" o:spt="1" style="position:absolute;left:620616;top:77773;height:1214120;width:874961;v-text-anchor:middle;" filled="f" stroked="f" coordsize="21600,21600" o:gfxdata="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8P9r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72932752">
                        <w:pPr>
                          <w:jc w:val="center"/>
                          <w:rPr>
                            <w:color w:val="000000"/>
                          </w:rPr>
                        </w:pPr>
                        <w:r>
                          <w:rPr>
                            <w:rFonts w:hint="eastAsia"/>
                            <w:color w:val="000000"/>
                          </w:rPr>
                          <w:t>地</w:t>
                        </w:r>
                      </w:p>
                      <w:p w14:paraId="125864CF">
                        <w:pPr>
                          <w:jc w:val="center"/>
                          <w:rPr>
                            <w:color w:val="000000"/>
                          </w:rPr>
                        </w:pPr>
                        <w:r>
                          <w:rPr>
                            <w:rFonts w:hint="eastAsia"/>
                            <w:color w:val="000000"/>
                          </w:rPr>
                          <w:t>下</w:t>
                        </w:r>
                      </w:p>
                      <w:p w14:paraId="642021F4">
                        <w:pPr>
                          <w:jc w:val="center"/>
                          <w:rPr>
                            <w:color w:val="000000"/>
                          </w:rPr>
                        </w:pPr>
                        <w:r>
                          <w:rPr>
                            <w:rFonts w:hint="eastAsia"/>
                            <w:color w:val="000000"/>
                          </w:rPr>
                          <w:t>水</w:t>
                        </w:r>
                      </w:p>
                      <w:p w14:paraId="3FC375CB">
                        <w:pPr>
                          <w:jc w:val="center"/>
                          <w:rPr>
                            <w:color w:val="000000"/>
                          </w:rPr>
                        </w:pPr>
                        <w:r>
                          <w:rPr>
                            <w:color w:val="000000"/>
                          </w:rPr>
                          <w:t>流</w:t>
                        </w:r>
                      </w:p>
                      <w:p w14:paraId="488AB2A7">
                        <w:pPr>
                          <w:jc w:val="center"/>
                          <w:rPr>
                            <w:color w:val="000000"/>
                          </w:rPr>
                        </w:pPr>
                        <w:r>
                          <w:rPr>
                            <w:color w:val="000000"/>
                          </w:rPr>
                          <w:t>向</w:t>
                        </w:r>
                      </w:p>
                    </w:txbxContent>
                  </v:textbox>
                </v:rect>
                <v:shape id="_x0000_s1026" o:spid="_x0000_s1026" o:spt="32" type="#_x0000_t32" style="position:absolute;left:942975;top:0;height:1400175;width:9525;" filled="f" stroked="t" coordsize="21600,21600" o:gfxdata="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vtvYrgAAADcAAAA&#10;DwAAAAAAAAABACAAAAAiAAAAZHJzL2Rvd25yZXYueG1sUEsBAhQAFAAAAAgAh07iQDMvBZ47AAAA&#10;OQAAABAAAAAAAAAAAQAgAAAABwEAAGRycy9zaGFwZXhtbC54bWxQSwUGAAAAAAYABgBbAQAAsQMA&#10;AAAA&#10;">
                  <v:fill on="f" focussize="0,0"/>
                  <v:stroke weight="0.5pt" color="#66FF33" miterlimit="8" joinstyle="miter" endarrow="block"/>
                  <v:imagedata o:title=""/>
                  <o:lock v:ext="edit" aspectratio="f"/>
                </v:shape>
              </v:group>
            </w:pict>
          </mc:Fallback>
        </mc:AlternateContent>
      </w:r>
      <w:r>
        <w:rPr>
          <w:rFonts w:ascii="Times New Roman" w:hAnsi="Times New Roman" w:cs="Times New Roman"/>
          <w:color w:val="000000" w:themeColor="text1"/>
          <w:w w:val="99"/>
          <w:sz w:val="24"/>
          <w:szCs w:val="24"/>
          <w:lang w:val="en-US" w:bidi="ar-SA"/>
          <w14:textFill>
            <w14:solidFill>
              <w14:schemeClr w14:val="tx1"/>
            </w14:solidFill>
          </w14:textFill>
        </w:rPr>
        <w:drawing>
          <wp:inline distT="0" distB="0" distL="0" distR="0">
            <wp:extent cx="2209800" cy="2618740"/>
            <wp:effectExtent l="0" t="0" r="0" b="0"/>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a:xfrm>
                      <a:off x="0" y="0"/>
                      <a:ext cx="2210096" cy="2619374"/>
                    </a:xfrm>
                    <a:prstGeom prst="rect">
                      <a:avLst/>
                    </a:prstGeom>
                    <a:noFill/>
                    <a:ln>
                      <a:noFill/>
                    </a:ln>
                    <a:effectLst/>
                  </pic:spPr>
                </pic:pic>
              </a:graphicData>
            </a:graphic>
          </wp:inline>
        </w:drawing>
      </w:r>
    </w:p>
    <w:p w14:paraId="0ECBBF28">
      <w:pPr>
        <w:widowControl/>
        <w:autoSpaceDE/>
        <w:autoSpaceDN/>
        <w:spacing w:line="440" w:lineRule="exact"/>
        <w:jc w:val="center"/>
        <w:rPr>
          <w:rFonts w:ascii="Times New Roman" w:hAnsi="Times New Roman" w:cs="Times New Roman"/>
          <w:b/>
          <w:color w:val="000000" w:themeColor="text1"/>
          <w:w w:val="99"/>
          <w:kern w:val="2"/>
          <w:sz w:val="24"/>
          <w:szCs w:val="24"/>
          <w:lang w:val="en-US" w:bidi="ar-SA"/>
          <w14:textFill>
            <w14:solidFill>
              <w14:schemeClr w14:val="tx1"/>
            </w14:solidFill>
          </w14:textFill>
        </w:rPr>
      </w:pPr>
      <w:r>
        <w:rPr>
          <w:rFonts w:ascii="Times New Roman" w:hAnsi="Times New Roman" w:cs="Times New Roman"/>
          <w:b/>
          <w:color w:val="000000" w:themeColor="text1"/>
          <w:w w:val="99"/>
          <w:kern w:val="2"/>
          <w:sz w:val="24"/>
          <w:szCs w:val="24"/>
          <w:lang w:val="en-US" w:bidi="ar-SA"/>
          <w14:textFill>
            <w14:solidFill>
              <w14:schemeClr w14:val="tx1"/>
            </w14:solidFill>
          </w14:textFill>
        </w:rPr>
        <w:t>图5.3-2    集油管道泄漏后1000天污染物浓度分布图</w:t>
      </w:r>
    </w:p>
    <w:p w14:paraId="39710D71">
      <w:pPr>
        <w:widowControl/>
        <w:autoSpaceDE/>
        <w:autoSpaceDN/>
        <w:snapToGrid w:val="0"/>
        <w:jc w:val="center"/>
        <w:textAlignment w:val="baseline"/>
        <w:rPr>
          <w:rFonts w:ascii="Times New Roman" w:hAnsi="Times New Roman" w:cs="Times New Roman"/>
          <w:color w:val="000000" w:themeColor="text1"/>
          <w:w w:val="99"/>
          <w:sz w:val="24"/>
          <w:szCs w:val="24"/>
          <w:lang w:val="en-US" w:bidi="ar-SA"/>
          <w14:textFill>
            <w14:solidFill>
              <w14:schemeClr w14:val="tx1"/>
            </w14:solidFill>
          </w14:textFill>
        </w:rPr>
      </w:pPr>
      <w:r>
        <w:rPr>
          <w:rFonts w:ascii="Times New Roman" w:hAnsi="Times New Roman" w:cs="Times New Roman"/>
          <w:color w:val="000000" w:themeColor="text1"/>
          <w:w w:val="99"/>
          <w:sz w:val="24"/>
          <w:szCs w:val="24"/>
          <w:lang w:val="en-US" w:bidi="ar-SA"/>
          <w14:textFill>
            <w14:solidFill>
              <w14:schemeClr w14:val="tx1"/>
            </w14:solidFill>
          </w14:textFill>
        </w:rPr>
        <mc:AlternateContent>
          <mc:Choice Requires="wpg">
            <w:drawing>
              <wp:anchor distT="0" distB="0" distL="114300" distR="114300" simplePos="0" relativeHeight="251667456" behindDoc="0" locked="0" layoutInCell="1" allowOverlap="1">
                <wp:simplePos x="0" y="0"/>
                <wp:positionH relativeFrom="column">
                  <wp:posOffset>1392555</wp:posOffset>
                </wp:positionH>
                <wp:positionV relativeFrom="paragraph">
                  <wp:posOffset>1018540</wp:posOffset>
                </wp:positionV>
                <wp:extent cx="1622425" cy="1480820"/>
                <wp:effectExtent l="0" t="0" r="0" b="43815"/>
                <wp:wrapNone/>
                <wp:docPr id="449" name="组合 449"/>
                <wp:cNvGraphicFramePr/>
                <a:graphic xmlns:a="http://schemas.openxmlformats.org/drawingml/2006/main">
                  <a:graphicData uri="http://schemas.microsoft.com/office/word/2010/wordprocessingGroup">
                    <wpg:wgp>
                      <wpg:cNvGrpSpPr/>
                      <wpg:grpSpPr>
                        <a:xfrm>
                          <a:off x="0" y="0"/>
                          <a:ext cx="1622155" cy="1480560"/>
                          <a:chOff x="-1248406" y="-40629"/>
                          <a:chExt cx="1622155" cy="1480560"/>
                        </a:xfrm>
                      </wpg:grpSpPr>
                      <wps:wsp>
                        <wps:cNvPr id="450" name="椭圆 450"/>
                        <wps:cNvSpPr/>
                        <wps:spPr>
                          <a:xfrm>
                            <a:off x="-41429" y="322346"/>
                            <a:ext cx="45719" cy="6667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51" name="矩形 451"/>
                        <wps:cNvSpPr/>
                        <wps:spPr>
                          <a:xfrm>
                            <a:off x="-369201" y="-40629"/>
                            <a:ext cx="742950" cy="621665"/>
                          </a:xfrm>
                          <a:prstGeom prst="rect">
                            <a:avLst/>
                          </a:prstGeom>
                          <a:noFill/>
                          <a:ln w="12700" cap="flat" cmpd="sng" algn="ctr">
                            <a:noFill/>
                            <a:prstDash val="solid"/>
                            <a:miter lim="800000"/>
                          </a:ln>
                          <a:effectLst/>
                        </wps:spPr>
                        <wps:txbx>
                          <w:txbxContent>
                            <w:p w14:paraId="0BF49C91">
                              <w:pPr>
                                <w:jc w:val="center"/>
                                <w:rPr>
                                  <w:b/>
                                  <w:color w:val="000000"/>
                                  <w:sz w:val="11"/>
                                  <w:szCs w:val="11"/>
                                </w:rPr>
                              </w:pPr>
                              <w:r>
                                <w:rPr>
                                  <w:rFonts w:hint="eastAsia"/>
                                  <w:b/>
                                  <w:color w:val="000000"/>
                                  <w:sz w:val="11"/>
                                  <w:szCs w:val="11"/>
                                </w:rPr>
                                <w:t>污染</w:t>
                              </w:r>
                              <w:r>
                                <w:rPr>
                                  <w:b/>
                                  <w:color w:val="000000"/>
                                  <w:sz w:val="11"/>
                                  <w:szCs w:val="11"/>
                                </w:rPr>
                                <w:t>源点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2" name="矩形 452"/>
                        <wps:cNvSpPr/>
                        <wps:spPr>
                          <a:xfrm>
                            <a:off x="-1248406" y="77774"/>
                            <a:ext cx="874961" cy="1214120"/>
                          </a:xfrm>
                          <a:prstGeom prst="rect">
                            <a:avLst/>
                          </a:prstGeom>
                          <a:noFill/>
                          <a:ln w="12700" cap="flat" cmpd="sng" algn="ctr">
                            <a:noFill/>
                            <a:prstDash val="solid"/>
                            <a:miter lim="800000"/>
                          </a:ln>
                          <a:effectLst/>
                        </wps:spPr>
                        <wps:txbx>
                          <w:txbxContent>
                            <w:p w14:paraId="42272FBB">
                              <w:pPr>
                                <w:jc w:val="center"/>
                                <w:rPr>
                                  <w:color w:val="000000"/>
                                </w:rPr>
                              </w:pPr>
                              <w:r>
                                <w:rPr>
                                  <w:rFonts w:hint="eastAsia"/>
                                  <w:color w:val="000000"/>
                                </w:rPr>
                                <w:t>地</w:t>
                              </w:r>
                            </w:p>
                            <w:p w14:paraId="745EF697">
                              <w:pPr>
                                <w:jc w:val="center"/>
                                <w:rPr>
                                  <w:color w:val="000000"/>
                                </w:rPr>
                              </w:pPr>
                              <w:r>
                                <w:rPr>
                                  <w:rFonts w:hint="eastAsia"/>
                                  <w:color w:val="000000"/>
                                </w:rPr>
                                <w:t>下</w:t>
                              </w:r>
                            </w:p>
                            <w:p w14:paraId="7A270101">
                              <w:pPr>
                                <w:jc w:val="center"/>
                                <w:rPr>
                                  <w:color w:val="000000"/>
                                </w:rPr>
                              </w:pPr>
                              <w:r>
                                <w:rPr>
                                  <w:rFonts w:hint="eastAsia"/>
                                  <w:color w:val="000000"/>
                                </w:rPr>
                                <w:t>水</w:t>
                              </w:r>
                            </w:p>
                            <w:p w14:paraId="455E70D5">
                              <w:pPr>
                                <w:jc w:val="center"/>
                                <w:rPr>
                                  <w:color w:val="000000"/>
                                </w:rPr>
                              </w:pPr>
                              <w:r>
                                <w:rPr>
                                  <w:color w:val="000000"/>
                                </w:rPr>
                                <w:t>流</w:t>
                              </w:r>
                            </w:p>
                            <w:p w14:paraId="531B83C1">
                              <w:pPr>
                                <w:jc w:val="center"/>
                                <w:rPr>
                                  <w:color w:val="000000"/>
                                </w:rPr>
                              </w:pPr>
                              <w:r>
                                <w:rPr>
                                  <w:color w:val="000000"/>
                                </w:rPr>
                                <w:t>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3" name="直接箭头连接符 453"/>
                        <wps:cNvCnPr/>
                        <wps:spPr>
                          <a:xfrm>
                            <a:off x="-941484" y="39756"/>
                            <a:ext cx="9525" cy="1400175"/>
                          </a:xfrm>
                          <a:prstGeom prst="straightConnector1">
                            <a:avLst/>
                          </a:prstGeom>
                          <a:noFill/>
                          <a:ln w="6350" cap="flat" cmpd="sng" algn="ctr">
                            <a:solidFill>
                              <a:srgbClr val="66FF33"/>
                            </a:solidFill>
                            <a:prstDash val="solid"/>
                            <a:miter lim="800000"/>
                            <a:tailEnd type="triangle"/>
                          </a:ln>
                          <a:effectLst/>
                        </wps:spPr>
                        <wps:bodyPr/>
                      </wps:wsp>
                    </wpg:wgp>
                  </a:graphicData>
                </a:graphic>
              </wp:anchor>
            </w:drawing>
          </mc:Choice>
          <mc:Fallback>
            <w:pict>
              <v:group id="_x0000_s1026" o:spid="_x0000_s1026" o:spt="203" style="position:absolute;left:0pt;margin-left:109.65pt;margin-top:80.2pt;height:116.6pt;width:127.75pt;z-index:251667456;mso-width-relative:page;mso-height-relative:page;" coordorigin="-1248406,-40629" coordsize="1622155,1480560" o:gfxdata="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">
                <o:lock v:ext="edit" aspectratio="f"/>
                <v:shape id="_x0000_s1026" o:spid="_x0000_s1026" o:spt="3" type="#_x0000_t3" style="position:absolute;left:-41429;top:322346;height:66675;width:45719;v-text-anchor:middle;" fillcolor="#000000" filled="t" stroked="t" coordsize="21600,21600" o:gfxdata="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RuE0+twAAANwAAAAP&#10;AAAAAAAAAAEAIAAAACIAAABkcnMvZG93bnJldi54bWxQSwECFAAUAAAACACHTuJAMy8FnjsAAAA5&#10;AAAAEAAAAAAAAAABACAAAAAGAQAAZHJzL3NoYXBleG1sLnhtbFBLBQYAAAAABgAGAFsBAACwAwAA&#10;AAA=&#10;">
                  <v:fill on="t" focussize="0,0"/>
                  <v:stroke weight="1pt" color="#000000" miterlimit="8" joinstyle="miter"/>
                  <v:imagedata o:title=""/>
                  <o:lock v:ext="edit" aspectratio="f"/>
                </v:shape>
                <v:rect id="_x0000_s1026" o:spid="_x0000_s1026" o:spt="1" style="position:absolute;left:-369201;top:-40629;height:621665;width:742950;v-text-anchor:middle;" filled="f" stroked="f" coordsize="21600,21600" o:gfxdata="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3wZ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0BF49C91">
                        <w:pPr>
                          <w:jc w:val="center"/>
                          <w:rPr>
                            <w:b/>
                            <w:color w:val="000000"/>
                            <w:sz w:val="11"/>
                            <w:szCs w:val="11"/>
                          </w:rPr>
                        </w:pPr>
                        <w:r>
                          <w:rPr>
                            <w:rFonts w:hint="eastAsia"/>
                            <w:b/>
                            <w:color w:val="000000"/>
                            <w:sz w:val="11"/>
                            <w:szCs w:val="11"/>
                          </w:rPr>
                          <w:t>污染</w:t>
                        </w:r>
                        <w:r>
                          <w:rPr>
                            <w:b/>
                            <w:color w:val="000000"/>
                            <w:sz w:val="11"/>
                            <w:szCs w:val="11"/>
                          </w:rPr>
                          <w:t>源点</w:t>
                        </w:r>
                      </w:p>
                    </w:txbxContent>
                  </v:textbox>
                </v:rect>
                <v:rect id="_x0000_s1026" o:spid="_x0000_s1026" o:spt="1" style="position:absolute;left:-1248406;top:77774;height:1214120;width:874961;v-text-anchor:middle;" filled="f" stroked="f" coordsize="21600,21600" o:gfxdata="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zeJu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42272FBB">
                        <w:pPr>
                          <w:jc w:val="center"/>
                          <w:rPr>
                            <w:color w:val="000000"/>
                          </w:rPr>
                        </w:pPr>
                        <w:r>
                          <w:rPr>
                            <w:rFonts w:hint="eastAsia"/>
                            <w:color w:val="000000"/>
                          </w:rPr>
                          <w:t>地</w:t>
                        </w:r>
                      </w:p>
                      <w:p w14:paraId="745EF697">
                        <w:pPr>
                          <w:jc w:val="center"/>
                          <w:rPr>
                            <w:color w:val="000000"/>
                          </w:rPr>
                        </w:pPr>
                        <w:r>
                          <w:rPr>
                            <w:rFonts w:hint="eastAsia"/>
                            <w:color w:val="000000"/>
                          </w:rPr>
                          <w:t>下</w:t>
                        </w:r>
                      </w:p>
                      <w:p w14:paraId="7A270101">
                        <w:pPr>
                          <w:jc w:val="center"/>
                          <w:rPr>
                            <w:color w:val="000000"/>
                          </w:rPr>
                        </w:pPr>
                        <w:r>
                          <w:rPr>
                            <w:rFonts w:hint="eastAsia"/>
                            <w:color w:val="000000"/>
                          </w:rPr>
                          <w:t>水</w:t>
                        </w:r>
                      </w:p>
                      <w:p w14:paraId="455E70D5">
                        <w:pPr>
                          <w:jc w:val="center"/>
                          <w:rPr>
                            <w:color w:val="000000"/>
                          </w:rPr>
                        </w:pPr>
                        <w:r>
                          <w:rPr>
                            <w:color w:val="000000"/>
                          </w:rPr>
                          <w:t>流</w:t>
                        </w:r>
                      </w:p>
                      <w:p w14:paraId="531B83C1">
                        <w:pPr>
                          <w:jc w:val="center"/>
                          <w:rPr>
                            <w:color w:val="000000"/>
                          </w:rPr>
                        </w:pPr>
                        <w:r>
                          <w:rPr>
                            <w:color w:val="000000"/>
                          </w:rPr>
                          <w:t>向</w:t>
                        </w:r>
                      </w:p>
                    </w:txbxContent>
                  </v:textbox>
                </v:rect>
                <v:shape id="_x0000_s1026" o:spid="_x0000_s1026" o:spt="32" type="#_x0000_t32" style="position:absolute;left:-941484;top:39756;height:1400175;width:9525;" filled="f" stroked="t" coordsize="21600,21600" o:gfxdata="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hmvOvQAA&#10;ANwAAAAPAAAAAAAAAAEAIAAAACIAAABkcnMvZG93bnJldi54bWxQSwECFAAUAAAACACHTuJAMy8F&#10;njsAAAA5AAAAEAAAAAAAAAABACAAAAAMAQAAZHJzL3NoYXBleG1sLnhtbFBLBQYAAAAABgAGAFsB&#10;AAC2AwAAAAA=&#10;">
                  <v:fill on="f" focussize="0,0"/>
                  <v:stroke weight="0.5pt" color="#66FF33" miterlimit="8" joinstyle="miter" endarrow="block"/>
                  <v:imagedata o:title=""/>
                  <o:lock v:ext="edit" aspectratio="f"/>
                </v:shape>
              </v:group>
            </w:pict>
          </mc:Fallback>
        </mc:AlternateContent>
      </w:r>
      <w:r>
        <w:rPr>
          <w:rFonts w:ascii="Times New Roman" w:hAnsi="Times New Roman" w:cs="Times New Roman"/>
          <w:color w:val="000000" w:themeColor="text1"/>
          <w:w w:val="99"/>
          <w:sz w:val="24"/>
          <w:szCs w:val="24"/>
          <w:lang w:val="en-US" w:bidi="ar-SA"/>
          <w14:textFill>
            <w14:solidFill>
              <w14:schemeClr w14:val="tx1"/>
            </w14:solidFill>
          </w14:textFill>
        </w:rPr>
        <w:drawing>
          <wp:inline distT="0" distB="0" distL="0" distR="0">
            <wp:extent cx="2065020" cy="3412490"/>
            <wp:effectExtent l="0" t="0" r="0" b="0"/>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6"/>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a:xfrm>
                      <a:off x="0" y="0"/>
                      <a:ext cx="2075607" cy="3429265"/>
                    </a:xfrm>
                    <a:prstGeom prst="rect">
                      <a:avLst/>
                    </a:prstGeom>
                    <a:noFill/>
                    <a:ln>
                      <a:noFill/>
                    </a:ln>
                    <a:effectLst/>
                  </pic:spPr>
                </pic:pic>
              </a:graphicData>
            </a:graphic>
          </wp:inline>
        </w:drawing>
      </w:r>
    </w:p>
    <w:p w14:paraId="411D6C76">
      <w:pPr>
        <w:widowControl/>
        <w:autoSpaceDE/>
        <w:autoSpaceDN/>
        <w:spacing w:line="440" w:lineRule="exact"/>
        <w:jc w:val="center"/>
        <w:rPr>
          <w:rFonts w:ascii="Times New Roman" w:hAnsi="Times New Roman" w:cs="Times New Roman"/>
          <w:b/>
          <w:color w:val="000000" w:themeColor="text1"/>
          <w:w w:val="99"/>
          <w:kern w:val="2"/>
          <w:sz w:val="24"/>
          <w:szCs w:val="24"/>
          <w:lang w:val="en-US" w:bidi="ar-SA"/>
          <w14:textFill>
            <w14:solidFill>
              <w14:schemeClr w14:val="tx1"/>
            </w14:solidFill>
          </w14:textFill>
        </w:rPr>
      </w:pPr>
      <w:r>
        <w:rPr>
          <w:rFonts w:ascii="Times New Roman" w:hAnsi="Times New Roman" w:cs="Times New Roman"/>
          <w:b/>
          <w:color w:val="000000" w:themeColor="text1"/>
          <w:w w:val="99"/>
          <w:kern w:val="2"/>
          <w:sz w:val="24"/>
          <w:szCs w:val="24"/>
          <w:lang w:val="en-US" w:bidi="ar-SA"/>
          <w14:textFill>
            <w14:solidFill>
              <w14:schemeClr w14:val="tx1"/>
            </w14:solidFill>
          </w14:textFill>
        </w:rPr>
        <w:t>图5.3-3    集油管道泄漏后5000天污染物浓度分布图</w:t>
      </w:r>
    </w:p>
    <w:p w14:paraId="1EF8DDE0">
      <w:pPr>
        <w:pStyle w:val="31"/>
        <w:spacing w:line="440" w:lineRule="exact"/>
        <w:ind w:firstLine="474" w:firstLineChars="200"/>
        <w:jc w:val="both"/>
        <w:rPr>
          <w:rFonts w:ascii="Times New Roman" w:hAnsi="Times New Roman" w:cs="Times New Roman" w:eastAsiaTheme="minorEastAsia"/>
          <w:color w:val="000000" w:themeColor="text1"/>
          <w:spacing w:val="-9"/>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0"/>
          <w14:textFill>
            <w14:solidFill>
              <w14:schemeClr w14:val="tx1"/>
            </w14:solidFill>
          </w14:textFill>
        </w:rPr>
        <w:t>由预测结果可知，随着时间增加，污染范围有所增加，集油管道泄漏100d后，下游最大浓度为：301.97mg/L，超标距离最远为28.7m，影响距离最远为下游30.7m；集油管道泄漏1000d后，下游最大浓度为：30.2mg/L，超标距离最远为89m，影响距离最远为下游98m；集油管道泄漏5000d后，下游最大浓度为：6.04mg/L，超标距离最远为224m，影响距离最远为下游246m。</w:t>
      </w:r>
      <w:r>
        <w:rPr>
          <w:rFonts w:ascii="Times New Roman" w:hAnsi="Times New Roman" w:cs="Times New Roman" w:eastAsiaTheme="minorEastAsia"/>
          <w:bCs/>
          <w:color w:val="000000" w:themeColor="text1"/>
          <w:w w:val="99"/>
          <w:sz w:val="24"/>
          <w:szCs w:val="20"/>
          <w14:textFill>
            <w14:solidFill>
              <w14:schemeClr w14:val="tx1"/>
            </w14:solidFill>
          </w14:textFill>
        </w:rPr>
        <w:t>距本项目最近潜水水井为</w:t>
      </w:r>
      <w:r>
        <w:rPr>
          <w:rFonts w:ascii="Times New Roman" w:hAnsi="Times New Roman" w:cs="Times New Roman" w:eastAsiaTheme="minorEastAsia"/>
          <w:bCs/>
          <w:color w:val="000000" w:themeColor="text1"/>
          <w:w w:val="99"/>
          <w:sz w:val="24"/>
          <w:szCs w:val="20"/>
          <w:lang w:val="en-US"/>
          <w14:textFill>
            <w14:solidFill>
              <w14:schemeClr w14:val="tx1"/>
            </w14:solidFill>
          </w14:textFill>
        </w:rPr>
        <w:t>龙27-斜6拉油点至新建混输阀组间集油管道南侧70m的杏树岗村潜</w:t>
      </w:r>
      <w:r>
        <w:rPr>
          <w:rFonts w:ascii="Times New Roman" w:hAnsi="Times New Roman" w:cs="Times New Roman" w:eastAsiaTheme="minorEastAsia"/>
          <w:bCs/>
          <w:color w:val="000000" w:themeColor="text1"/>
          <w:w w:val="99"/>
          <w:sz w:val="24"/>
          <w:szCs w:val="20"/>
          <w14:textFill>
            <w14:solidFill>
              <w14:schemeClr w14:val="tx1"/>
            </w14:solidFill>
          </w14:textFill>
        </w:rPr>
        <w:t>水井，</w:t>
      </w:r>
      <w:r>
        <w:rPr>
          <w:rFonts w:ascii="Times New Roman" w:hAnsi="Times New Roman" w:cs="Times New Roman" w:eastAsiaTheme="minorEastAsia"/>
          <w:color w:val="000000" w:themeColor="text1"/>
          <w:w w:val="99"/>
          <w:sz w:val="24"/>
          <w:szCs w:val="20"/>
          <w14:textFill>
            <w14:solidFill>
              <w14:schemeClr w14:val="tx1"/>
            </w14:solidFill>
          </w14:textFill>
        </w:rPr>
        <w:t>该水井用于灌溉，集油管线泄漏1000d至5000d后，都会对其产生污染影响。为避免管线泄漏对潜水的影响，应采取措施避免管线泄漏，如采用防腐无缝钢管，运行期定期巡线检查等措施，巡线过程中若发现管线泄漏，应及时关闭截断阀，并</w:t>
      </w:r>
      <w:r>
        <w:rPr>
          <w:rFonts w:ascii="Times New Roman" w:hAnsi="Times New Roman" w:cs="Times New Roman" w:eastAsiaTheme="minorEastAsia"/>
          <w:bCs/>
          <w:color w:val="000000" w:themeColor="text1"/>
          <w:w w:val="99"/>
          <w:sz w:val="24"/>
          <w:szCs w:val="20"/>
          <w14:textFill>
            <w14:solidFill>
              <w14:schemeClr w14:val="tx1"/>
            </w14:solidFill>
          </w14:textFill>
        </w:rPr>
        <w:t>在泄漏点周围修筑围堤，控制油水扩散范围</w:t>
      </w:r>
      <w:r>
        <w:rPr>
          <w:rFonts w:ascii="Times New Roman" w:hAnsi="Times New Roman" w:cs="Times New Roman" w:eastAsiaTheme="minorEastAsia"/>
          <w:color w:val="000000" w:themeColor="text1"/>
          <w:w w:val="99"/>
          <w:sz w:val="24"/>
          <w:szCs w:val="20"/>
          <w14:textFill>
            <w14:solidFill>
              <w14:schemeClr w14:val="tx1"/>
            </w14:solidFill>
          </w14:textFill>
        </w:rPr>
        <w:t>，并对泄漏的管线进行更换，更换完成后及时清理被污染的土壤，并</w:t>
      </w:r>
      <w:r>
        <w:rPr>
          <w:rFonts w:hint="eastAsia" w:ascii="Times New Roman" w:hAnsi="Times New Roman" w:cs="Times New Roman" w:eastAsiaTheme="minorEastAsia"/>
          <w:bCs/>
          <w:color w:val="000000" w:themeColor="text1"/>
          <w:w w:val="99"/>
          <w:sz w:val="24"/>
          <w:szCs w:val="20"/>
          <w:lang w:val="en-US" w:eastAsia="zh-CN"/>
          <w14:textFill>
            <w14:solidFill>
              <w14:schemeClr w14:val="tx1"/>
            </w14:solidFill>
          </w14:textFill>
        </w:rPr>
        <w:t>第五采油厂</w:t>
      </w:r>
      <w:r>
        <w:rPr>
          <w:rFonts w:ascii="Times New Roman" w:hAnsi="Times New Roman" w:cs="Times New Roman" w:eastAsiaTheme="minorEastAsia"/>
          <w:bCs/>
          <w:color w:val="000000" w:themeColor="text1"/>
          <w:w w:val="99"/>
          <w:sz w:val="24"/>
          <w:szCs w:val="20"/>
          <w:lang w:val="en-US"/>
          <w14:textFill>
            <w14:solidFill>
              <w14:schemeClr w14:val="tx1"/>
            </w14:solidFill>
          </w14:textFill>
        </w:rPr>
        <w:t>含油污泥处理站处理满足《油田含油污泥处置与利用污染控制要求》（DB23/T 3104-2022）表1中</w:t>
      </w:r>
      <w:r>
        <w:rPr>
          <w:rFonts w:ascii="Times New Roman" w:hAnsi="Times New Roman" w:cs="Times New Roman" w:eastAsiaTheme="minorEastAsia"/>
          <w:bCs/>
          <w:color w:val="000000" w:themeColor="text1"/>
          <w:w w:val="99"/>
          <w:sz w:val="24"/>
          <w:szCs w:val="20"/>
          <w14:textFill>
            <w14:solidFill>
              <w14:schemeClr w14:val="tx1"/>
            </w14:solidFill>
          </w14:textFill>
        </w:rPr>
        <w:t>油田含油污泥经处置后泥渣利用污染物控制限值后用作油田垫井场和通井路</w:t>
      </w:r>
      <w:r>
        <w:rPr>
          <w:rFonts w:ascii="Times New Roman" w:hAnsi="Times New Roman" w:cs="Times New Roman" w:eastAsiaTheme="minorEastAsia"/>
          <w:bCs/>
          <w:color w:val="000000" w:themeColor="text1"/>
          <w:w w:val="99"/>
          <w:sz w:val="24"/>
          <w:szCs w:val="20"/>
          <w:lang w:val="en-US"/>
          <w14:textFill>
            <w14:solidFill>
              <w14:schemeClr w14:val="tx1"/>
            </w14:solidFill>
          </w14:textFill>
        </w:rPr>
        <w:t>。</w:t>
      </w:r>
    </w:p>
    <w:p w14:paraId="1B801C04">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491" w:name="_Toc117794597"/>
      <w:r>
        <w:rPr>
          <w:rFonts w:ascii="Times New Roman" w:hAnsi="Times New Roman" w:cs="Times New Roman" w:eastAsiaTheme="minorEastAsia"/>
          <w:color w:val="000000" w:themeColor="text1"/>
          <w:w w:val="99"/>
          <w:kern w:val="2"/>
          <w:lang w:val="en-US" w:bidi="ar-SA"/>
          <w14:textFill>
            <w14:solidFill>
              <w14:schemeClr w14:val="tx1"/>
            </w14:solidFill>
          </w14:textFill>
        </w:rPr>
        <w:t>5.3.3评价结论</w:t>
      </w:r>
      <w:bookmarkEnd w:id="491"/>
    </w:p>
    <w:p w14:paraId="1CBF7A94">
      <w:pPr>
        <w:spacing w:line="440" w:lineRule="exact"/>
        <w:ind w:firstLine="438" w:firstLineChars="200"/>
        <w:rPr>
          <w:rFonts w:ascii="Times New Roman" w:hAnsi="Times New Roman" w:cs="Times New Roman" w:eastAsiaTheme="minorEastAsia"/>
          <w:bCs/>
          <w:color w:val="000000" w:themeColor="text1"/>
          <w:spacing w:val="-9"/>
          <w:w w:val="99"/>
          <w:sz w:val="24"/>
          <w:szCs w:val="24"/>
          <w:lang w:val="en-US"/>
          <w14:textFill>
            <w14:solidFill>
              <w14:schemeClr w14:val="tx1"/>
            </w14:solidFill>
          </w14:textFill>
        </w:rPr>
      </w:pPr>
      <w:r>
        <w:rPr>
          <w:rFonts w:ascii="Times New Roman" w:hAnsi="Times New Roman" w:cs="Times New Roman" w:eastAsiaTheme="minorEastAsia"/>
          <w:bCs/>
          <w:color w:val="000000" w:themeColor="text1"/>
          <w:spacing w:val="-9"/>
          <w:w w:val="99"/>
          <w:sz w:val="24"/>
          <w:szCs w:val="24"/>
          <w:lang w:val="en-US"/>
          <w14:textFill>
            <w14:solidFill>
              <w14:schemeClr w14:val="tx1"/>
            </w14:solidFill>
          </w14:textFill>
        </w:rPr>
        <w:t>本工程在正常且各项环境保护措施落实到位情况下对地下水环境无影响，在非正常情况下可能对地下水环境造成影响，但在各项地下水污染防控措施及应急措施落实到位的情况下，地下水环境影响可接受。</w:t>
      </w:r>
    </w:p>
    <w:p w14:paraId="78CE5149">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492" w:name="_Toc117794598"/>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5.4声环境影响分析</w:t>
      </w:r>
      <w:bookmarkEnd w:id="492"/>
    </w:p>
    <w:p w14:paraId="467C37C0">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493" w:name="_Toc117794599"/>
      <w:r>
        <w:rPr>
          <w:rFonts w:ascii="Times New Roman" w:hAnsi="Times New Roman" w:cs="Times New Roman" w:eastAsiaTheme="minorEastAsia"/>
          <w:color w:val="000000" w:themeColor="text1"/>
          <w:w w:val="99"/>
          <w:kern w:val="2"/>
          <w:lang w:val="en-US" w:bidi="ar-SA"/>
          <w14:textFill>
            <w14:solidFill>
              <w14:schemeClr w14:val="tx1"/>
            </w14:solidFill>
          </w14:textFill>
        </w:rPr>
        <w:t>5.4.1施工期</w:t>
      </w:r>
      <w:bookmarkEnd w:id="493"/>
    </w:p>
    <w:p w14:paraId="30385066">
      <w:pPr>
        <w:spacing w:line="440" w:lineRule="exact"/>
        <w:ind w:firstLine="438" w:firstLineChars="200"/>
        <w:jc w:val="both"/>
        <w:rPr>
          <w:rFonts w:ascii="Times New Roman" w:hAnsi="Times New Roman" w:cs="Times New Roman" w:eastAsiaTheme="minorEastAsia"/>
          <w:bCs/>
          <w:color w:val="000000" w:themeColor="text1"/>
          <w:spacing w:val="-9"/>
          <w:w w:val="99"/>
          <w:sz w:val="24"/>
          <w:szCs w:val="24"/>
          <w:lang w:val="en-US"/>
          <w14:textFill>
            <w14:solidFill>
              <w14:schemeClr w14:val="tx1"/>
            </w14:solidFill>
          </w14:textFill>
        </w:rPr>
      </w:pPr>
      <w:r>
        <w:rPr>
          <w:rFonts w:ascii="Times New Roman" w:hAnsi="Times New Roman" w:cs="Times New Roman" w:eastAsiaTheme="minorEastAsia"/>
          <w:bCs/>
          <w:color w:val="000000" w:themeColor="text1"/>
          <w:spacing w:val="-9"/>
          <w:w w:val="99"/>
          <w:sz w:val="24"/>
          <w:szCs w:val="24"/>
          <w:lang w:val="en-US"/>
          <w14:textFill>
            <w14:solidFill>
              <w14:schemeClr w14:val="tx1"/>
            </w14:solidFill>
          </w14:textFill>
        </w:rPr>
        <w:t>本工程施工期噪声源</w:t>
      </w:r>
      <w:r>
        <w:rPr>
          <w:rFonts w:ascii="Times New Roman" w:hAnsi="Times New Roman" w:cs="Times New Roman" w:eastAsiaTheme="minorEastAsia"/>
          <w:snapToGrid w:val="0"/>
          <w:color w:val="000000" w:themeColor="text1"/>
          <w:w w:val="99"/>
          <w:sz w:val="24"/>
          <w14:textFill>
            <w14:solidFill>
              <w14:schemeClr w14:val="tx1"/>
            </w14:solidFill>
          </w14:textFill>
        </w:rPr>
        <w:t>包括挖掘机、吊管机、推土机等设备噪声及运输车辆的交通噪声，</w:t>
      </w:r>
      <w:r>
        <w:rPr>
          <w:rFonts w:ascii="Times New Roman" w:hAnsi="Times New Roman" w:cs="Times New Roman" w:eastAsiaTheme="minorEastAsia"/>
          <w:color w:val="000000" w:themeColor="text1"/>
          <w:w w:val="99"/>
          <w:sz w:val="24"/>
          <w14:textFill>
            <w14:solidFill>
              <w14:schemeClr w14:val="tx1"/>
            </w14:solidFill>
          </w14:textFill>
        </w:rPr>
        <w:t>参照《环境噪声与振动控制工程技术导则》（HJ2034-2013）中表A.2常见施工设备噪声源不同距离声压级，噪声源强为</w:t>
      </w:r>
      <w:r>
        <w:rPr>
          <w:rFonts w:ascii="Times New Roman" w:hAnsi="Times New Roman" w:cs="Times New Roman" w:eastAsiaTheme="minorEastAsia"/>
          <w:bCs/>
          <w:color w:val="000000" w:themeColor="text1"/>
          <w:spacing w:val="-9"/>
          <w:w w:val="99"/>
          <w:sz w:val="24"/>
          <w:szCs w:val="24"/>
          <w:lang w:val="en-US"/>
          <w14:textFill>
            <w14:solidFill>
              <w14:schemeClr w14:val="tx1"/>
            </w14:solidFill>
          </w14:textFill>
        </w:rPr>
        <w:t>60-104dB(A)。</w:t>
      </w:r>
    </w:p>
    <w:p w14:paraId="191D6CC9">
      <w:pPr>
        <w:spacing w:line="440" w:lineRule="exact"/>
        <w:ind w:firstLine="438" w:firstLineChars="200"/>
        <w:jc w:val="both"/>
        <w:rPr>
          <w:rFonts w:ascii="Times New Roman" w:hAnsi="Times New Roman" w:cs="Times New Roman" w:eastAsiaTheme="minorEastAsia"/>
          <w:bCs/>
          <w:color w:val="000000" w:themeColor="text1"/>
          <w:spacing w:val="-9"/>
          <w:w w:val="99"/>
          <w:sz w:val="24"/>
          <w:szCs w:val="24"/>
          <w:lang w:val="en-US"/>
          <w14:textFill>
            <w14:solidFill>
              <w14:schemeClr w14:val="tx1"/>
            </w14:solidFill>
          </w14:textFill>
        </w:rPr>
      </w:pPr>
      <w:r>
        <w:rPr>
          <w:rFonts w:ascii="Times New Roman" w:hAnsi="Times New Roman" w:cs="Times New Roman" w:eastAsiaTheme="minorEastAsia"/>
          <w:bCs/>
          <w:color w:val="000000" w:themeColor="text1"/>
          <w:spacing w:val="-9"/>
          <w:w w:val="99"/>
          <w:sz w:val="24"/>
          <w:szCs w:val="24"/>
          <w:lang w:val="en-US"/>
          <w14:textFill>
            <w14:solidFill>
              <w14:schemeClr w14:val="tx1"/>
            </w14:solidFill>
          </w14:textFill>
        </w:rPr>
        <w:t>施工噪声可近似视为点声源处理，其衰减模式如下：</w:t>
      </w:r>
    </w:p>
    <w:p w14:paraId="18E32CFE">
      <w:pPr>
        <w:spacing w:line="440" w:lineRule="exact"/>
        <w:jc w:val="center"/>
        <w:rPr>
          <w:rFonts w:ascii="Times New Roman" w:hAnsi="Times New Roman" w:cs="Times New Roman" w:eastAsiaTheme="minorEastAsia"/>
          <w:bCs/>
          <w:color w:val="000000" w:themeColor="text1"/>
          <w:spacing w:val="-9"/>
          <w:w w:val="99"/>
          <w:sz w:val="24"/>
          <w:szCs w:val="24"/>
          <w:lang w:val="en-US"/>
          <w14:textFill>
            <w14:solidFill>
              <w14:schemeClr w14:val="tx1"/>
            </w14:solidFill>
          </w14:textFill>
        </w:rPr>
      </w:pPr>
      <w:bookmarkStart w:id="494" w:name="_bookmark44"/>
      <w:bookmarkEnd w:id="494"/>
      <w:r>
        <w:rPr>
          <w:rFonts w:ascii="Times New Roman" w:hAnsi="Times New Roman" w:cs="Times New Roman" w:eastAsiaTheme="minorEastAsia"/>
          <w:bCs/>
          <w:color w:val="000000" w:themeColor="text1"/>
          <w:spacing w:val="-9"/>
          <w:w w:val="99"/>
          <w:sz w:val="24"/>
          <w:szCs w:val="24"/>
          <w:lang w:val="en-US"/>
          <w14:textFill>
            <w14:solidFill>
              <w14:schemeClr w14:val="tx1"/>
            </w14:solidFill>
          </w14:textFill>
        </w:rPr>
        <w:t>Lp=Lpo－20lg(r/ro)</w:t>
      </w:r>
    </w:p>
    <w:p w14:paraId="5E41DB2C">
      <w:pPr>
        <w:spacing w:line="440" w:lineRule="exact"/>
        <w:ind w:firstLine="438" w:firstLineChars="200"/>
        <w:jc w:val="both"/>
        <w:rPr>
          <w:rFonts w:ascii="Times New Roman" w:hAnsi="Times New Roman" w:cs="Times New Roman" w:eastAsiaTheme="minorEastAsia"/>
          <w:bCs/>
          <w:color w:val="000000" w:themeColor="text1"/>
          <w:spacing w:val="-9"/>
          <w:w w:val="99"/>
          <w:sz w:val="24"/>
          <w:szCs w:val="24"/>
          <w:lang w:val="en-US"/>
          <w14:textFill>
            <w14:solidFill>
              <w14:schemeClr w14:val="tx1"/>
            </w14:solidFill>
          </w14:textFill>
        </w:rPr>
      </w:pPr>
      <w:r>
        <w:rPr>
          <w:rFonts w:ascii="Times New Roman" w:hAnsi="Times New Roman" w:cs="Times New Roman" w:eastAsiaTheme="minorEastAsia"/>
          <w:bCs/>
          <w:color w:val="000000" w:themeColor="text1"/>
          <w:spacing w:val="-9"/>
          <w:w w:val="99"/>
          <w:sz w:val="24"/>
          <w:szCs w:val="24"/>
          <w:lang w:val="en-US"/>
          <w14:textFill>
            <w14:solidFill>
              <w14:schemeClr w14:val="tx1"/>
            </w14:solidFill>
          </w14:textFill>
        </w:rPr>
        <w:t>式中：Lp——距声源r米处的施工噪声预测值，dB(A)；</w:t>
      </w:r>
    </w:p>
    <w:p w14:paraId="1F820B17">
      <w:pPr>
        <w:spacing w:line="440" w:lineRule="exact"/>
        <w:ind w:firstLine="1095" w:firstLineChars="500"/>
        <w:jc w:val="both"/>
        <w:rPr>
          <w:rFonts w:ascii="Times New Roman" w:hAnsi="Times New Roman" w:cs="Times New Roman" w:eastAsiaTheme="minorEastAsia"/>
          <w:bCs/>
          <w:color w:val="000000" w:themeColor="text1"/>
          <w:spacing w:val="-9"/>
          <w:w w:val="99"/>
          <w:sz w:val="24"/>
          <w:szCs w:val="24"/>
          <w:lang w:val="en-US"/>
          <w14:textFill>
            <w14:solidFill>
              <w14:schemeClr w14:val="tx1"/>
            </w14:solidFill>
          </w14:textFill>
        </w:rPr>
      </w:pPr>
      <w:r>
        <w:rPr>
          <w:rFonts w:ascii="Times New Roman" w:hAnsi="Times New Roman" w:cs="Times New Roman" w:eastAsiaTheme="minorEastAsia"/>
          <w:bCs/>
          <w:color w:val="000000" w:themeColor="text1"/>
          <w:spacing w:val="-9"/>
          <w:w w:val="99"/>
          <w:sz w:val="24"/>
          <w:szCs w:val="24"/>
          <w:lang w:val="en-US"/>
          <w14:textFill>
            <w14:solidFill>
              <w14:schemeClr w14:val="tx1"/>
            </w14:solidFill>
          </w14:textFill>
        </w:rPr>
        <w:t>Lpo——距声源ro米处的参考声级，dB(A)；</w:t>
      </w:r>
    </w:p>
    <w:p w14:paraId="5AF03E9B">
      <w:pPr>
        <w:spacing w:line="440" w:lineRule="exact"/>
        <w:ind w:firstLine="1095" w:firstLineChars="500"/>
        <w:jc w:val="both"/>
        <w:rPr>
          <w:rFonts w:ascii="Times New Roman" w:hAnsi="Times New Roman" w:cs="Times New Roman" w:eastAsiaTheme="minorEastAsia"/>
          <w:bCs/>
          <w:color w:val="000000" w:themeColor="text1"/>
          <w:spacing w:val="-9"/>
          <w:w w:val="99"/>
          <w:sz w:val="24"/>
          <w:szCs w:val="24"/>
          <w:lang w:val="en-US"/>
          <w14:textFill>
            <w14:solidFill>
              <w14:schemeClr w14:val="tx1"/>
            </w14:solidFill>
          </w14:textFill>
        </w:rPr>
      </w:pPr>
      <w:r>
        <w:rPr>
          <w:rFonts w:ascii="Times New Roman" w:hAnsi="Times New Roman" w:cs="Times New Roman" w:eastAsiaTheme="minorEastAsia"/>
          <w:bCs/>
          <w:color w:val="000000" w:themeColor="text1"/>
          <w:spacing w:val="-9"/>
          <w:w w:val="99"/>
          <w:sz w:val="24"/>
          <w:szCs w:val="24"/>
          <w:lang w:val="en-US"/>
          <w14:textFill>
            <w14:solidFill>
              <w14:schemeClr w14:val="tx1"/>
            </w14:solidFill>
          </w14:textFill>
        </w:rPr>
        <w:t>ro——Lpo噪声的测点距离，m。</w:t>
      </w:r>
    </w:p>
    <w:p w14:paraId="4D9EA490">
      <w:pPr>
        <w:spacing w:line="440" w:lineRule="exact"/>
        <w:ind w:firstLine="438" w:firstLineChars="200"/>
        <w:jc w:val="both"/>
        <w:rPr>
          <w:rFonts w:ascii="Times New Roman" w:hAnsi="Times New Roman" w:cs="Times New Roman" w:eastAsiaTheme="minorEastAsia"/>
          <w:bCs/>
          <w:color w:val="000000" w:themeColor="text1"/>
          <w:spacing w:val="-9"/>
          <w:w w:val="99"/>
          <w:sz w:val="24"/>
          <w:szCs w:val="24"/>
          <w:lang w:val="en-US"/>
          <w14:textFill>
            <w14:solidFill>
              <w14:schemeClr w14:val="tx1"/>
            </w14:solidFill>
          </w14:textFill>
        </w:rPr>
      </w:pPr>
      <w:r>
        <w:rPr>
          <w:rFonts w:ascii="Times New Roman" w:hAnsi="Times New Roman" w:cs="Times New Roman" w:eastAsiaTheme="minorEastAsia"/>
          <w:bCs/>
          <w:color w:val="000000" w:themeColor="text1"/>
          <w:spacing w:val="-9"/>
          <w:w w:val="99"/>
          <w:sz w:val="24"/>
          <w:szCs w:val="24"/>
          <w:lang w:val="en-US"/>
          <w14:textFill>
            <w14:solidFill>
              <w14:schemeClr w14:val="tx1"/>
            </w14:solidFill>
          </w14:textFill>
        </w:rPr>
        <w:t>类比同类机械噪声源在不考虑任何声屏障情况下，各声源在某一时刻的传播可以按点声源分析其影响范围和影响程度，设备噪声随距离衰减值见表5.4-1。</w:t>
      </w:r>
    </w:p>
    <w:p w14:paraId="5A1C0380">
      <w:pPr>
        <w:spacing w:line="440" w:lineRule="exact"/>
        <w:ind w:firstLine="440" w:firstLineChars="200"/>
        <w:jc w:val="both"/>
        <w:rPr>
          <w:rFonts w:ascii="Times New Roman" w:hAnsi="Times New Roman" w:cs="Times New Roman" w:eastAsiaTheme="minorEastAsia"/>
          <w:b/>
          <w:color w:val="000000" w:themeColor="text1"/>
          <w:spacing w:val="-9"/>
          <w:w w:val="99"/>
          <w:sz w:val="24"/>
          <w:szCs w:val="24"/>
          <w:lang w:val="en-US"/>
          <w14:textFill>
            <w14:solidFill>
              <w14:schemeClr w14:val="tx1"/>
            </w14:solidFill>
          </w14:textFill>
        </w:rPr>
      </w:pPr>
      <w:r>
        <w:rPr>
          <w:rFonts w:ascii="Times New Roman" w:hAnsi="Times New Roman" w:cs="Times New Roman" w:eastAsiaTheme="minorEastAsia"/>
          <w:b/>
          <w:color w:val="000000" w:themeColor="text1"/>
          <w:spacing w:val="-9"/>
          <w:w w:val="99"/>
          <w:sz w:val="24"/>
          <w:szCs w:val="24"/>
          <w:lang w:val="en-US"/>
          <w14:textFill>
            <w14:solidFill>
              <w14:schemeClr w14:val="tx1"/>
            </w14:solidFill>
          </w14:textFill>
        </w:rPr>
        <w:t>表5.4-1    施工期施工机械噪声统计表     单位：dB(A)</w:t>
      </w:r>
    </w:p>
    <w:p w14:paraId="7FBF2182">
      <w:pPr>
        <w:spacing w:line="109" w:lineRule="auto"/>
        <w:rPr>
          <w:rFonts w:ascii="Times New Roman" w:hAnsi="Times New Roman" w:cs="Times New Roman" w:eastAsiaTheme="minorEastAsia"/>
          <w:color w:val="000000" w:themeColor="text1"/>
          <w:w w:val="99"/>
          <w:sz w:val="2"/>
          <w14:textFill>
            <w14:solidFill>
              <w14:schemeClr w14:val="tx1"/>
            </w14:solidFill>
          </w14:textFill>
        </w:rPr>
      </w:pP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7"/>
        <w:gridCol w:w="969"/>
        <w:gridCol w:w="901"/>
        <w:gridCol w:w="1031"/>
        <w:gridCol w:w="1031"/>
        <w:gridCol w:w="1031"/>
        <w:gridCol w:w="1163"/>
        <w:gridCol w:w="1163"/>
      </w:tblGrid>
      <w:tr w14:paraId="5F8A3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76" w:type="pct"/>
            <w:vMerge w:val="restart"/>
            <w:vAlign w:val="center"/>
          </w:tcPr>
          <w:p w14:paraId="3869CAC5">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机械名称</w:t>
            </w:r>
          </w:p>
        </w:tc>
        <w:tc>
          <w:tcPr>
            <w:tcW w:w="3924" w:type="pct"/>
            <w:gridSpan w:val="7"/>
          </w:tcPr>
          <w:p w14:paraId="4D94C65A">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离施工点距离不同处的噪声值</w:t>
            </w:r>
          </w:p>
        </w:tc>
      </w:tr>
      <w:tr w14:paraId="14FFA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76" w:type="pct"/>
            <w:vMerge w:val="continue"/>
            <w:vAlign w:val="center"/>
          </w:tcPr>
          <w:p w14:paraId="55297C50">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p>
        </w:tc>
        <w:tc>
          <w:tcPr>
            <w:tcW w:w="522" w:type="pct"/>
            <w:vAlign w:val="center"/>
          </w:tcPr>
          <w:p w14:paraId="3392F004">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10m</w:t>
            </w:r>
          </w:p>
        </w:tc>
        <w:tc>
          <w:tcPr>
            <w:tcW w:w="485" w:type="pct"/>
            <w:vAlign w:val="center"/>
          </w:tcPr>
          <w:p w14:paraId="270E92F6">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50m</w:t>
            </w:r>
          </w:p>
        </w:tc>
        <w:tc>
          <w:tcPr>
            <w:tcW w:w="555" w:type="pct"/>
          </w:tcPr>
          <w:p w14:paraId="38EFF83D">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70</w:t>
            </w:r>
          </w:p>
        </w:tc>
        <w:tc>
          <w:tcPr>
            <w:tcW w:w="555" w:type="pct"/>
            <w:vAlign w:val="center"/>
          </w:tcPr>
          <w:p w14:paraId="7528A21C">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100m</w:t>
            </w:r>
          </w:p>
        </w:tc>
        <w:tc>
          <w:tcPr>
            <w:tcW w:w="555" w:type="pct"/>
            <w:vAlign w:val="center"/>
          </w:tcPr>
          <w:p w14:paraId="32DFF599">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200m</w:t>
            </w:r>
          </w:p>
        </w:tc>
        <w:tc>
          <w:tcPr>
            <w:tcW w:w="626" w:type="pct"/>
            <w:vAlign w:val="center"/>
          </w:tcPr>
          <w:p w14:paraId="54DDB7F0">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300m</w:t>
            </w:r>
          </w:p>
        </w:tc>
        <w:tc>
          <w:tcPr>
            <w:tcW w:w="626" w:type="pct"/>
            <w:vAlign w:val="center"/>
          </w:tcPr>
          <w:p w14:paraId="58E6455B">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400m</w:t>
            </w:r>
          </w:p>
        </w:tc>
      </w:tr>
      <w:tr w14:paraId="34D88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pct"/>
            <w:vAlign w:val="center"/>
          </w:tcPr>
          <w:p w14:paraId="2E85991A">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运输车辆</w:t>
            </w:r>
          </w:p>
        </w:tc>
        <w:tc>
          <w:tcPr>
            <w:tcW w:w="522" w:type="pct"/>
            <w:vAlign w:val="center"/>
          </w:tcPr>
          <w:p w14:paraId="564F4DB1">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86.0</w:t>
            </w:r>
          </w:p>
        </w:tc>
        <w:tc>
          <w:tcPr>
            <w:tcW w:w="485" w:type="pct"/>
            <w:vAlign w:val="center"/>
          </w:tcPr>
          <w:p w14:paraId="3B645193">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72.1</w:t>
            </w:r>
          </w:p>
        </w:tc>
        <w:tc>
          <w:tcPr>
            <w:tcW w:w="555" w:type="pct"/>
          </w:tcPr>
          <w:p w14:paraId="1906EBCB">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67.1</w:t>
            </w:r>
          </w:p>
        </w:tc>
        <w:tc>
          <w:tcPr>
            <w:tcW w:w="555" w:type="pct"/>
            <w:vAlign w:val="center"/>
          </w:tcPr>
          <w:p w14:paraId="129A38D1">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66.0</w:t>
            </w:r>
          </w:p>
        </w:tc>
        <w:tc>
          <w:tcPr>
            <w:tcW w:w="555" w:type="pct"/>
            <w:vAlign w:val="center"/>
          </w:tcPr>
          <w:p w14:paraId="4182572F">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60.0</w:t>
            </w:r>
          </w:p>
        </w:tc>
        <w:tc>
          <w:tcPr>
            <w:tcW w:w="626" w:type="pct"/>
            <w:vAlign w:val="center"/>
          </w:tcPr>
          <w:p w14:paraId="405774D3">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56.5</w:t>
            </w:r>
          </w:p>
        </w:tc>
        <w:tc>
          <w:tcPr>
            <w:tcW w:w="626" w:type="pct"/>
            <w:vAlign w:val="center"/>
          </w:tcPr>
          <w:p w14:paraId="762998D1">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54.0</w:t>
            </w:r>
          </w:p>
        </w:tc>
      </w:tr>
      <w:tr w14:paraId="29421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pct"/>
            <w:vAlign w:val="center"/>
          </w:tcPr>
          <w:p w14:paraId="71912D3C">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推土机</w:t>
            </w:r>
          </w:p>
        </w:tc>
        <w:tc>
          <w:tcPr>
            <w:tcW w:w="522" w:type="pct"/>
            <w:vAlign w:val="center"/>
          </w:tcPr>
          <w:p w14:paraId="69813FFE">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85.0</w:t>
            </w:r>
          </w:p>
        </w:tc>
        <w:tc>
          <w:tcPr>
            <w:tcW w:w="485" w:type="pct"/>
            <w:vAlign w:val="center"/>
          </w:tcPr>
          <w:p w14:paraId="1E80F461">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71.1</w:t>
            </w:r>
          </w:p>
        </w:tc>
        <w:tc>
          <w:tcPr>
            <w:tcW w:w="555" w:type="pct"/>
          </w:tcPr>
          <w:p w14:paraId="7A9FBBD6">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65.1</w:t>
            </w:r>
          </w:p>
        </w:tc>
        <w:tc>
          <w:tcPr>
            <w:tcW w:w="555" w:type="pct"/>
            <w:vAlign w:val="center"/>
          </w:tcPr>
          <w:p w14:paraId="542BDF70">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65.0</w:t>
            </w:r>
          </w:p>
        </w:tc>
        <w:tc>
          <w:tcPr>
            <w:tcW w:w="555" w:type="pct"/>
            <w:vAlign w:val="center"/>
          </w:tcPr>
          <w:p w14:paraId="3227C05A">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59.0</w:t>
            </w:r>
          </w:p>
        </w:tc>
        <w:tc>
          <w:tcPr>
            <w:tcW w:w="626" w:type="pct"/>
            <w:vAlign w:val="center"/>
          </w:tcPr>
          <w:p w14:paraId="3A0B0F6B">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55.5</w:t>
            </w:r>
          </w:p>
        </w:tc>
        <w:tc>
          <w:tcPr>
            <w:tcW w:w="626" w:type="pct"/>
            <w:vAlign w:val="center"/>
          </w:tcPr>
          <w:p w14:paraId="555B43BA">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53.0</w:t>
            </w:r>
          </w:p>
        </w:tc>
      </w:tr>
      <w:tr w14:paraId="7FCA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pct"/>
            <w:vAlign w:val="center"/>
          </w:tcPr>
          <w:p w14:paraId="6798F103">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挖掘机</w:t>
            </w:r>
          </w:p>
        </w:tc>
        <w:tc>
          <w:tcPr>
            <w:tcW w:w="522" w:type="pct"/>
            <w:vAlign w:val="center"/>
          </w:tcPr>
          <w:p w14:paraId="7162E77D">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86.0</w:t>
            </w:r>
          </w:p>
        </w:tc>
        <w:tc>
          <w:tcPr>
            <w:tcW w:w="485" w:type="pct"/>
            <w:vAlign w:val="center"/>
          </w:tcPr>
          <w:p w14:paraId="7A5799B9">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72.1</w:t>
            </w:r>
          </w:p>
        </w:tc>
        <w:tc>
          <w:tcPr>
            <w:tcW w:w="555" w:type="pct"/>
          </w:tcPr>
          <w:p w14:paraId="646C9736">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67.1</w:t>
            </w:r>
          </w:p>
        </w:tc>
        <w:tc>
          <w:tcPr>
            <w:tcW w:w="555" w:type="pct"/>
            <w:vAlign w:val="center"/>
          </w:tcPr>
          <w:p w14:paraId="0DB13D08">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66.0</w:t>
            </w:r>
          </w:p>
        </w:tc>
        <w:tc>
          <w:tcPr>
            <w:tcW w:w="555" w:type="pct"/>
            <w:vAlign w:val="center"/>
          </w:tcPr>
          <w:p w14:paraId="637F01E5">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60.0</w:t>
            </w:r>
          </w:p>
        </w:tc>
        <w:tc>
          <w:tcPr>
            <w:tcW w:w="626" w:type="pct"/>
            <w:vAlign w:val="center"/>
          </w:tcPr>
          <w:p w14:paraId="1A788B8E">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56.5</w:t>
            </w:r>
          </w:p>
        </w:tc>
        <w:tc>
          <w:tcPr>
            <w:tcW w:w="626" w:type="pct"/>
            <w:vAlign w:val="center"/>
          </w:tcPr>
          <w:p w14:paraId="1D8E8681">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54.0</w:t>
            </w:r>
          </w:p>
        </w:tc>
      </w:tr>
      <w:tr w14:paraId="4B74C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pct"/>
            <w:vAlign w:val="center"/>
          </w:tcPr>
          <w:p w14:paraId="1E68DD4A">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吊管机</w:t>
            </w:r>
          </w:p>
        </w:tc>
        <w:tc>
          <w:tcPr>
            <w:tcW w:w="522" w:type="pct"/>
            <w:vAlign w:val="center"/>
          </w:tcPr>
          <w:p w14:paraId="37FE1FA6">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73.0</w:t>
            </w:r>
          </w:p>
        </w:tc>
        <w:tc>
          <w:tcPr>
            <w:tcW w:w="485" w:type="pct"/>
            <w:vAlign w:val="center"/>
          </w:tcPr>
          <w:p w14:paraId="2B10ECE3">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59.1</w:t>
            </w:r>
          </w:p>
        </w:tc>
        <w:tc>
          <w:tcPr>
            <w:tcW w:w="555" w:type="pct"/>
          </w:tcPr>
          <w:p w14:paraId="3DE0F7C9">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56.1</w:t>
            </w:r>
          </w:p>
        </w:tc>
        <w:tc>
          <w:tcPr>
            <w:tcW w:w="555" w:type="pct"/>
            <w:vAlign w:val="center"/>
          </w:tcPr>
          <w:p w14:paraId="435C822D">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53.1</w:t>
            </w:r>
          </w:p>
        </w:tc>
        <w:tc>
          <w:tcPr>
            <w:tcW w:w="555" w:type="pct"/>
            <w:vAlign w:val="center"/>
          </w:tcPr>
          <w:p w14:paraId="4EFADDA6">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47.1</w:t>
            </w:r>
          </w:p>
        </w:tc>
        <w:tc>
          <w:tcPr>
            <w:tcW w:w="626" w:type="pct"/>
            <w:vAlign w:val="center"/>
          </w:tcPr>
          <w:p w14:paraId="09161953">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43.6</w:t>
            </w:r>
          </w:p>
        </w:tc>
        <w:tc>
          <w:tcPr>
            <w:tcW w:w="626" w:type="pct"/>
            <w:vAlign w:val="center"/>
          </w:tcPr>
          <w:p w14:paraId="2FD64DD6">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41.1</w:t>
            </w:r>
          </w:p>
        </w:tc>
      </w:tr>
      <w:tr w14:paraId="2D3F4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pct"/>
            <w:vAlign w:val="center"/>
          </w:tcPr>
          <w:p w14:paraId="59CBEF57">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电焊机</w:t>
            </w:r>
          </w:p>
        </w:tc>
        <w:tc>
          <w:tcPr>
            <w:tcW w:w="522" w:type="pct"/>
            <w:vAlign w:val="center"/>
          </w:tcPr>
          <w:p w14:paraId="7FA9C820">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50.0</w:t>
            </w:r>
          </w:p>
        </w:tc>
        <w:tc>
          <w:tcPr>
            <w:tcW w:w="485" w:type="pct"/>
            <w:vAlign w:val="center"/>
          </w:tcPr>
          <w:p w14:paraId="2F6F6691">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35.0</w:t>
            </w:r>
          </w:p>
        </w:tc>
        <w:tc>
          <w:tcPr>
            <w:tcW w:w="555" w:type="pct"/>
          </w:tcPr>
          <w:p w14:paraId="4E1E4189">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33.1</w:t>
            </w:r>
          </w:p>
        </w:tc>
        <w:tc>
          <w:tcPr>
            <w:tcW w:w="555" w:type="pct"/>
            <w:vAlign w:val="center"/>
          </w:tcPr>
          <w:p w14:paraId="5FBE94BA">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30.0</w:t>
            </w:r>
          </w:p>
        </w:tc>
        <w:tc>
          <w:tcPr>
            <w:tcW w:w="555" w:type="pct"/>
            <w:vAlign w:val="center"/>
          </w:tcPr>
          <w:p w14:paraId="2D5C8B6C">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24.0</w:t>
            </w:r>
          </w:p>
        </w:tc>
        <w:tc>
          <w:tcPr>
            <w:tcW w:w="626" w:type="pct"/>
            <w:vAlign w:val="center"/>
          </w:tcPr>
          <w:p w14:paraId="525D7EA2">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20.0</w:t>
            </w:r>
          </w:p>
        </w:tc>
        <w:tc>
          <w:tcPr>
            <w:tcW w:w="626" w:type="pct"/>
            <w:vAlign w:val="center"/>
          </w:tcPr>
          <w:p w14:paraId="67CFE2DE">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18.0</w:t>
            </w:r>
          </w:p>
        </w:tc>
      </w:tr>
      <w:tr w14:paraId="38D90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pct"/>
            <w:vAlign w:val="center"/>
          </w:tcPr>
          <w:p w14:paraId="7069426C">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液压顶管机</w:t>
            </w:r>
          </w:p>
        </w:tc>
        <w:tc>
          <w:tcPr>
            <w:tcW w:w="522" w:type="pct"/>
            <w:vAlign w:val="center"/>
          </w:tcPr>
          <w:p w14:paraId="11260AB8">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73.0</w:t>
            </w:r>
          </w:p>
        </w:tc>
        <w:tc>
          <w:tcPr>
            <w:tcW w:w="485" w:type="pct"/>
            <w:vAlign w:val="center"/>
          </w:tcPr>
          <w:p w14:paraId="7B75F474">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59.1</w:t>
            </w:r>
          </w:p>
        </w:tc>
        <w:tc>
          <w:tcPr>
            <w:tcW w:w="555" w:type="pct"/>
          </w:tcPr>
          <w:p w14:paraId="15C47435">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56.1</w:t>
            </w:r>
          </w:p>
        </w:tc>
        <w:tc>
          <w:tcPr>
            <w:tcW w:w="555" w:type="pct"/>
            <w:vAlign w:val="center"/>
          </w:tcPr>
          <w:p w14:paraId="77300E82">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53.1</w:t>
            </w:r>
          </w:p>
        </w:tc>
        <w:tc>
          <w:tcPr>
            <w:tcW w:w="555" w:type="pct"/>
            <w:vAlign w:val="center"/>
          </w:tcPr>
          <w:p w14:paraId="09A9818C">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47.1</w:t>
            </w:r>
          </w:p>
        </w:tc>
        <w:tc>
          <w:tcPr>
            <w:tcW w:w="626" w:type="pct"/>
            <w:vAlign w:val="center"/>
          </w:tcPr>
          <w:p w14:paraId="46DB9620">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43.6</w:t>
            </w:r>
          </w:p>
        </w:tc>
        <w:tc>
          <w:tcPr>
            <w:tcW w:w="626" w:type="pct"/>
            <w:vAlign w:val="center"/>
          </w:tcPr>
          <w:p w14:paraId="711B214A">
            <w:pPr>
              <w:spacing w:line="320" w:lineRule="atLeast"/>
              <w:jc w:val="center"/>
              <w:rPr>
                <w:rFonts w:ascii="Times New Roman" w:hAnsi="Times New Roman" w:cs="Times New Roman" w:eastAsiaTheme="minorEastAsia"/>
                <w:color w:val="000000" w:themeColor="text1"/>
                <w:w w:val="99"/>
                <w:szCs w:val="21"/>
                <w14:textFill>
                  <w14:solidFill>
                    <w14:schemeClr w14:val="tx1"/>
                  </w14:solidFill>
                </w14:textFill>
              </w:rPr>
            </w:pPr>
            <w:r>
              <w:rPr>
                <w:rFonts w:ascii="Times New Roman" w:hAnsi="Times New Roman" w:cs="Times New Roman" w:eastAsiaTheme="minorEastAsia"/>
                <w:color w:val="000000" w:themeColor="text1"/>
                <w:w w:val="99"/>
                <w:szCs w:val="21"/>
                <w14:textFill>
                  <w14:solidFill>
                    <w14:schemeClr w14:val="tx1"/>
                  </w14:solidFill>
                </w14:textFill>
              </w:rPr>
              <w:t>36.3</w:t>
            </w:r>
          </w:p>
        </w:tc>
      </w:tr>
    </w:tbl>
    <w:p w14:paraId="0BDC74C2">
      <w:pPr>
        <w:spacing w:line="440" w:lineRule="exact"/>
        <w:ind w:firstLine="474" w:firstLineChars="200"/>
        <w:jc w:val="both"/>
        <w:rPr>
          <w:rFonts w:ascii="Times New Roman" w:hAnsi="Times New Roman" w:cs="Times New Roman" w:eastAsiaTheme="minorEastAsia"/>
          <w:color w:val="000000" w:themeColor="text1"/>
          <w:w w:val="99"/>
          <w:sz w:val="24"/>
          <w14:textFill>
            <w14:solidFill>
              <w14:schemeClr w14:val="tx1"/>
            </w14:solidFill>
          </w14:textFill>
        </w:rPr>
      </w:pPr>
      <w:r>
        <w:rPr>
          <w:rFonts w:ascii="Times New Roman" w:hAnsi="Times New Roman" w:cs="Times New Roman" w:eastAsiaTheme="minorEastAsia"/>
          <w:color w:val="000000" w:themeColor="text1"/>
          <w:w w:val="99"/>
          <w:sz w:val="24"/>
          <w14:textFill>
            <w14:solidFill>
              <w14:schemeClr w14:val="tx1"/>
            </w14:solidFill>
          </w14:textFill>
        </w:rPr>
        <w:t>本项目场站混输阀组间建设、管线施工等均不在夜间施工，混输阀组间建设主要是设备运输和安装，除设备运输机械外，没有其他大型施工机械，以人工安装为主，由上表可知，设备噪声在70m外能够满足《建筑施工场界环境噪声排放标准》（GB12523-2011）中昼间限值不超过70dB（A）的要求，距离本项目最近的环境敏感点为</w:t>
      </w:r>
      <w:r>
        <w:rPr>
          <w:rFonts w:ascii="Times New Roman" w:hAnsi="Times New Roman" w:cs="Times New Roman" w:eastAsiaTheme="minorEastAsia"/>
          <w:bCs/>
          <w:color w:val="000000" w:themeColor="text1"/>
          <w:w w:val="99"/>
          <w:sz w:val="24"/>
          <w:szCs w:val="20"/>
          <w:lang w:val="en-US"/>
          <w14:textFill>
            <w14:solidFill>
              <w14:schemeClr w14:val="tx1"/>
            </w14:solidFill>
          </w14:textFill>
        </w:rPr>
        <w:t>龙27-斜6拉油点至新建混输阀组间集油管道南侧70m的杏树岗村，在靠近敏感点施工带采取建立围挡、选用低噪声设备，定期对施工设备进行保养维护，保证设备保持在最佳运行状态，降低噪声源强度，可以确保杏树岗村声环境满足《声环境质量标准》（GB3096-2008）中1类标准要求</w:t>
      </w:r>
      <w:r>
        <w:rPr>
          <w:rFonts w:ascii="Times New Roman" w:hAnsi="Times New Roman" w:cs="Times New Roman" w:eastAsiaTheme="minorEastAsia"/>
          <w:color w:val="000000" w:themeColor="text1"/>
          <w:w w:val="99"/>
          <w:sz w:val="24"/>
          <w14:textFill>
            <w14:solidFill>
              <w14:schemeClr w14:val="tx1"/>
            </w14:solidFill>
          </w14:textFill>
        </w:rPr>
        <w:t>，项目施工期噪声对周边的环境敏感点的影响可接受。</w:t>
      </w:r>
    </w:p>
    <w:p w14:paraId="3B44634B">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495" w:name="_Toc117794600"/>
      <w:r>
        <w:rPr>
          <w:rFonts w:ascii="Times New Roman" w:hAnsi="Times New Roman" w:cs="Times New Roman" w:eastAsiaTheme="minorEastAsia"/>
          <w:color w:val="000000" w:themeColor="text1"/>
          <w:w w:val="99"/>
          <w:kern w:val="2"/>
          <w:lang w:val="en-US" w:bidi="ar-SA"/>
          <w14:textFill>
            <w14:solidFill>
              <w14:schemeClr w14:val="tx1"/>
            </w14:solidFill>
          </w14:textFill>
        </w:rPr>
        <w:t>5.4.2运营期</w:t>
      </w:r>
      <w:bookmarkEnd w:id="495"/>
    </w:p>
    <w:p w14:paraId="0A5252D3">
      <w:pPr>
        <w:spacing w:line="440" w:lineRule="exact"/>
        <w:ind w:firstLine="474" w:firstLineChars="200"/>
        <w:jc w:val="both"/>
        <w:rPr>
          <w:rFonts w:ascii="Times New Roman" w:hAnsi="Times New Roman" w:cs="Times New Roman" w:eastAsiaTheme="minorEastAsia"/>
          <w:color w:val="000000" w:themeColor="text1"/>
          <w:w w:val="99"/>
          <w:sz w:val="24"/>
          <w:lang w:val="en-US"/>
          <w14:textFill>
            <w14:solidFill>
              <w14:schemeClr w14:val="tx1"/>
            </w14:solidFill>
          </w14:textFill>
        </w:rPr>
      </w:pPr>
      <w:r>
        <w:rPr>
          <w:rFonts w:ascii="Times New Roman" w:hAnsi="Times New Roman" w:cs="Times New Roman" w:eastAsiaTheme="minorEastAsia"/>
          <w:color w:val="000000" w:themeColor="text1"/>
          <w:w w:val="99"/>
          <w:sz w:val="24"/>
          <w:lang w:val="en-US"/>
          <w14:textFill>
            <w14:solidFill>
              <w14:schemeClr w14:val="tx1"/>
            </w14:solidFill>
          </w14:textFill>
        </w:rPr>
        <w:t>本项目运营期噪声源主要是混输阀组间内混输泵运行过程中产生的噪声，噪声源强在102~109dB（A）之间。</w:t>
      </w:r>
    </w:p>
    <w:p w14:paraId="56733FEB">
      <w:pPr>
        <w:autoSpaceDE/>
        <w:autoSpaceDN/>
        <w:spacing w:line="440" w:lineRule="exact"/>
        <w:ind w:firstLine="474" w:firstLineChars="200"/>
        <w:jc w:val="both"/>
        <w:rPr>
          <w:rFonts w:ascii="Times New Roman" w:hAnsi="Times New Roman" w:cs="Times New Roman" w:eastAsiaTheme="minorEastAsia"/>
          <w:snapToGrid w:val="0"/>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4"/>
          <w:szCs w:val="24"/>
          <w:lang w:val="en-US" w:bidi="ar-SA"/>
          <w14:textFill>
            <w14:solidFill>
              <w14:schemeClr w14:val="tx1"/>
            </w14:solidFill>
          </w14:textFill>
        </w:rPr>
        <w:t>采用《环境影响评价技术导则 声环境》（HJ2.4-2021）中推荐的工业噪声预测计算模型</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w:t>
      </w:r>
    </w:p>
    <w:p w14:paraId="1E68055F">
      <w:pPr>
        <w:autoSpaceDE/>
        <w:autoSpaceDN/>
        <w:spacing w:line="440" w:lineRule="exact"/>
        <w:jc w:val="cente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L</w:t>
      </w:r>
      <w:r>
        <w:rPr>
          <w:rFonts w:ascii="Times New Roman" w:hAnsi="Times New Roman" w:cs="Times New Roman" w:eastAsiaTheme="minorEastAsia"/>
          <w:bCs/>
          <w:color w:val="000000" w:themeColor="text1"/>
          <w:w w:val="99"/>
          <w:sz w:val="24"/>
          <w:szCs w:val="24"/>
          <w:vertAlign w:val="subscript"/>
          <w:lang w:val="en-US" w:bidi="ar-SA"/>
          <w14:textFill>
            <w14:solidFill>
              <w14:schemeClr w14:val="tx1"/>
            </w14:solidFill>
          </w14:textFill>
        </w:rPr>
        <w:t>p2</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=L</w:t>
      </w:r>
      <w:r>
        <w:rPr>
          <w:rFonts w:ascii="Times New Roman" w:hAnsi="Times New Roman" w:cs="Times New Roman" w:eastAsiaTheme="minorEastAsia"/>
          <w:bCs/>
          <w:color w:val="000000" w:themeColor="text1"/>
          <w:w w:val="99"/>
          <w:sz w:val="24"/>
          <w:szCs w:val="24"/>
          <w:vertAlign w:val="subscript"/>
          <w:lang w:val="en-US" w:bidi="ar-SA"/>
          <w14:textFill>
            <w14:solidFill>
              <w14:schemeClr w14:val="tx1"/>
            </w14:solidFill>
          </w14:textFill>
        </w:rPr>
        <w:t>p1</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－（TL+6）</w:t>
      </w:r>
    </w:p>
    <w:p w14:paraId="17A2CFAD">
      <w:pPr>
        <w:autoSpaceDE/>
        <w:autoSpaceDN/>
        <w:jc w:val="cente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sz w:val="20"/>
          <w:szCs w:val="24"/>
          <w:lang w:val="en-US" w:bidi="ar-SA"/>
          <w14:textFill>
            <w14:solidFill>
              <w14:schemeClr w14:val="tx1"/>
            </w14:solidFill>
          </w14:textFill>
        </w:rPr>
        <w:drawing>
          <wp:inline distT="0" distB="0" distL="0" distR="0">
            <wp:extent cx="1565910" cy="4419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66"/>
                    <a:stretch>
                      <a:fillRect/>
                    </a:stretch>
                  </pic:blipFill>
                  <pic:spPr>
                    <a:xfrm>
                      <a:off x="0" y="0"/>
                      <a:ext cx="1610600" cy="455073"/>
                    </a:xfrm>
                    <a:prstGeom prst="rect">
                      <a:avLst/>
                    </a:prstGeom>
                  </pic:spPr>
                </pic:pic>
              </a:graphicData>
            </a:graphic>
          </wp:inline>
        </w:drawing>
      </w:r>
    </w:p>
    <w:p w14:paraId="5C05E23C">
      <w:pPr>
        <w:autoSpaceDE/>
        <w:autoSpaceDN/>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式中：</w:t>
      </w:r>
    </w:p>
    <w:p w14:paraId="68C4EF16">
      <w:pPr>
        <w:autoSpaceDE/>
        <w:autoSpaceDN/>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L</w:t>
      </w:r>
      <w:r>
        <w:rPr>
          <w:rFonts w:ascii="Times New Roman" w:hAnsi="Times New Roman" w:cs="Times New Roman" w:eastAsiaTheme="minorEastAsia"/>
          <w:bCs/>
          <w:color w:val="000000" w:themeColor="text1"/>
          <w:w w:val="99"/>
          <w:sz w:val="24"/>
          <w:szCs w:val="24"/>
          <w:vertAlign w:val="subscript"/>
          <w:lang w:val="en-US" w:bidi="ar-SA"/>
          <w14:textFill>
            <w14:solidFill>
              <w14:schemeClr w14:val="tx1"/>
            </w14:solidFill>
          </w14:textFill>
        </w:rPr>
        <w:t>p1</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——靠近开口处（或窗户）室内某倍频带的声压级或A声级，dB；</w:t>
      </w:r>
    </w:p>
    <w:p w14:paraId="66151048">
      <w:pPr>
        <w:autoSpaceDE/>
        <w:autoSpaceDN/>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L</w:t>
      </w:r>
      <w:r>
        <w:rPr>
          <w:rFonts w:ascii="Times New Roman" w:hAnsi="Times New Roman" w:cs="Times New Roman" w:eastAsiaTheme="minorEastAsia"/>
          <w:bCs/>
          <w:color w:val="000000" w:themeColor="text1"/>
          <w:w w:val="99"/>
          <w:sz w:val="24"/>
          <w:szCs w:val="24"/>
          <w:vertAlign w:val="subscript"/>
          <w:lang w:val="en-US" w:bidi="ar-SA"/>
          <w14:textFill>
            <w14:solidFill>
              <w14:schemeClr w14:val="tx1"/>
            </w14:solidFill>
          </w14:textFill>
        </w:rPr>
        <w:t>p2</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———靠近开口处（或窗户）室外某倍频带的声压级或A声级，dB；</w:t>
      </w:r>
    </w:p>
    <w:p w14:paraId="511E8C92">
      <w:pPr>
        <w:autoSpaceDE/>
        <w:autoSpaceDN/>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TL———隔墙（或窗户）倍频带或A声级的隔声量，dB；</w:t>
      </w:r>
    </w:p>
    <w:p w14:paraId="1C03A4E4">
      <w:pPr>
        <w:autoSpaceDE/>
        <w:autoSpaceDN/>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L</w:t>
      </w:r>
      <w:r>
        <w:rPr>
          <w:rFonts w:ascii="Times New Roman" w:hAnsi="Times New Roman" w:cs="Times New Roman" w:eastAsiaTheme="minorEastAsia"/>
          <w:bCs/>
          <w:color w:val="000000" w:themeColor="text1"/>
          <w:w w:val="99"/>
          <w:sz w:val="24"/>
          <w:szCs w:val="24"/>
          <w:vertAlign w:val="subscript"/>
          <w:lang w:val="en-US" w:bidi="ar-SA"/>
          <w14:textFill>
            <w14:solidFill>
              <w14:schemeClr w14:val="tx1"/>
            </w14:solidFill>
          </w14:textFill>
        </w:rPr>
        <w:t>pli</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(T)——靠近围护结构处室内N个声源i倍频带的叠加声压级，dB；</w:t>
      </w:r>
    </w:p>
    <w:p w14:paraId="52D98F3A">
      <w:pPr>
        <w:autoSpaceDE/>
        <w:autoSpaceDN/>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L</w:t>
      </w:r>
      <w:r>
        <w:rPr>
          <w:rFonts w:ascii="Times New Roman" w:hAnsi="Times New Roman" w:cs="Times New Roman" w:eastAsiaTheme="minorEastAsia"/>
          <w:bCs/>
          <w:color w:val="000000" w:themeColor="text1"/>
          <w:w w:val="99"/>
          <w:sz w:val="24"/>
          <w:szCs w:val="24"/>
          <w:vertAlign w:val="subscript"/>
          <w:lang w:val="en-US" w:bidi="ar-SA"/>
          <w14:textFill>
            <w14:solidFill>
              <w14:schemeClr w14:val="tx1"/>
            </w14:solidFill>
          </w14:textFill>
        </w:rPr>
        <w:t>plij</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——室内j声源i倍频带的声压级，dB；</w:t>
      </w:r>
    </w:p>
    <w:p w14:paraId="7F587A16">
      <w:pPr>
        <w:autoSpaceDE/>
        <w:autoSpaceDN/>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N——室内声源总数；</w:t>
      </w:r>
    </w:p>
    <w:p w14:paraId="00508BEB">
      <w:pPr>
        <w:widowControl/>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0"/>
          <w:lang w:val="en-US" w:bidi="ar-SA"/>
          <w14:textFill>
            <w14:solidFill>
              <w14:schemeClr w14:val="tx1"/>
            </w14:solidFill>
          </w14:textFill>
        </w:rPr>
        <w:t>混输阀组间厂界预测结果见表5.4-2，混输阀组间噪声预测图见图5.4-1。</w:t>
      </w:r>
    </w:p>
    <w:p w14:paraId="2D145578">
      <w:pPr>
        <w:widowControl/>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表5.4-2</w:t>
      </w:r>
      <w:r>
        <w:rPr>
          <w:rFonts w:ascii="Times New Roman" w:hAnsi="Times New Roman" w:cs="Times New Roman" w:eastAsiaTheme="minorEastAsia"/>
          <w:b/>
          <w:color w:val="000000" w:themeColor="text1"/>
          <w:w w:val="99"/>
          <w:kern w:val="21"/>
          <w:sz w:val="24"/>
          <w:lang w:val="en-US"/>
          <w14:textFill>
            <w14:solidFill>
              <w14:schemeClr w14:val="tx1"/>
            </w14:solidFill>
          </w14:textFill>
        </w:rPr>
        <w:t xml:space="preserve">    </w:t>
      </w: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混输阀组间厂界预测结果</w:t>
      </w:r>
      <w:r>
        <w:rPr>
          <w:rFonts w:ascii="Times New Roman" w:hAnsi="Times New Roman" w:cs="Times New Roman" w:eastAsiaTheme="minorEastAsia"/>
          <w:b/>
          <w:color w:val="000000" w:themeColor="text1"/>
          <w:w w:val="99"/>
          <w:kern w:val="21"/>
          <w:sz w:val="24"/>
          <w:lang w:val="en-US"/>
          <w14:textFill>
            <w14:solidFill>
              <w14:schemeClr w14:val="tx1"/>
            </w14:solidFill>
          </w14:textFill>
        </w:rPr>
        <w:t xml:space="preserve">    </w:t>
      </w: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单位：dB(A)</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853"/>
        <w:gridCol w:w="849"/>
        <w:gridCol w:w="1133"/>
        <w:gridCol w:w="888"/>
        <w:gridCol w:w="1047"/>
        <w:gridCol w:w="1047"/>
        <w:gridCol w:w="1047"/>
        <w:gridCol w:w="1036"/>
      </w:tblGrid>
      <w:tr w14:paraId="4E1FA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46" w:type="pct"/>
            <w:vMerge w:val="restart"/>
            <w:vAlign w:val="center"/>
          </w:tcPr>
          <w:p w14:paraId="001F9EB0">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预测</w:t>
            </w: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场站</w:t>
            </w:r>
          </w:p>
        </w:tc>
        <w:tc>
          <w:tcPr>
            <w:tcW w:w="2004" w:type="pct"/>
            <w:gridSpan w:val="4"/>
            <w:vAlign w:val="center"/>
          </w:tcPr>
          <w:p w14:paraId="58176961">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昼间噪声</w:t>
            </w:r>
          </w:p>
        </w:tc>
        <w:tc>
          <w:tcPr>
            <w:tcW w:w="2250" w:type="pct"/>
            <w:gridSpan w:val="4"/>
            <w:vAlign w:val="center"/>
          </w:tcPr>
          <w:p w14:paraId="153284DC">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夜间噪声</w:t>
            </w:r>
          </w:p>
        </w:tc>
      </w:tr>
      <w:tr w14:paraId="17D5C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46" w:type="pct"/>
            <w:vMerge w:val="continue"/>
            <w:vAlign w:val="center"/>
          </w:tcPr>
          <w:p w14:paraId="30384673">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459" w:type="pct"/>
            <w:vAlign w:val="center"/>
          </w:tcPr>
          <w:p w14:paraId="79F37647">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东厂界</w:t>
            </w:r>
          </w:p>
        </w:tc>
        <w:tc>
          <w:tcPr>
            <w:tcW w:w="457" w:type="pct"/>
            <w:vAlign w:val="center"/>
          </w:tcPr>
          <w:p w14:paraId="0C0D6D18">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南厂界</w:t>
            </w:r>
          </w:p>
        </w:tc>
        <w:tc>
          <w:tcPr>
            <w:tcW w:w="610" w:type="pct"/>
            <w:vAlign w:val="center"/>
          </w:tcPr>
          <w:p w14:paraId="7A1EE963">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西厂界</w:t>
            </w:r>
          </w:p>
        </w:tc>
        <w:tc>
          <w:tcPr>
            <w:tcW w:w="478" w:type="pct"/>
            <w:vAlign w:val="center"/>
          </w:tcPr>
          <w:p w14:paraId="0EEC7999">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北厂界</w:t>
            </w:r>
          </w:p>
        </w:tc>
        <w:tc>
          <w:tcPr>
            <w:tcW w:w="564" w:type="pct"/>
            <w:vAlign w:val="center"/>
          </w:tcPr>
          <w:p w14:paraId="21019529">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东厂界</w:t>
            </w:r>
          </w:p>
        </w:tc>
        <w:tc>
          <w:tcPr>
            <w:tcW w:w="564" w:type="pct"/>
            <w:vAlign w:val="center"/>
          </w:tcPr>
          <w:p w14:paraId="54C410AC">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南厂界</w:t>
            </w:r>
          </w:p>
        </w:tc>
        <w:tc>
          <w:tcPr>
            <w:tcW w:w="564" w:type="pct"/>
            <w:vAlign w:val="center"/>
          </w:tcPr>
          <w:p w14:paraId="00C07AF8">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西厂界</w:t>
            </w:r>
          </w:p>
        </w:tc>
        <w:tc>
          <w:tcPr>
            <w:tcW w:w="559" w:type="pct"/>
            <w:vAlign w:val="center"/>
          </w:tcPr>
          <w:p w14:paraId="733A1F75">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北厂界</w:t>
            </w:r>
          </w:p>
        </w:tc>
      </w:tr>
      <w:tr w14:paraId="4CF62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6" w:type="pct"/>
            <w:vAlign w:val="center"/>
          </w:tcPr>
          <w:p w14:paraId="7E6DCDA0">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混输阀组间</w:t>
            </w:r>
          </w:p>
        </w:tc>
        <w:tc>
          <w:tcPr>
            <w:tcW w:w="459" w:type="pct"/>
            <w:vAlign w:val="center"/>
          </w:tcPr>
          <w:p w14:paraId="557669CF">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43.6</w:t>
            </w:r>
          </w:p>
        </w:tc>
        <w:tc>
          <w:tcPr>
            <w:tcW w:w="457" w:type="pct"/>
            <w:vAlign w:val="center"/>
          </w:tcPr>
          <w:p w14:paraId="3AC61F9D">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34.6</w:t>
            </w:r>
          </w:p>
        </w:tc>
        <w:tc>
          <w:tcPr>
            <w:tcW w:w="610" w:type="pct"/>
            <w:vAlign w:val="center"/>
          </w:tcPr>
          <w:p w14:paraId="5DB795B6">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29.6</w:t>
            </w:r>
          </w:p>
        </w:tc>
        <w:tc>
          <w:tcPr>
            <w:tcW w:w="478" w:type="pct"/>
            <w:vAlign w:val="center"/>
          </w:tcPr>
          <w:p w14:paraId="66F7527D">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42.5</w:t>
            </w:r>
          </w:p>
        </w:tc>
        <w:tc>
          <w:tcPr>
            <w:tcW w:w="564" w:type="pct"/>
            <w:vAlign w:val="center"/>
          </w:tcPr>
          <w:p w14:paraId="39246A6A">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43.6</w:t>
            </w:r>
          </w:p>
        </w:tc>
        <w:tc>
          <w:tcPr>
            <w:tcW w:w="564" w:type="pct"/>
            <w:vAlign w:val="center"/>
          </w:tcPr>
          <w:p w14:paraId="451338A7">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34.6</w:t>
            </w:r>
          </w:p>
        </w:tc>
        <w:tc>
          <w:tcPr>
            <w:tcW w:w="564" w:type="pct"/>
            <w:vAlign w:val="center"/>
          </w:tcPr>
          <w:p w14:paraId="0D7137D6">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29.6</w:t>
            </w:r>
          </w:p>
        </w:tc>
        <w:tc>
          <w:tcPr>
            <w:tcW w:w="559" w:type="pct"/>
            <w:vAlign w:val="center"/>
          </w:tcPr>
          <w:p w14:paraId="4B77C610">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42.5</w:t>
            </w:r>
          </w:p>
        </w:tc>
      </w:tr>
    </w:tbl>
    <w:p w14:paraId="1B001451">
      <w:pPr>
        <w:autoSpaceDE/>
        <w:autoSpaceDN/>
        <w:jc w:val="cente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drawing>
          <wp:inline distT="0" distB="0" distL="0" distR="0">
            <wp:extent cx="5566410" cy="40798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5599388" cy="4104181"/>
                    </a:xfrm>
                    <a:prstGeom prst="rect">
                      <a:avLst/>
                    </a:prstGeom>
                  </pic:spPr>
                </pic:pic>
              </a:graphicData>
            </a:graphic>
          </wp:inline>
        </w:drawing>
      </w:r>
    </w:p>
    <w:p w14:paraId="6D182C82">
      <w:pPr>
        <w:autoSpaceDE/>
        <w:autoSpaceDN/>
        <w:spacing w:line="440" w:lineRule="exact"/>
        <w:jc w:val="center"/>
        <w:rPr>
          <w:rFonts w:ascii="Times New Roman" w:hAnsi="Times New Roman" w:cs="Times New Roman" w:eastAsiaTheme="minorEastAsia"/>
          <w:b/>
          <w:color w:val="000000" w:themeColor="text1"/>
          <w:w w:val="99"/>
          <w:kern w:val="2"/>
          <w:sz w:val="24"/>
          <w:szCs w:val="20"/>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0"/>
          <w:lang w:val="en-US" w:bidi="ar-SA"/>
          <w14:textFill>
            <w14:solidFill>
              <w14:schemeClr w14:val="tx1"/>
            </w14:solidFill>
          </w14:textFill>
        </w:rPr>
        <w:t>图5.4-1    混输阀组间噪声预测图</w:t>
      </w:r>
    </w:p>
    <w:p w14:paraId="53706333">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本项目新建的混输阀组间内混输泵设置在</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室内</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，且阀组间采取隔声门窗，混输泵</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选用低噪声设备，并采取基础减振措施，由预测结果可知，在运营期</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混输阀组间</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厂界可满足《工业企业厂界环境噪声排放标准》（GB12348-2008）中2类标准的要求，且</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混输阀组间</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周边200m范围内无声环境敏感点，对周围声环境影响大不。</w:t>
      </w:r>
    </w:p>
    <w:p w14:paraId="27154961">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496" w:name="_Toc117794601"/>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5.5 固体废物环境影响分析</w:t>
      </w:r>
      <w:bookmarkEnd w:id="496"/>
    </w:p>
    <w:p w14:paraId="2E41620E">
      <w:pPr>
        <w:spacing w:line="440" w:lineRule="exact"/>
        <w:ind w:firstLine="438" w:firstLineChars="200"/>
        <w:jc w:val="both"/>
        <w:rPr>
          <w:rFonts w:ascii="Times New Roman" w:hAnsi="Times New Roman" w:cs="Times New Roman" w:eastAsiaTheme="minorEastAsia"/>
          <w:bCs/>
          <w:color w:val="000000" w:themeColor="text1"/>
          <w:spacing w:val="-9"/>
          <w:w w:val="99"/>
          <w:sz w:val="24"/>
          <w:szCs w:val="24"/>
          <w:lang w:val="en-US"/>
          <w14:textFill>
            <w14:solidFill>
              <w14:schemeClr w14:val="tx1"/>
            </w14:solidFill>
          </w14:textFill>
        </w:rPr>
      </w:pPr>
      <w:r>
        <w:rPr>
          <w:rFonts w:ascii="Times New Roman" w:hAnsi="Times New Roman" w:cs="Times New Roman" w:eastAsiaTheme="minorEastAsia"/>
          <w:bCs/>
          <w:color w:val="000000" w:themeColor="text1"/>
          <w:spacing w:val="-9"/>
          <w:w w:val="99"/>
          <w:sz w:val="24"/>
          <w:szCs w:val="24"/>
          <w:lang w:val="en-US"/>
          <w14:textFill>
            <w14:solidFill>
              <w14:schemeClr w14:val="tx1"/>
            </w14:solidFill>
          </w14:textFill>
        </w:rPr>
        <w:t>本项目运营期不产生固体废物，施工期产生的固体废物主要为清淤油泥、施工废料、建筑垃圾、废旧设备、生活垃圾。</w:t>
      </w:r>
    </w:p>
    <w:p w14:paraId="6F90A238">
      <w:pPr>
        <w:pStyle w:val="46"/>
        <w:spacing w:after="0" w:line="440" w:lineRule="exact"/>
        <w:ind w:left="0" w:leftChars="0" w:firstLine="474" w:firstLineChars="200"/>
        <w:rPr>
          <w:rFonts w:eastAsiaTheme="minorEastAsia"/>
          <w:bCs/>
          <w:color w:val="000000" w:themeColor="text1"/>
          <w:w w:val="99"/>
          <w:sz w:val="24"/>
          <w14:textFill>
            <w14:solidFill>
              <w14:schemeClr w14:val="tx1"/>
            </w14:solidFill>
          </w14:textFill>
        </w:rPr>
      </w:pPr>
      <w:r>
        <w:rPr>
          <w:rFonts w:eastAsiaTheme="minorEastAsia"/>
          <w:bCs/>
          <w:color w:val="000000" w:themeColor="text1"/>
          <w:w w:val="99"/>
          <w:sz w:val="24"/>
          <w14:textFill>
            <w14:solidFill>
              <w14:schemeClr w14:val="tx1"/>
            </w14:solidFill>
          </w14:textFill>
        </w:rPr>
        <w:t>（1）施工废料</w:t>
      </w:r>
    </w:p>
    <w:p w14:paraId="1AAC30EA">
      <w:pPr>
        <w:pStyle w:val="46"/>
        <w:spacing w:after="0" w:line="440" w:lineRule="exact"/>
        <w:ind w:left="0" w:leftChars="0" w:firstLine="474" w:firstLineChars="200"/>
        <w:rPr>
          <w:rFonts w:eastAsiaTheme="minorEastAsia"/>
          <w:bCs/>
          <w:color w:val="000000" w:themeColor="text1"/>
          <w:w w:val="99"/>
          <w:sz w:val="24"/>
          <w14:textFill>
            <w14:solidFill>
              <w14:schemeClr w14:val="tx1"/>
            </w14:solidFill>
          </w14:textFill>
        </w:rPr>
      </w:pPr>
      <w:r>
        <w:rPr>
          <w:rFonts w:eastAsiaTheme="minorEastAsia"/>
          <w:bCs/>
          <w:color w:val="000000" w:themeColor="text1"/>
          <w:w w:val="99"/>
          <w:sz w:val="24"/>
          <w14:textFill>
            <w14:solidFill>
              <w14:schemeClr w14:val="tx1"/>
            </w14:solidFill>
          </w14:textFill>
        </w:rPr>
        <w:t>本项目施工废料主要为焊接施工中产生废焊条和管道防腐施工过程中产生的废防腐材料。最大限度回收利用后，剩余废料拉运至</w:t>
      </w:r>
      <w:r>
        <w:rPr>
          <w:rFonts w:eastAsiaTheme="minorEastAsia"/>
          <w:bCs/>
          <w:color w:val="000000" w:themeColor="text1"/>
          <w:w w:val="99"/>
          <w:sz w:val="24"/>
          <w:lang w:val="en-US"/>
          <w14:textFill>
            <w14:solidFill>
              <w14:schemeClr w14:val="tx1"/>
            </w14:solidFill>
          </w14:textFill>
        </w:rPr>
        <w:t>第八采油厂工业固废填埋场</w:t>
      </w:r>
      <w:r>
        <w:rPr>
          <w:rFonts w:eastAsiaTheme="minorEastAsia"/>
          <w:bCs/>
          <w:color w:val="000000" w:themeColor="text1"/>
          <w:w w:val="99"/>
          <w:sz w:val="24"/>
          <w14:textFill>
            <w14:solidFill>
              <w14:schemeClr w14:val="tx1"/>
            </w14:solidFill>
          </w14:textFill>
        </w:rPr>
        <w:t>处理。</w:t>
      </w:r>
    </w:p>
    <w:p w14:paraId="7B3F6AB7">
      <w:pPr>
        <w:pStyle w:val="46"/>
        <w:spacing w:after="0" w:line="440" w:lineRule="exact"/>
        <w:ind w:left="0" w:leftChars="0" w:firstLine="474" w:firstLineChars="200"/>
        <w:rPr>
          <w:rFonts w:eastAsiaTheme="minorEastAsia"/>
          <w:bCs/>
          <w:color w:val="000000" w:themeColor="text1"/>
          <w:w w:val="99"/>
          <w:sz w:val="24"/>
          <w14:textFill>
            <w14:solidFill>
              <w14:schemeClr w14:val="tx1"/>
            </w14:solidFill>
          </w14:textFill>
        </w:rPr>
      </w:pPr>
      <w:r>
        <w:rPr>
          <w:rFonts w:eastAsiaTheme="minorEastAsia"/>
          <w:bCs/>
          <w:color w:val="000000" w:themeColor="text1"/>
          <w:w w:val="99"/>
          <w:sz w:val="24"/>
          <w14:textFill>
            <w14:solidFill>
              <w14:schemeClr w14:val="tx1"/>
            </w14:solidFill>
          </w14:textFill>
        </w:rPr>
        <w:t>（2）建筑垃圾、废旧设备、生活垃圾</w:t>
      </w:r>
    </w:p>
    <w:p w14:paraId="69382C26">
      <w:pPr>
        <w:pStyle w:val="46"/>
        <w:spacing w:after="0" w:line="440" w:lineRule="exact"/>
        <w:ind w:left="0" w:leftChars="0" w:firstLine="474" w:firstLineChars="200"/>
        <w:rPr>
          <w:rFonts w:eastAsiaTheme="minorEastAsia"/>
          <w:bCs/>
          <w:color w:val="000000" w:themeColor="text1"/>
          <w:w w:val="99"/>
          <w:sz w:val="24"/>
          <w14:textFill>
            <w14:solidFill>
              <w14:schemeClr w14:val="tx1"/>
            </w14:solidFill>
          </w14:textFill>
        </w:rPr>
      </w:pPr>
      <w:r>
        <w:rPr>
          <w:rFonts w:eastAsiaTheme="minorEastAsia"/>
          <w:bCs/>
          <w:color w:val="000000" w:themeColor="text1"/>
          <w:w w:val="99"/>
          <w:sz w:val="24"/>
          <w14:textFill>
            <w14:solidFill>
              <w14:schemeClr w14:val="tx1"/>
            </w14:solidFill>
          </w14:textFill>
        </w:rPr>
        <w:t>本项目建筑垃圾主要为拆除拉油点九合一</w:t>
      </w:r>
      <w:r>
        <w:rPr>
          <w:rFonts w:hint="eastAsia" w:eastAsiaTheme="minorEastAsia"/>
          <w:bCs/>
          <w:color w:val="000000" w:themeColor="text1"/>
          <w:w w:val="99"/>
          <w:sz w:val="24"/>
          <w14:textFill>
            <w14:solidFill>
              <w14:schemeClr w14:val="tx1"/>
            </w14:solidFill>
          </w14:textFill>
        </w:rPr>
        <w:t>装置</w:t>
      </w:r>
      <w:r>
        <w:rPr>
          <w:rFonts w:eastAsiaTheme="minorEastAsia"/>
          <w:bCs/>
          <w:color w:val="000000" w:themeColor="text1"/>
          <w:w w:val="99"/>
          <w:sz w:val="24"/>
          <w14:textFill>
            <w14:solidFill>
              <w14:schemeClr w14:val="tx1"/>
            </w14:solidFill>
          </w14:textFill>
        </w:rPr>
        <w:t>基础及旱厕过程中将产生废砼块、废砖块，全部由施工单位拉运至大庆市</w:t>
      </w:r>
      <w:r>
        <w:rPr>
          <w:rFonts w:hint="eastAsia" w:eastAsiaTheme="minorEastAsia"/>
          <w:bCs/>
          <w:color w:val="000000" w:themeColor="text1"/>
          <w:w w:val="99"/>
          <w:sz w:val="24"/>
          <w:lang w:eastAsia="zh-CN"/>
          <w14:textFill>
            <w14:solidFill>
              <w14:schemeClr w14:val="tx1"/>
            </w14:solidFill>
          </w14:textFill>
        </w:rPr>
        <w:t>红岗区杏树岗镇</w:t>
      </w:r>
      <w:r>
        <w:rPr>
          <w:rFonts w:eastAsiaTheme="minorEastAsia"/>
          <w:bCs/>
          <w:color w:val="000000" w:themeColor="text1"/>
          <w:w w:val="99"/>
          <w:sz w:val="24"/>
          <w14:textFill>
            <w14:solidFill>
              <w14:schemeClr w14:val="tx1"/>
            </w14:solidFill>
          </w14:textFill>
        </w:rPr>
        <w:t>建筑垃圾消纳场处理；废旧设备主要为拆除的九合一装置及值班板房，全部回收至</w:t>
      </w:r>
      <w:r>
        <w:rPr>
          <w:rFonts w:hint="eastAsia" w:eastAsiaTheme="minorEastAsia"/>
          <w:bCs/>
          <w:color w:val="000000" w:themeColor="text1"/>
          <w:w w:val="99"/>
          <w:sz w:val="24"/>
          <w:lang w:eastAsia="zh-CN"/>
          <w14:textFill>
            <w14:solidFill>
              <w14:schemeClr w14:val="tx1"/>
            </w14:solidFill>
          </w14:textFill>
        </w:rPr>
        <w:t>第五采油厂</w:t>
      </w:r>
      <w:r>
        <w:rPr>
          <w:rFonts w:eastAsiaTheme="minorEastAsia"/>
          <w:bCs/>
          <w:color w:val="000000" w:themeColor="text1"/>
          <w:w w:val="99"/>
          <w:sz w:val="24"/>
          <w14:textFill>
            <w14:solidFill>
              <w14:schemeClr w14:val="tx1"/>
            </w14:solidFill>
          </w14:textFill>
        </w:rPr>
        <w:t>物资库再利用。生活垃圾统一收集后拉运至大庆龙清生物科技有限公司处理。</w:t>
      </w:r>
    </w:p>
    <w:p w14:paraId="4C6C91F0">
      <w:pPr>
        <w:pStyle w:val="46"/>
        <w:spacing w:after="0" w:line="440" w:lineRule="exact"/>
        <w:ind w:left="0" w:leftChars="0" w:firstLine="474" w:firstLineChars="200"/>
        <w:rPr>
          <w:rFonts w:eastAsiaTheme="minorEastAsia"/>
          <w:bCs/>
          <w:color w:val="000000" w:themeColor="text1"/>
          <w:w w:val="99"/>
          <w:sz w:val="24"/>
          <w14:textFill>
            <w14:solidFill>
              <w14:schemeClr w14:val="tx1"/>
            </w14:solidFill>
          </w14:textFill>
        </w:rPr>
      </w:pPr>
      <w:r>
        <w:rPr>
          <w:rFonts w:eastAsiaTheme="minorEastAsia"/>
          <w:bCs/>
          <w:color w:val="000000" w:themeColor="text1"/>
          <w:w w:val="99"/>
          <w:sz w:val="24"/>
          <w14:textFill>
            <w14:solidFill>
              <w14:schemeClr w14:val="tx1"/>
            </w14:solidFill>
          </w14:textFill>
        </w:rPr>
        <w:t>（4）</w:t>
      </w:r>
      <w:r>
        <w:rPr>
          <w:rFonts w:eastAsiaTheme="minorEastAsia"/>
          <w:bCs/>
          <w:color w:val="000000" w:themeColor="text1"/>
          <w:w w:val="99"/>
          <w:sz w:val="24"/>
          <w:lang w:val="en-US"/>
          <w14:textFill>
            <w14:solidFill>
              <w14:schemeClr w14:val="tx1"/>
            </w14:solidFill>
          </w14:textFill>
        </w:rPr>
        <w:t>清淤油泥</w:t>
      </w:r>
    </w:p>
    <w:p w14:paraId="64365C9A">
      <w:pPr>
        <w:pStyle w:val="46"/>
        <w:spacing w:after="0" w:line="440" w:lineRule="exact"/>
        <w:ind w:left="0" w:leftChars="0" w:firstLine="474" w:firstLineChars="200"/>
        <w:rPr>
          <w:rFonts w:eastAsiaTheme="minorEastAsia"/>
          <w:bCs/>
          <w:color w:val="000000" w:themeColor="text1"/>
          <w:w w:val="99"/>
          <w:sz w:val="24"/>
          <w14:textFill>
            <w14:solidFill>
              <w14:schemeClr w14:val="tx1"/>
            </w14:solidFill>
          </w14:textFill>
        </w:rPr>
      </w:pPr>
      <w:r>
        <w:rPr>
          <w:rFonts w:eastAsiaTheme="minorEastAsia"/>
          <w:bCs/>
          <w:color w:val="000000" w:themeColor="text1"/>
          <w:w w:val="99"/>
          <w:sz w:val="24"/>
          <w:lang w:val="en-US"/>
          <w14:textFill>
            <w14:solidFill>
              <w14:schemeClr w14:val="tx1"/>
            </w14:solidFill>
          </w14:textFill>
        </w:rPr>
        <w:t>清淤油泥</w:t>
      </w:r>
      <w:r>
        <w:rPr>
          <w:rFonts w:eastAsiaTheme="minorEastAsia"/>
          <w:bCs/>
          <w:color w:val="000000" w:themeColor="text1"/>
          <w:w w:val="99"/>
          <w:sz w:val="24"/>
          <w14:textFill>
            <w14:solidFill>
              <w14:schemeClr w14:val="tx1"/>
            </w14:solidFill>
          </w14:textFill>
        </w:rPr>
        <w:t>含有石油类等有害成份，</w:t>
      </w:r>
      <w:r>
        <w:rPr>
          <w:rFonts w:eastAsiaTheme="minorEastAsia"/>
          <w:bCs/>
          <w:color w:val="000000" w:themeColor="text1"/>
          <w:w w:val="99"/>
          <w:sz w:val="24"/>
          <w:lang w:val="en-US"/>
          <w14:textFill>
            <w14:solidFill>
              <w14:schemeClr w14:val="tx1"/>
            </w14:solidFill>
          </w14:textFill>
        </w:rPr>
        <w:t>根据《国家危险废物名录（2021年）》，清淤油泥属于HW08废矿物油与含矿物油废物，危废代码为071-001-08</w:t>
      </w:r>
      <w:r>
        <w:rPr>
          <w:rFonts w:eastAsiaTheme="minorEastAsia"/>
          <w:bCs/>
          <w:color w:val="000000" w:themeColor="text1"/>
          <w:w w:val="99"/>
          <w:sz w:val="24"/>
          <w14:textFill>
            <w14:solidFill>
              <w14:schemeClr w14:val="tx1"/>
            </w14:solidFill>
          </w14:textFill>
        </w:rPr>
        <w:t>。</w:t>
      </w:r>
    </w:p>
    <w:p w14:paraId="43066FB7">
      <w:pPr>
        <w:pStyle w:val="46"/>
        <w:spacing w:after="0" w:line="440" w:lineRule="exact"/>
        <w:ind w:left="0" w:leftChars="0" w:firstLine="474" w:firstLineChars="200"/>
        <w:rPr>
          <w:rFonts w:eastAsiaTheme="minorEastAsia"/>
          <w:bCs/>
          <w:color w:val="000000" w:themeColor="text1"/>
          <w:w w:val="99"/>
          <w:sz w:val="24"/>
          <w14:textFill>
            <w14:solidFill>
              <w14:schemeClr w14:val="tx1"/>
            </w14:solidFill>
          </w14:textFill>
        </w:rPr>
      </w:pPr>
      <w:r>
        <w:rPr>
          <w:rFonts w:eastAsiaTheme="minorEastAsia"/>
          <w:bCs/>
          <w:color w:val="000000" w:themeColor="text1"/>
          <w:w w:val="99"/>
          <w:sz w:val="24"/>
          <w14:textFill>
            <w14:solidFill>
              <w14:schemeClr w14:val="tx1"/>
            </w14:solidFill>
          </w14:textFill>
        </w:rPr>
        <w:t>根据《建设项目危险废物环境影响评价指南》（环境保护部公告2017年第43号）相关规定，清淤油泥</w:t>
      </w:r>
      <w:r>
        <w:rPr>
          <w:rFonts w:eastAsiaTheme="minorEastAsia"/>
          <w:bCs/>
          <w:color w:val="000000" w:themeColor="text1"/>
          <w:w w:val="99"/>
          <w:sz w:val="24"/>
          <w:lang w:val="en-US"/>
          <w14:textFill>
            <w14:solidFill>
              <w14:schemeClr w14:val="tx1"/>
            </w14:solidFill>
          </w14:textFill>
        </w:rPr>
        <w:t>由罐车拉运至</w:t>
      </w:r>
      <w:r>
        <w:rPr>
          <w:rFonts w:hint="eastAsia" w:eastAsiaTheme="minorEastAsia"/>
          <w:bCs/>
          <w:color w:val="000000" w:themeColor="text1"/>
          <w:w w:val="99"/>
          <w:sz w:val="24"/>
          <w:lang w:val="en-US" w:eastAsia="zh-CN"/>
          <w14:textFill>
            <w14:solidFill>
              <w14:schemeClr w14:val="tx1"/>
            </w14:solidFill>
          </w14:textFill>
        </w:rPr>
        <w:t>第五采油厂</w:t>
      </w:r>
      <w:r>
        <w:rPr>
          <w:rFonts w:eastAsiaTheme="minorEastAsia"/>
          <w:bCs/>
          <w:color w:val="000000" w:themeColor="text1"/>
          <w:w w:val="99"/>
          <w:sz w:val="24"/>
          <w:lang w:val="en-US"/>
          <w14:textFill>
            <w14:solidFill>
              <w14:schemeClr w14:val="tx1"/>
            </w14:solidFill>
          </w14:textFill>
        </w:rPr>
        <w:t>含油污泥处理站处理满足《油田含油污泥处置与利用污染控制要求》（DB23/T 3104-2022）表1中</w:t>
      </w:r>
      <w:r>
        <w:rPr>
          <w:rFonts w:eastAsiaTheme="minorEastAsia"/>
          <w:bCs/>
          <w:color w:val="000000" w:themeColor="text1"/>
          <w:w w:val="99"/>
          <w:sz w:val="24"/>
          <w14:textFill>
            <w14:solidFill>
              <w14:schemeClr w14:val="tx1"/>
            </w14:solidFill>
          </w14:textFill>
        </w:rPr>
        <w:t>油田含油污泥经处置后泥渣利用污染物控制限值后用作油田垫井场和通井路。</w:t>
      </w:r>
    </w:p>
    <w:p w14:paraId="68F88E87">
      <w:pPr>
        <w:pStyle w:val="46"/>
        <w:spacing w:after="0" w:line="440" w:lineRule="exact"/>
        <w:ind w:left="0" w:leftChars="0" w:firstLine="474" w:firstLineChars="200"/>
        <w:rPr>
          <w:rFonts w:eastAsiaTheme="minorEastAsia"/>
          <w:bCs/>
          <w:color w:val="000000" w:themeColor="text1"/>
          <w:w w:val="99"/>
          <w:sz w:val="24"/>
          <w14:textFill>
            <w14:solidFill>
              <w14:schemeClr w14:val="tx1"/>
            </w14:solidFill>
          </w14:textFill>
        </w:rPr>
      </w:pPr>
      <w:r>
        <w:rPr>
          <w:rFonts w:eastAsiaTheme="minorEastAsia"/>
          <w:bCs/>
          <w:color w:val="000000" w:themeColor="text1"/>
          <w:w w:val="99"/>
          <w:sz w:val="24"/>
          <w14:textFill>
            <w14:solidFill>
              <w14:schemeClr w14:val="tx1"/>
            </w14:solidFill>
          </w14:textFill>
        </w:rPr>
        <w:t>危险废物收集、贮存、运输的一般要求：</w:t>
      </w:r>
      <w:r>
        <w:rPr>
          <w:rFonts w:hint="eastAsia" w:ascii="宋体" w:hAnsi="宋体" w:cs="宋体"/>
          <w:bCs/>
          <w:color w:val="000000" w:themeColor="text1"/>
          <w:w w:val="99"/>
          <w:sz w:val="24"/>
          <w14:textFill>
            <w14:solidFill>
              <w14:schemeClr w14:val="tx1"/>
            </w14:solidFill>
          </w14:textFill>
        </w:rPr>
        <w:t>①</w:t>
      </w:r>
      <w:r>
        <w:rPr>
          <w:rFonts w:eastAsiaTheme="minorEastAsia"/>
          <w:bCs/>
          <w:color w:val="000000" w:themeColor="text1"/>
          <w:w w:val="99"/>
          <w:sz w:val="24"/>
          <w14:textFill>
            <w14:solidFill>
              <w14:schemeClr w14:val="tx1"/>
            </w14:solidFill>
          </w14:textFill>
        </w:rPr>
        <w:t>从事危险废物收集、贮存、运输经营活动的单位应具有危险废物经营许可证。在收集、贮存、运输危险废物时，应根据危险废物收集、贮存、处置经营许可证核发的有关规定建立相应的规章制度和污染防治措施，包括危险废物分析管理制度、安全管理制度、污染防治措施等；危险废物产生单位内部自行从事的危险废物收集、贮存、运输活动应遵照国家相关管理规定，建立健全规章制度及操作流程，确保该过程的安全、可靠。</w:t>
      </w:r>
      <w:r>
        <w:rPr>
          <w:rFonts w:hint="eastAsia" w:ascii="宋体" w:hAnsi="宋体" w:cs="宋体"/>
          <w:bCs/>
          <w:color w:val="000000" w:themeColor="text1"/>
          <w:w w:val="99"/>
          <w:sz w:val="24"/>
          <w14:textFill>
            <w14:solidFill>
              <w14:schemeClr w14:val="tx1"/>
            </w14:solidFill>
          </w14:textFill>
        </w:rPr>
        <w:t>②</w:t>
      </w:r>
      <w:r>
        <w:rPr>
          <w:rFonts w:eastAsiaTheme="minorEastAsia"/>
          <w:bCs/>
          <w:color w:val="000000" w:themeColor="text1"/>
          <w:w w:val="99"/>
          <w:sz w:val="24"/>
          <w14:textFill>
            <w14:solidFill>
              <w14:schemeClr w14:val="tx1"/>
            </w14:solidFill>
          </w14:textFill>
        </w:rPr>
        <w:t>危险废物转移过程应按《危险废物转移管理办法》执行。</w:t>
      </w:r>
      <w:r>
        <w:rPr>
          <w:rFonts w:hint="eastAsia" w:ascii="宋体" w:hAnsi="宋体" w:cs="宋体"/>
          <w:bCs/>
          <w:color w:val="000000" w:themeColor="text1"/>
          <w:w w:val="99"/>
          <w:sz w:val="24"/>
          <w14:textFill>
            <w14:solidFill>
              <w14:schemeClr w14:val="tx1"/>
            </w14:solidFill>
          </w14:textFill>
        </w:rPr>
        <w:t>③</w:t>
      </w:r>
      <w:r>
        <w:rPr>
          <w:rFonts w:eastAsiaTheme="minorEastAsia"/>
          <w:bCs/>
          <w:color w:val="000000" w:themeColor="text1"/>
          <w:w w:val="99"/>
          <w:sz w:val="24"/>
          <w14:textFill>
            <w14:solidFill>
              <w14:schemeClr w14:val="tx1"/>
            </w14:solidFill>
          </w14:textFill>
        </w:rPr>
        <w:t>危险废物收集、贮存、运输单位应建立规范的管理和技术人员培训制度，定期针对管理和技术人员进行培训。培训内容至少应包括危险废物鉴别要求、危险废物经营许可证管理、危险废物转移管理、危险废物包装和标识、危险废物运输要求、危险废物事故应急方法等。</w:t>
      </w:r>
      <w:r>
        <w:rPr>
          <w:rFonts w:hint="eastAsia" w:ascii="宋体" w:hAnsi="宋体" w:cs="宋体"/>
          <w:bCs/>
          <w:color w:val="000000" w:themeColor="text1"/>
          <w:w w:val="99"/>
          <w:sz w:val="24"/>
          <w14:textFill>
            <w14:solidFill>
              <w14:schemeClr w14:val="tx1"/>
            </w14:solidFill>
          </w14:textFill>
        </w:rPr>
        <w:t>④</w:t>
      </w:r>
      <w:r>
        <w:rPr>
          <w:rFonts w:eastAsiaTheme="minorEastAsia"/>
          <w:bCs/>
          <w:color w:val="000000" w:themeColor="text1"/>
          <w:w w:val="99"/>
          <w:sz w:val="24"/>
          <w14:textFill>
            <w14:solidFill>
              <w14:schemeClr w14:val="tx1"/>
            </w14:solidFill>
          </w14:textFill>
        </w:rPr>
        <w:t>危险废物收集、贮存、运输单位应编制应急预案。应急预案编制可参照《危险废物经营单位编制应急预案指南》，涉及运输的相关内容还应符合交通行政主管部门的有关规定。针对危险废物收集、贮存、运输过程中的事故易发环节应定期组织应急演练。</w:t>
      </w:r>
      <w:r>
        <w:rPr>
          <w:rFonts w:hint="eastAsia" w:ascii="宋体" w:hAnsi="宋体" w:cs="宋体"/>
          <w:bCs/>
          <w:color w:val="000000" w:themeColor="text1"/>
          <w:w w:val="99"/>
          <w:sz w:val="24"/>
          <w14:textFill>
            <w14:solidFill>
              <w14:schemeClr w14:val="tx1"/>
            </w14:solidFill>
          </w14:textFill>
        </w:rPr>
        <w:t>⑤</w:t>
      </w:r>
      <w:r>
        <w:rPr>
          <w:rFonts w:eastAsiaTheme="minorEastAsia"/>
          <w:bCs/>
          <w:color w:val="000000" w:themeColor="text1"/>
          <w:w w:val="99"/>
          <w:sz w:val="24"/>
          <w14:textFill>
            <w14:solidFill>
              <w14:schemeClr w14:val="tx1"/>
            </w14:solidFill>
          </w14:textFill>
        </w:rPr>
        <w:t>危险废物收集、贮存、运输时应按危险特性对危险废物进行分类、包装并设置相应的标志及标签。</w:t>
      </w:r>
    </w:p>
    <w:p w14:paraId="1AAF55CD">
      <w:pPr>
        <w:pStyle w:val="46"/>
        <w:spacing w:after="0" w:line="440" w:lineRule="exact"/>
        <w:ind w:left="0" w:leftChars="0" w:firstLine="474" w:firstLineChars="200"/>
        <w:rPr>
          <w:rFonts w:eastAsiaTheme="minorEastAsia"/>
          <w:bCs/>
          <w:color w:val="000000" w:themeColor="text1"/>
          <w:w w:val="99"/>
          <w:sz w:val="24"/>
          <w14:textFill>
            <w14:solidFill>
              <w14:schemeClr w14:val="tx1"/>
            </w14:solidFill>
          </w14:textFill>
        </w:rPr>
      </w:pPr>
      <w:r>
        <w:rPr>
          <w:rFonts w:eastAsiaTheme="minorEastAsia"/>
          <w:bCs/>
          <w:color w:val="000000" w:themeColor="text1"/>
          <w:w w:val="99"/>
          <w:sz w:val="24"/>
          <w14:textFill>
            <w14:solidFill>
              <w14:schemeClr w14:val="tx1"/>
            </w14:solidFill>
          </w14:textFill>
        </w:rPr>
        <w:t>生产的单位和接收单位严格执行《危险废物转移管理办法》。在收集过程中确保危险废物不遗撒，泄露。从事落地油和油泥砂运输的单位在接到通知后，按照《危险废物污染防治技术政策》和《危险废物转移管理办法》等有关规定建立相应的规章制度和污染防治措施，包括危险废物分析管理制度、安全管理制度、污染防治措施等。建立健全规章制度及操作流程。同时在危险废物转移过程中按《危险废物转移管理办法》执行，该单位应编制应急预案。运输的车辆是专用车并符合相关要求；运输车辆、设备及管道进行定期的维护和检查，保持槽车和良好的工作状态，保证接地正常。担任储运人员须经过上岗培训，经定期考核通过后方能持证上岗。工作人员应熟悉事故应急设备的使用和维护，了解应急手册应急处理流程，一旦发生意外，在采取应急处理的同时，迅速报告公安、交通部门和环保等有关部门，必要时疏散群众，防止事态进一步步扩大和恶化。</w:t>
      </w:r>
    </w:p>
    <w:p w14:paraId="537B690C">
      <w:pPr>
        <w:pStyle w:val="46"/>
        <w:spacing w:after="0" w:line="440" w:lineRule="exact"/>
        <w:ind w:left="0" w:leftChars="0" w:firstLine="474" w:firstLineChars="200"/>
        <w:rPr>
          <w:rFonts w:eastAsiaTheme="minorEastAsia"/>
          <w:bCs/>
          <w:color w:val="000000" w:themeColor="text1"/>
          <w:w w:val="99"/>
          <w:sz w:val="24"/>
          <w14:textFill>
            <w14:solidFill>
              <w14:schemeClr w14:val="tx1"/>
            </w14:solidFill>
          </w14:textFill>
        </w:rPr>
      </w:pPr>
      <w:r>
        <w:rPr>
          <w:rFonts w:hint="eastAsia" w:eastAsiaTheme="minorEastAsia"/>
          <w:bCs/>
          <w:color w:val="000000" w:themeColor="text1"/>
          <w:w w:val="99"/>
          <w:sz w:val="24"/>
          <w14:textFill>
            <w14:solidFill>
              <w14:schemeClr w14:val="tx1"/>
            </w14:solidFill>
          </w14:textFill>
        </w:rPr>
        <w:t>严格执行《危险废物环境管理指南</w:t>
      </w:r>
      <w:r>
        <w:rPr>
          <w:rFonts w:eastAsiaTheme="minorEastAsia"/>
          <w:bCs/>
          <w:color w:val="000000" w:themeColor="text1"/>
          <w:w w:val="99"/>
          <w:sz w:val="24"/>
          <w14:textFill>
            <w14:solidFill>
              <w14:schemeClr w14:val="tx1"/>
            </w14:solidFill>
          </w14:textFill>
        </w:rPr>
        <w:t xml:space="preserve"> 陆上石油天然气开采</w:t>
      </w:r>
      <w:r>
        <w:rPr>
          <w:rFonts w:hint="eastAsia" w:eastAsiaTheme="minorEastAsia"/>
          <w:bCs/>
          <w:color w:val="000000" w:themeColor="text1"/>
          <w:w w:val="99"/>
          <w:sz w:val="24"/>
          <w14:textFill>
            <w14:solidFill>
              <w14:schemeClr w14:val="tx1"/>
            </w14:solidFill>
          </w14:textFill>
        </w:rPr>
        <w:t>》中环境管理要求：①落实污染环境防治责任制度，建立健全工业危险废物产生、收集、贮存、运输、利用、处置全过程的污染环境防治责任制度。②落实危险废物识别标志制度，按照《环境保护图形标志</w:t>
      </w:r>
      <w:r>
        <w:rPr>
          <w:rFonts w:eastAsiaTheme="minorEastAsia"/>
          <w:bCs/>
          <w:color w:val="000000" w:themeColor="text1"/>
          <w:w w:val="99"/>
          <w:sz w:val="24"/>
          <w14:textFill>
            <w14:solidFill>
              <w14:schemeClr w14:val="tx1"/>
            </w14:solidFill>
          </w14:textFill>
        </w:rPr>
        <w:t xml:space="preserve"> 固体废物贮存（处置）场》（GB 15562.2）</w:t>
      </w:r>
      <w:r>
        <w:rPr>
          <w:rFonts w:hint="eastAsia" w:eastAsiaTheme="minorEastAsia"/>
          <w:bCs/>
          <w:color w:val="000000" w:themeColor="text1"/>
          <w:w w:val="99"/>
          <w:sz w:val="24"/>
          <w14:textFill>
            <w14:solidFill>
              <w14:schemeClr w14:val="tx1"/>
            </w14:solidFill>
          </w14:textFill>
        </w:rPr>
        <w:t>等有关规定，对危险废物的容器和包装物以及收集、贮存、运输、利用、处置危险废物的设施、场所设置危险废物识别标志。③落实危险废物管理台账及申报制度，建立危险废物管理台账，如实记录有关信息，并通过国家危险废物信息管理系统向所在地生态环境主管部门申报危险废物的种类、产生量、流向、贮存、处置等有关资料。④落实危险废物经营许可证制度，禁止将危险废物提供或委托给无危险废物经营许可证的单位或者其他生产经营者从事收集、贮存、利用、处置活动。⑤落实危险废物转移联单制度，转移危险废物的，应当按照《危险废物转移管理办法》的有关规定填写、运行危险废物转移联单。运输危险废物，应当采取防止污染环境的措施，并遵守国家有关危险货物运输管理的规定。⑥落实排污许可制度；已经取得排污许可证的，执行排污许可管理制度的规定。⑦</w:t>
      </w:r>
      <w:r>
        <w:rPr>
          <w:rFonts w:eastAsiaTheme="minorEastAsia"/>
          <w:bCs/>
          <w:color w:val="000000" w:themeColor="text1"/>
          <w:w w:val="99"/>
          <w:sz w:val="24"/>
          <w14:textFill>
            <w14:solidFill>
              <w14:schemeClr w14:val="tx1"/>
            </w14:solidFill>
          </w14:textFill>
        </w:rPr>
        <w:t>落实环境保护标准制度，按照国家有关规定和环境保护标准要求贮存、利用、处置危险废物，</w:t>
      </w:r>
      <w:r>
        <w:rPr>
          <w:rFonts w:hint="eastAsia" w:eastAsiaTheme="minorEastAsia"/>
          <w:bCs/>
          <w:color w:val="000000" w:themeColor="text1"/>
          <w:w w:val="99"/>
          <w:sz w:val="24"/>
          <w14:textFill>
            <w14:solidFill>
              <w14:schemeClr w14:val="tx1"/>
            </w14:solidFill>
          </w14:textFill>
        </w:rPr>
        <w:t>不得将其擅自倾倒处置。</w:t>
      </w:r>
    </w:p>
    <w:p w14:paraId="40C8E800">
      <w:pPr>
        <w:pStyle w:val="46"/>
        <w:spacing w:after="0" w:line="440" w:lineRule="exact"/>
        <w:ind w:left="0" w:leftChars="0" w:firstLine="474" w:firstLineChars="200"/>
        <w:rPr>
          <w:rFonts w:eastAsiaTheme="minorEastAsia"/>
          <w:bCs/>
          <w:color w:val="000000" w:themeColor="text1"/>
          <w:w w:val="99"/>
          <w:sz w:val="24"/>
          <w14:textFill>
            <w14:solidFill>
              <w14:schemeClr w14:val="tx1"/>
            </w14:solidFill>
          </w14:textFill>
        </w:rPr>
      </w:pPr>
      <w:r>
        <w:rPr>
          <w:rFonts w:eastAsiaTheme="minorEastAsia"/>
          <w:bCs/>
          <w:color w:val="000000" w:themeColor="text1"/>
          <w:w w:val="99"/>
          <w:sz w:val="24"/>
          <w14:textFill>
            <w14:solidFill>
              <w14:schemeClr w14:val="tx1"/>
            </w14:solidFill>
          </w14:textFill>
        </w:rPr>
        <w:t>含油污泥的主要成份是水、砂和石油类。对油泥的处置措施是主要是将含油污泥进行减量化、资源化处理。本项目产生的清淤油泥</w:t>
      </w:r>
      <w:r>
        <w:rPr>
          <w:rFonts w:eastAsiaTheme="minorEastAsia"/>
          <w:bCs/>
          <w:color w:val="000000" w:themeColor="text1"/>
          <w:w w:val="99"/>
          <w:sz w:val="24"/>
          <w:lang w:val="en-US"/>
          <w14:textFill>
            <w14:solidFill>
              <w14:schemeClr w14:val="tx1"/>
            </w14:solidFill>
          </w14:textFill>
        </w:rPr>
        <w:t>由罐车拉运至</w:t>
      </w:r>
      <w:r>
        <w:rPr>
          <w:rFonts w:hint="eastAsia" w:eastAsiaTheme="minorEastAsia"/>
          <w:bCs/>
          <w:color w:val="000000" w:themeColor="text1"/>
          <w:w w:val="99"/>
          <w:sz w:val="24"/>
          <w:lang w:val="en-US" w:eastAsia="zh-CN"/>
          <w14:textFill>
            <w14:solidFill>
              <w14:schemeClr w14:val="tx1"/>
            </w14:solidFill>
          </w14:textFill>
        </w:rPr>
        <w:t>第五采油厂</w:t>
      </w:r>
      <w:r>
        <w:rPr>
          <w:rFonts w:eastAsiaTheme="minorEastAsia"/>
          <w:bCs/>
          <w:color w:val="000000" w:themeColor="text1"/>
          <w:w w:val="99"/>
          <w:sz w:val="24"/>
          <w:lang w:val="en-US"/>
          <w14:textFill>
            <w14:solidFill>
              <w14:schemeClr w14:val="tx1"/>
            </w14:solidFill>
          </w14:textFill>
        </w:rPr>
        <w:t>含油污泥处理站处理满足《油田含油污泥处置与利用污染控制要求》（DB23/T 3104-2022）表1中</w:t>
      </w:r>
      <w:r>
        <w:rPr>
          <w:rFonts w:eastAsiaTheme="minorEastAsia"/>
          <w:bCs/>
          <w:color w:val="000000" w:themeColor="text1"/>
          <w:w w:val="99"/>
          <w:sz w:val="24"/>
          <w14:textFill>
            <w14:solidFill>
              <w14:schemeClr w14:val="tx1"/>
            </w14:solidFill>
          </w14:textFill>
        </w:rPr>
        <w:t>油田含油污泥经处置后泥渣利用污染物控制限值后用作油田垫井场和通井路，大大缓解了油田含油污泥集中堆放的现状，实现了油田含油污泥的减量化、资源化处理，有一定的经济效益，具有很高的环境效益和社会效益。</w:t>
      </w:r>
    </w:p>
    <w:p w14:paraId="41ACBDEF">
      <w:pPr>
        <w:pStyle w:val="46"/>
        <w:spacing w:after="0" w:line="440" w:lineRule="exact"/>
        <w:ind w:left="0" w:leftChars="0" w:firstLine="474" w:firstLineChars="200"/>
        <w:rPr>
          <w:rFonts w:eastAsiaTheme="minorEastAsia"/>
          <w:bCs/>
          <w:color w:val="000000" w:themeColor="text1"/>
          <w:w w:val="99"/>
          <w:sz w:val="24"/>
          <w14:textFill>
            <w14:solidFill>
              <w14:schemeClr w14:val="tx1"/>
            </w14:solidFill>
          </w14:textFill>
        </w:rPr>
      </w:pPr>
      <w:r>
        <w:rPr>
          <w:rFonts w:eastAsiaTheme="minorEastAsia"/>
          <w:bCs/>
          <w:color w:val="000000" w:themeColor="text1"/>
          <w:w w:val="99"/>
          <w:sz w:val="24"/>
          <w14:textFill>
            <w14:solidFill>
              <w14:schemeClr w14:val="tx1"/>
            </w14:solidFill>
          </w14:textFill>
        </w:rPr>
        <w:t>采取以上措施后，施工期产生的固体废物均得到有效处置，不会对周围环境产生不良影响。</w:t>
      </w:r>
    </w:p>
    <w:p w14:paraId="6680E37E">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497" w:name="_Toc117794602"/>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5.6 生态环境影响评价</w:t>
      </w:r>
      <w:bookmarkEnd w:id="497"/>
    </w:p>
    <w:p w14:paraId="79A44EEF">
      <w:pPr>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本项目主要生态影响在施工期管线铺设，会对区域内的生态环境，特别是建设范围内的生态环境造成严重影响。本项目在确定管线走向时已充分考虑了生态环境现状，施工期尽可能利用油田和地方已有的基础设施，尽量减少临时征地。因此，工程建设对生态环境的潜在影响将会明显减小。对生态环境的影响主要有以下几个方面。</w:t>
      </w:r>
    </w:p>
    <w:p w14:paraId="2F7511D3">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498" w:name="_Toc117794603"/>
      <w:r>
        <w:rPr>
          <w:rFonts w:ascii="Times New Roman" w:hAnsi="Times New Roman" w:cs="Times New Roman" w:eastAsiaTheme="minorEastAsia"/>
          <w:color w:val="000000" w:themeColor="text1"/>
          <w:w w:val="99"/>
          <w:kern w:val="2"/>
          <w:lang w:val="en-US" w:bidi="ar-SA"/>
          <w14:textFill>
            <w14:solidFill>
              <w14:schemeClr w14:val="tx1"/>
            </w14:solidFill>
          </w14:textFill>
        </w:rPr>
        <w:t>5.6.1占地对生态环境的影响</w:t>
      </w:r>
      <w:bookmarkEnd w:id="498"/>
    </w:p>
    <w:p w14:paraId="7739F068">
      <w:pPr>
        <w:spacing w:line="440" w:lineRule="exact"/>
        <w:ind w:firstLine="474" w:firstLineChars="200"/>
        <w:rPr>
          <w:rFonts w:ascii="Times New Roman" w:hAnsi="Times New Roman" w:cs="Times New Roman" w:eastAsiaTheme="minorEastAsia"/>
          <w:bCs/>
          <w:color w:val="000000" w:themeColor="text1"/>
          <w:w w:val="99"/>
          <w:sz w:val="24"/>
          <w14:textFill>
            <w14:solidFill>
              <w14:schemeClr w14:val="tx1"/>
            </w14:solidFill>
          </w14:textFill>
        </w:rPr>
      </w:pPr>
      <w:r>
        <w:rPr>
          <w:rFonts w:ascii="Times New Roman" w:hAnsi="Times New Roman" w:cs="Times New Roman" w:eastAsiaTheme="minorEastAsia"/>
          <w:bCs/>
          <w:color w:val="000000" w:themeColor="text1"/>
          <w:w w:val="99"/>
          <w:sz w:val="24"/>
          <w14:textFill>
            <w14:solidFill>
              <w14:schemeClr w14:val="tx1"/>
            </w14:solidFill>
          </w14:textFill>
        </w:rPr>
        <w:t>本项目管道施工过程中，车辆碾压、机械推挖、人员践踏将会对地表植被造成很大破坏，本工程临时占用草地影响的影响是短期可逆的，施工结束后，被占用的土地开始恢复。自然植被的演替规律是先是一、二年生的植物，3~5年后可恢复到冷蒿、杂草类，10年后可达到原来的顶级群落，自然恢复的过程按恢复期为5年计，第一年植被破坏区域将损失正常产量50%，第二、三年产量将下降20%~40%。</w:t>
      </w:r>
    </w:p>
    <w:p w14:paraId="70024D4F">
      <w:pPr>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14:textFill>
            <w14:solidFill>
              <w14:schemeClr w14:val="tx1"/>
            </w14:solidFill>
          </w14:textFill>
        </w:rPr>
        <w:t>对于临时占地造成的生态破坏，除应对其进行经济补偿外，工程开工前，应先剥离占地范围内表层土，堆置于管线两侧临时占地内，并对堆放场做好水保措施，待施工结束后，回填占地范围，并采用表土回填，增肥作业，恢复临时占地的生产力，本项目的建设对当地土地利用格局影响在可接受范围内。</w:t>
      </w:r>
    </w:p>
    <w:p w14:paraId="235CCD5B">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499" w:name="_Toc117794604"/>
      <w:r>
        <w:rPr>
          <w:rFonts w:ascii="Times New Roman" w:hAnsi="Times New Roman" w:cs="Times New Roman" w:eastAsiaTheme="minorEastAsia"/>
          <w:color w:val="000000" w:themeColor="text1"/>
          <w:w w:val="99"/>
          <w:kern w:val="2"/>
          <w:lang w:val="en-US" w:bidi="ar-SA"/>
          <w14:textFill>
            <w14:solidFill>
              <w14:schemeClr w14:val="tx1"/>
            </w14:solidFill>
          </w14:textFill>
        </w:rPr>
        <w:t>5.6.2工程建设对生态环境的影响</w:t>
      </w:r>
      <w:bookmarkEnd w:id="499"/>
    </w:p>
    <w:p w14:paraId="1A3323D6">
      <w:pPr>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该项目工程建设对生态环境的影响主要来自在管线铺设时，会对地表植被造成破坏，对生态系统的分割效应。高于地表的管线培埂和油田道路网络形成了对原有生态系统的分割，破坏了生态系统的连续性，可能会阻隔地表径流的原有流向，改变了水分因子的分布。就本工程而言，新建管道采取平埋方式铺设，避免了管道铺设对地表径流的截流；管线走向力求线路顺直，缩短线路长度，并利用道路路肩敷设，以减少管道建设对生态环境的影响。油田开发区内道路尽量利用现有道路，不存在道路网络对地表径流的截流，道路网络产生的分割效应不大，对油田开发区的生态系统影响有限。</w:t>
      </w:r>
    </w:p>
    <w:p w14:paraId="36F2861C">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00" w:name="_Toc117794605"/>
      <w:r>
        <w:rPr>
          <w:rFonts w:ascii="Times New Roman" w:hAnsi="Times New Roman" w:cs="Times New Roman" w:eastAsiaTheme="minorEastAsia"/>
          <w:color w:val="000000" w:themeColor="text1"/>
          <w:w w:val="99"/>
          <w:kern w:val="2"/>
          <w:lang w:val="en-US" w:bidi="ar-SA"/>
          <w14:textFill>
            <w14:solidFill>
              <w14:schemeClr w14:val="tx1"/>
            </w14:solidFill>
          </w14:textFill>
        </w:rPr>
        <w:t>5.6.3 对植被的影响分析</w:t>
      </w:r>
      <w:bookmarkEnd w:id="500"/>
    </w:p>
    <w:p w14:paraId="49290ABB">
      <w:pPr>
        <w:pStyle w:val="46"/>
        <w:spacing w:after="0" w:line="440" w:lineRule="exact"/>
        <w:ind w:left="0" w:leftChars="0" w:firstLine="474" w:firstLineChars="200"/>
        <w:rPr>
          <w:rFonts w:eastAsiaTheme="minorEastAsia"/>
          <w:bCs/>
          <w:color w:val="000000" w:themeColor="text1"/>
          <w:w w:val="99"/>
          <w:sz w:val="24"/>
          <w:szCs w:val="24"/>
          <w14:textFill>
            <w14:solidFill>
              <w14:schemeClr w14:val="tx1"/>
            </w14:solidFill>
          </w14:textFill>
        </w:rPr>
      </w:pPr>
      <w:r>
        <w:rPr>
          <w:rFonts w:eastAsiaTheme="minorEastAsia"/>
          <w:bCs/>
          <w:color w:val="000000" w:themeColor="text1"/>
          <w:w w:val="99"/>
          <w:sz w:val="24"/>
          <w:szCs w:val="24"/>
          <w14:textFill>
            <w14:solidFill>
              <w14:schemeClr w14:val="tx1"/>
            </w14:solidFill>
          </w14:textFill>
        </w:rPr>
        <w:t>由于本工程不新增永久占地，临时占地的占用期限很短，在完工后可以及时恢复，所以不会对当地地表植被产生大的影响。</w:t>
      </w:r>
    </w:p>
    <w:p w14:paraId="468D74E3">
      <w:pPr>
        <w:pStyle w:val="46"/>
        <w:spacing w:after="0" w:line="440" w:lineRule="exact"/>
        <w:ind w:left="0" w:leftChars="0" w:firstLine="474" w:firstLineChars="200"/>
        <w:rPr>
          <w:rFonts w:eastAsiaTheme="minorEastAsia"/>
          <w:bCs/>
          <w:color w:val="000000" w:themeColor="text1"/>
          <w:w w:val="99"/>
          <w:sz w:val="24"/>
          <w:szCs w:val="24"/>
          <w14:textFill>
            <w14:solidFill>
              <w14:schemeClr w14:val="tx1"/>
            </w14:solidFill>
          </w14:textFill>
        </w:rPr>
      </w:pPr>
      <w:r>
        <w:rPr>
          <w:rFonts w:eastAsiaTheme="minorEastAsia"/>
          <w:bCs/>
          <w:color w:val="000000" w:themeColor="text1"/>
          <w:w w:val="99"/>
          <w:sz w:val="24"/>
          <w:szCs w:val="24"/>
          <w14:textFill>
            <w14:solidFill>
              <w14:schemeClr w14:val="tx1"/>
            </w14:solidFill>
          </w14:textFill>
        </w:rPr>
        <w:t>施工过程中，车辆碾压，机械推挖、人员践踏将会对地表植被造成很大破坏，这种影响是短期可逆的，施工结束后，被占用土地开始恢复。自然植被演替的规律是先是一、二年生的植物，3-5年后可恢复到冷篙、杂草类，10年后可达到原来的顶级群落。人工植被当季无法种植作物，将耽误全年收成。</w:t>
      </w:r>
    </w:p>
    <w:p w14:paraId="3BC9F0D9">
      <w:pPr>
        <w:pStyle w:val="46"/>
        <w:spacing w:after="0" w:line="440" w:lineRule="exact"/>
        <w:ind w:left="0" w:leftChars="0" w:firstLine="474" w:firstLineChars="200"/>
        <w:rPr>
          <w:rFonts w:eastAsiaTheme="minorEastAsia"/>
          <w:bCs/>
          <w:color w:val="000000" w:themeColor="text1"/>
          <w:w w:val="99"/>
          <w:sz w:val="24"/>
          <w:szCs w:val="24"/>
          <w14:textFill>
            <w14:solidFill>
              <w14:schemeClr w14:val="tx1"/>
            </w14:solidFill>
          </w14:textFill>
        </w:rPr>
      </w:pPr>
      <w:r>
        <w:rPr>
          <w:rFonts w:eastAsiaTheme="minorEastAsia"/>
          <w:bCs/>
          <w:color w:val="000000" w:themeColor="text1"/>
          <w:w w:val="99"/>
          <w:sz w:val="24"/>
          <w:szCs w:val="24"/>
          <w14:textFill>
            <w14:solidFill>
              <w14:schemeClr w14:val="tx1"/>
            </w14:solidFill>
          </w14:textFill>
        </w:rPr>
        <w:t>（1）占地对草地的影响</w:t>
      </w:r>
    </w:p>
    <w:p w14:paraId="4D297A24">
      <w:pPr>
        <w:spacing w:line="440" w:lineRule="exact"/>
        <w:ind w:firstLine="474" w:firstLineChars="200"/>
        <w:jc w:val="both"/>
        <w:rPr>
          <w:rFonts w:ascii="Times New Roman" w:hAnsi="Times New Roman" w:cs="Times New Roman" w:eastAsiaTheme="minorEastAsia"/>
          <w:bCs/>
          <w:color w:val="000000" w:themeColor="text1"/>
          <w:w w:val="99"/>
          <w:kern w:val="2"/>
          <w:sz w:val="24"/>
          <w:szCs w:val="24"/>
          <w14:textFill>
            <w14:solidFill>
              <w14:schemeClr w14:val="tx1"/>
            </w14:solidFill>
          </w14:textFill>
        </w:rPr>
      </w:pPr>
      <w:r>
        <w:rPr>
          <w:rFonts w:ascii="Times New Roman" w:hAnsi="Times New Roman" w:cs="Times New Roman" w:eastAsiaTheme="minorEastAsia"/>
          <w:bCs/>
          <w:color w:val="000000" w:themeColor="text1"/>
          <w:w w:val="99"/>
          <w:sz w:val="24"/>
          <w:szCs w:val="24"/>
          <w14:textFill>
            <w14:solidFill>
              <w14:schemeClr w14:val="tx1"/>
            </w14:solidFill>
          </w14:textFill>
        </w:rPr>
        <w:t>本工程临时占用草地9.36hm</w:t>
      </w:r>
      <w:r>
        <w:rPr>
          <w:rFonts w:ascii="Times New Roman" w:hAnsi="Times New Roman" w:cs="Times New Roman" w:eastAsiaTheme="minorEastAsia"/>
          <w:bCs/>
          <w:color w:val="000000" w:themeColor="text1"/>
          <w:w w:val="99"/>
          <w:sz w:val="24"/>
          <w:szCs w:val="24"/>
          <w:vertAlign w:val="superscript"/>
          <w14:textFill>
            <w14:solidFill>
              <w14:schemeClr w14:val="tx1"/>
            </w14:solidFill>
          </w14:textFill>
        </w:rPr>
        <w:t>2</w:t>
      </w:r>
      <w:r>
        <w:rPr>
          <w:rFonts w:ascii="Times New Roman" w:hAnsi="Times New Roman" w:cs="Times New Roman" w:eastAsiaTheme="minorEastAsia"/>
          <w:bCs/>
          <w:color w:val="000000" w:themeColor="text1"/>
          <w:w w:val="99"/>
          <w:sz w:val="24"/>
          <w:szCs w:val="24"/>
          <w14:textFill>
            <w14:solidFill>
              <w14:schemeClr w14:val="tx1"/>
            </w14:solidFill>
          </w14:textFill>
        </w:rPr>
        <w:t>，占用的草地均为非基本草原。</w:t>
      </w:r>
      <w:r>
        <w:rPr>
          <w:rFonts w:ascii="Times New Roman" w:hAnsi="Times New Roman" w:cs="Times New Roman" w:eastAsiaTheme="minorEastAsia"/>
          <w:color w:val="000000" w:themeColor="text1"/>
          <w:w w:val="99"/>
          <w:sz w:val="24"/>
          <w:szCs w:val="24"/>
          <w14:textFill>
            <w14:solidFill>
              <w14:schemeClr w14:val="tx1"/>
            </w14:solidFill>
          </w14:textFill>
        </w:rPr>
        <w:t>根据《大庆市人民政府关于印发大庆市征地青苗补偿费标准的通知》（庆政规〔2021〕1号），天然草的补偿标准为0.37元/m</w:t>
      </w:r>
      <w:r>
        <w:rPr>
          <w:rFonts w:ascii="Times New Roman" w:hAnsi="Times New Roman" w:cs="Times New Roman" w:eastAsiaTheme="minorEastAsia"/>
          <w:color w:val="000000" w:themeColor="text1"/>
          <w:w w:val="99"/>
          <w:sz w:val="24"/>
          <w:szCs w:val="24"/>
          <w:vertAlign w:val="superscript"/>
          <w14:textFill>
            <w14:solidFill>
              <w14:schemeClr w14:val="tx1"/>
            </w14:solidFill>
          </w14:textFill>
        </w:rPr>
        <w:t>2</w:t>
      </w: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bCs/>
          <w:color w:val="000000" w:themeColor="text1"/>
          <w:w w:val="99"/>
          <w:kern w:val="2"/>
          <w:sz w:val="24"/>
          <w:szCs w:val="24"/>
          <w14:textFill>
            <w14:solidFill>
              <w14:schemeClr w14:val="tx1"/>
            </w14:solidFill>
          </w14:textFill>
        </w:rPr>
        <w:t>临时占地按3年计算，本工程损失干草经济价值约为10.4万元。临时占地自然植被演替的规律是先是一、二年生的植物，3-5年后可恢复到冷篙、杂草类，10年后可达到原来的顶级群落。</w:t>
      </w:r>
    </w:p>
    <w:p w14:paraId="4B3F9197">
      <w:pPr>
        <w:pStyle w:val="46"/>
        <w:spacing w:after="0" w:line="440" w:lineRule="exact"/>
        <w:ind w:left="0" w:leftChars="0" w:firstLine="474" w:firstLineChars="200"/>
        <w:rPr>
          <w:rFonts w:eastAsiaTheme="minorEastAsia"/>
          <w:bCs/>
          <w:color w:val="000000" w:themeColor="text1"/>
          <w:w w:val="99"/>
          <w:sz w:val="24"/>
          <w:szCs w:val="24"/>
          <w14:textFill>
            <w14:solidFill>
              <w14:schemeClr w14:val="tx1"/>
            </w14:solidFill>
          </w14:textFill>
        </w:rPr>
      </w:pPr>
      <w:r>
        <w:rPr>
          <w:rFonts w:eastAsiaTheme="minorEastAsia"/>
          <w:bCs/>
          <w:color w:val="000000" w:themeColor="text1"/>
          <w:w w:val="99"/>
          <w:sz w:val="24"/>
          <w:szCs w:val="24"/>
          <w14:textFill>
            <w14:solidFill>
              <w14:schemeClr w14:val="tx1"/>
            </w14:solidFill>
          </w14:textFill>
        </w:rPr>
        <w:t>（2）占地对耕地的影响</w:t>
      </w:r>
    </w:p>
    <w:p w14:paraId="4D96FBA9">
      <w:pPr>
        <w:spacing w:line="440" w:lineRule="exact"/>
        <w:ind w:firstLine="474" w:firstLineChars="200"/>
        <w:rPr>
          <w:rFonts w:ascii="Times New Roman" w:hAnsi="Times New Roman" w:cs="Times New Roman" w:eastAsiaTheme="minorEastAsia"/>
          <w:bCs/>
          <w:color w:val="000000" w:themeColor="text1"/>
          <w:w w:val="99"/>
          <w:sz w:val="24"/>
          <w:szCs w:val="24"/>
          <w14:textFill>
            <w14:solidFill>
              <w14:schemeClr w14:val="tx1"/>
            </w14:solidFill>
          </w14:textFill>
        </w:rPr>
      </w:pPr>
      <w:r>
        <w:rPr>
          <w:rFonts w:ascii="Times New Roman" w:hAnsi="Times New Roman" w:cs="Times New Roman" w:eastAsiaTheme="minorEastAsia"/>
          <w:bCs/>
          <w:color w:val="000000" w:themeColor="text1"/>
          <w:w w:val="99"/>
          <w:sz w:val="24"/>
          <w:szCs w:val="24"/>
          <w14:textFill>
            <w14:solidFill>
              <w14:schemeClr w14:val="tx1"/>
            </w14:solidFill>
          </w14:textFill>
        </w:rPr>
        <w:t>本工程临时占用耕地14.01hm</w:t>
      </w:r>
      <w:r>
        <w:rPr>
          <w:rFonts w:ascii="Times New Roman" w:hAnsi="Times New Roman" w:cs="Times New Roman" w:eastAsiaTheme="minorEastAsia"/>
          <w:bCs/>
          <w:color w:val="000000" w:themeColor="text1"/>
          <w:w w:val="99"/>
          <w:sz w:val="24"/>
          <w:szCs w:val="24"/>
          <w:vertAlign w:val="superscript"/>
          <w14:textFill>
            <w14:solidFill>
              <w14:schemeClr w14:val="tx1"/>
            </w14:solidFill>
          </w14:textFill>
        </w:rPr>
        <w:t>2</w:t>
      </w:r>
      <w:r>
        <w:rPr>
          <w:rFonts w:ascii="Times New Roman" w:hAnsi="Times New Roman" w:cs="Times New Roman" w:eastAsiaTheme="minorEastAsia"/>
          <w:bCs/>
          <w:color w:val="000000" w:themeColor="text1"/>
          <w:w w:val="99"/>
          <w:sz w:val="24"/>
          <w:szCs w:val="24"/>
          <w14:textFill>
            <w14:solidFill>
              <w14:schemeClr w14:val="tx1"/>
            </w14:solidFill>
          </w14:textFill>
        </w:rPr>
        <w:t>，</w:t>
      </w:r>
      <w:r>
        <w:rPr>
          <w:rFonts w:ascii="Times New Roman" w:hAnsi="Times New Roman" w:cs="Times New Roman" w:eastAsiaTheme="minorEastAsia"/>
          <w:bCs/>
          <w:color w:val="000000" w:themeColor="text1"/>
          <w:w w:val="99"/>
          <w:kern w:val="2"/>
          <w:sz w:val="24"/>
          <w:szCs w:val="24"/>
          <w14:textFill>
            <w14:solidFill>
              <w14:schemeClr w14:val="tx1"/>
            </w14:solidFill>
          </w14:textFill>
        </w:rPr>
        <w:t>占用的耕地为非基本农田，</w:t>
      </w:r>
      <w:r>
        <w:rPr>
          <w:rFonts w:ascii="Times New Roman" w:hAnsi="Times New Roman" w:cs="Times New Roman" w:eastAsiaTheme="minorEastAsia"/>
          <w:bCs/>
          <w:color w:val="000000" w:themeColor="text1"/>
          <w:w w:val="99"/>
          <w:sz w:val="24"/>
          <w:szCs w:val="24"/>
          <w14:textFill>
            <w14:solidFill>
              <w14:schemeClr w14:val="tx1"/>
            </w14:solidFill>
          </w14:textFill>
        </w:rPr>
        <w:t>占用的农作物均为玉米，</w:t>
      </w:r>
      <w:r>
        <w:rPr>
          <w:rFonts w:ascii="Times New Roman" w:hAnsi="Times New Roman" w:cs="Times New Roman" w:eastAsiaTheme="minorEastAsia"/>
          <w:color w:val="000000" w:themeColor="text1"/>
          <w:w w:val="99"/>
          <w:sz w:val="24"/>
          <w:szCs w:val="24"/>
          <w14:textFill>
            <w14:solidFill>
              <w14:schemeClr w14:val="tx1"/>
            </w14:solidFill>
          </w14:textFill>
        </w:rPr>
        <w:t>根据《大庆市人民政府关于印发大庆市征地青苗补偿费标准的通知》（庆政规〔2021〕1号），大田作物的青苗补偿标准为2.10元/m</w:t>
      </w:r>
      <w:r>
        <w:rPr>
          <w:rFonts w:ascii="Times New Roman" w:hAnsi="Times New Roman" w:cs="Times New Roman" w:eastAsiaTheme="minorEastAsia"/>
          <w:color w:val="000000" w:themeColor="text1"/>
          <w:w w:val="99"/>
          <w:sz w:val="24"/>
          <w:szCs w:val="24"/>
          <w:vertAlign w:val="superscript"/>
          <w14:textFill>
            <w14:solidFill>
              <w14:schemeClr w14:val="tx1"/>
            </w14:solidFill>
          </w14:textFill>
        </w:rPr>
        <w:t>2</w:t>
      </w:r>
      <w:r>
        <w:rPr>
          <w:rFonts w:ascii="Times New Roman" w:hAnsi="Times New Roman" w:cs="Times New Roman" w:eastAsiaTheme="minorEastAsia"/>
          <w:bCs/>
          <w:color w:val="000000" w:themeColor="text1"/>
          <w:w w:val="99"/>
          <w:kern w:val="2"/>
          <w:sz w:val="24"/>
          <w:szCs w:val="24"/>
          <w14:textFill>
            <w14:solidFill>
              <w14:schemeClr w14:val="tx1"/>
            </w14:solidFill>
          </w14:textFill>
        </w:rPr>
        <w:t>。临时占地上层翻动使肥力下降，第二、三年产量将下降20%-50%。本工程临时占地按3年损失计算，其经济价值为56.32万元。工程完工后，临时占地逐年恢复生产力，继续种植农作物，并且将所占耕地恢复为原本质量的耕地。</w:t>
      </w:r>
    </w:p>
    <w:p w14:paraId="56793138">
      <w:pPr>
        <w:autoSpaceDE/>
        <w:autoSpaceDN/>
        <w:spacing w:before="60" w:after="60" w:line="440" w:lineRule="exact"/>
        <w:jc w:val="both"/>
        <w:outlineLvl w:val="2"/>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pPr>
      <w:bookmarkStart w:id="501" w:name="_Toc117794606"/>
      <w:bookmarkStart w:id="502" w:name="_Toc70050252"/>
      <w:r>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t>5.6.4对土壤的影响分析</w:t>
      </w:r>
      <w:bookmarkEnd w:id="501"/>
      <w:bookmarkEnd w:id="502"/>
    </w:p>
    <w:p w14:paraId="026204E5">
      <w:pPr>
        <w:spacing w:line="440" w:lineRule="exact"/>
        <w:ind w:firstLine="474" w:firstLineChars="200"/>
        <w:jc w:val="both"/>
        <w:rPr>
          <w:rFonts w:ascii="Times New Roman" w:hAnsi="Times New Roman" w:cs="Times New Roman" w:eastAsiaTheme="minorEastAsia"/>
          <w:color w:val="000000" w:themeColor="text1"/>
          <w:w w:val="99"/>
          <w:sz w:val="24"/>
          <w:szCs w:val="24"/>
          <w:lang w:val="zh-CN" w:eastAsia="zh-CN"/>
          <w14:textFill>
            <w14:solidFill>
              <w14:schemeClr w14:val="tx1"/>
            </w14:solidFill>
          </w14:textFill>
        </w:rPr>
      </w:pPr>
      <w:r>
        <w:rPr>
          <w:rFonts w:ascii="Times New Roman" w:hAnsi="Times New Roman" w:cs="Times New Roman" w:eastAsiaTheme="minorEastAsia"/>
          <w:color w:val="000000" w:themeColor="text1"/>
          <w:w w:val="99"/>
          <w:sz w:val="24"/>
          <w:szCs w:val="24"/>
          <w:lang w:val="zh-CN" w:eastAsia="zh-CN"/>
          <w14:textFill>
            <w14:solidFill>
              <w14:schemeClr w14:val="tx1"/>
            </w14:solidFill>
          </w14:textFill>
        </w:rPr>
        <w:t>工程对土壤的影响主要体现在工程建设期的开挖、填埋行为对土壤结构的破坏。对施工剥离的表层土集中临时堆放，施工结束后用于场地覆土。对耕植土堆放场进行苫盖防止水土流失。</w:t>
      </w:r>
      <w:r>
        <w:rPr>
          <w:rFonts w:ascii="Times New Roman" w:hAnsi="Times New Roman" w:cs="Times New Roman" w:eastAsiaTheme="minorEastAsia"/>
          <w:bCs/>
          <w:color w:val="000000" w:themeColor="text1"/>
          <w:w w:val="99"/>
          <w:sz w:val="24"/>
          <w:szCs w:val="24"/>
          <w:lang w:val="zh-CN" w:eastAsia="zh-CN"/>
          <w14:textFill>
            <w14:solidFill>
              <w14:schemeClr w14:val="tx1"/>
            </w14:solidFill>
          </w14:textFill>
        </w:rPr>
        <w:t>本工程没有取弃土，不设取弃土场</w:t>
      </w:r>
      <w:r>
        <w:rPr>
          <w:rFonts w:ascii="Times New Roman" w:hAnsi="Times New Roman" w:cs="Times New Roman" w:eastAsiaTheme="minorEastAsia"/>
          <w:color w:val="000000" w:themeColor="text1"/>
          <w:w w:val="99"/>
          <w:sz w:val="24"/>
          <w:szCs w:val="24"/>
          <w:lang w:val="zh-CN" w:eastAsia="zh-CN"/>
          <w14:textFill>
            <w14:solidFill>
              <w14:schemeClr w14:val="tx1"/>
            </w14:solidFill>
          </w14:textFill>
        </w:rPr>
        <w:t>。随着工程施工的结束，生态保护和临时占地的植被恢复措施的进行，有效的保护和恢复措施能保证工程对周边的土壤和植物的影响得到尽快的恢复。通过上述措施，本项目建设对项目所在地土壤环境影响在当地环境可接受范围内。</w:t>
      </w:r>
    </w:p>
    <w:p w14:paraId="0562669D">
      <w:pPr>
        <w:autoSpaceDE/>
        <w:autoSpaceDN/>
        <w:spacing w:before="60" w:after="60" w:line="440" w:lineRule="exact"/>
        <w:jc w:val="both"/>
        <w:outlineLvl w:val="2"/>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pPr>
      <w:bookmarkStart w:id="503" w:name="_Toc117794607"/>
      <w:r>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t>5.6.5对陆生动物环境影响分析</w:t>
      </w:r>
      <w:bookmarkEnd w:id="503"/>
    </w:p>
    <w:p w14:paraId="2B0748F7">
      <w:pPr>
        <w:widowControl/>
        <w:spacing w:line="440" w:lineRule="exact"/>
        <w:ind w:firstLine="474" w:firstLineChars="200"/>
        <w:rPr>
          <w:rFonts w:ascii="Times New Roman" w:hAnsi="Times New Roman" w:cs="Times New Roman" w:eastAsiaTheme="minorEastAsia"/>
          <w:color w:val="000000" w:themeColor="text1"/>
          <w:w w:val="99"/>
          <w:kern w:val="2"/>
          <w:sz w:val="24"/>
          <w:lang w:val="zh-CN" w:eastAsia="zh-CN"/>
          <w14:textFill>
            <w14:solidFill>
              <w14:schemeClr w14:val="tx1"/>
            </w14:solidFill>
          </w14:textFill>
        </w:rPr>
      </w:pPr>
      <w:r>
        <w:rPr>
          <w:rFonts w:ascii="Times New Roman" w:hAnsi="Times New Roman" w:cs="Times New Roman" w:eastAsiaTheme="minorEastAsia"/>
          <w:color w:val="000000" w:themeColor="text1"/>
          <w:w w:val="99"/>
          <w:kern w:val="2"/>
          <w:sz w:val="24"/>
          <w:lang w:val="zh-CN" w:eastAsia="zh-CN"/>
          <w14:textFill>
            <w14:solidFill>
              <w14:schemeClr w14:val="tx1"/>
            </w14:solidFill>
          </w14:textFill>
        </w:rPr>
        <w:t>本次评价区内野生动物种类较少，未见大型野生哺乳动物出没迹象，现有的野生动物多为一些常见的啮齿类、鸟类及昆虫等，无珍稀保护动物。</w:t>
      </w:r>
    </w:p>
    <w:p w14:paraId="5186F17B">
      <w:pPr>
        <w:widowControl/>
        <w:spacing w:line="440" w:lineRule="exact"/>
        <w:ind w:firstLine="474" w:firstLineChars="200"/>
        <w:rPr>
          <w:rFonts w:ascii="Times New Roman" w:hAnsi="Times New Roman" w:cs="Times New Roman" w:eastAsiaTheme="minorEastAsia"/>
          <w:color w:val="000000" w:themeColor="text1"/>
          <w:w w:val="99"/>
          <w:sz w:val="24"/>
          <w:szCs w:val="24"/>
          <w:lang w:val="zh-CN" w:eastAsia="zh-CN"/>
          <w14:textFill>
            <w14:solidFill>
              <w14:schemeClr w14:val="tx1"/>
            </w14:solidFill>
          </w14:textFill>
        </w:rPr>
      </w:pPr>
      <w:r>
        <w:rPr>
          <w:rFonts w:ascii="Times New Roman" w:hAnsi="Times New Roman" w:cs="Times New Roman" w:eastAsiaTheme="minorEastAsia"/>
          <w:color w:val="000000" w:themeColor="text1"/>
          <w:w w:val="99"/>
          <w:sz w:val="24"/>
          <w:szCs w:val="24"/>
          <w:lang w:val="zh-CN" w:eastAsia="zh-CN"/>
          <w14:textFill>
            <w14:solidFill>
              <w14:schemeClr w14:val="tx1"/>
            </w14:solidFill>
          </w14:textFill>
        </w:rPr>
        <w:t>本项目</w:t>
      </w:r>
      <w:r>
        <w:rPr>
          <w:rFonts w:ascii="Times New Roman" w:hAnsi="Times New Roman" w:cs="Times New Roman" w:eastAsiaTheme="minorEastAsia"/>
          <w:color w:val="000000" w:themeColor="text1"/>
          <w:w w:val="99"/>
          <w:sz w:val="24"/>
          <w:szCs w:val="24"/>
          <w:lang w:val="zh-CN"/>
          <w14:textFill>
            <w14:solidFill>
              <w14:schemeClr w14:val="tx1"/>
            </w14:solidFill>
          </w14:textFill>
        </w:rPr>
        <w:t>不</w:t>
      </w:r>
      <w:r>
        <w:rPr>
          <w:rFonts w:ascii="Times New Roman" w:hAnsi="Times New Roman" w:cs="Times New Roman" w:eastAsiaTheme="minorEastAsia"/>
          <w:color w:val="000000" w:themeColor="text1"/>
          <w:w w:val="99"/>
          <w:sz w:val="24"/>
          <w:szCs w:val="24"/>
          <w:lang w:val="zh-CN" w:eastAsia="zh-CN"/>
          <w14:textFill>
            <w14:solidFill>
              <w14:schemeClr w14:val="tx1"/>
            </w14:solidFill>
          </w14:textFill>
        </w:rPr>
        <w:t>新增永久占地，对当地地表植被的影响也是局部的，不会引起该区域野生动物生存环境大面积的明显改变，因此，本项目的建设对野生动物影响不大。施工期对野生动物的影响主要来自施工过程中人类活动、生产机具噪声等影响，但这种影响是局部和暂时的，随施工期的结束而消失，不会引起该区域野生动物大面积迁移或消亡。</w:t>
      </w:r>
    </w:p>
    <w:p w14:paraId="40EACA65">
      <w:pPr>
        <w:autoSpaceDE/>
        <w:autoSpaceDN/>
        <w:spacing w:before="60" w:after="60" w:line="440" w:lineRule="exact"/>
        <w:jc w:val="both"/>
        <w:outlineLvl w:val="2"/>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pPr>
      <w:bookmarkStart w:id="504" w:name="_Toc117794608"/>
      <w:bookmarkStart w:id="505" w:name="_Toc70050253"/>
      <w:bookmarkStart w:id="506" w:name="_Toc67860203"/>
      <w:r>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t>5.6.6对防沙治沙影响分析</w:t>
      </w:r>
      <w:bookmarkEnd w:id="504"/>
      <w:bookmarkEnd w:id="505"/>
      <w:bookmarkEnd w:id="506"/>
    </w:p>
    <w:p w14:paraId="0A636A99">
      <w:pPr>
        <w:autoSpaceDE/>
        <w:autoSpaceDN/>
        <w:spacing w:line="440" w:lineRule="exact"/>
        <w:ind w:firstLine="474" w:firstLineChars="200"/>
        <w:jc w:val="both"/>
        <w:rPr>
          <w:rFonts w:ascii="Times New Roman" w:hAnsi="Times New Roman" w:cs="Times New Roman" w:eastAsiaTheme="minorEastAsia"/>
          <w:bCs/>
          <w:color w:val="000000" w:themeColor="text1"/>
          <w:w w:val="99"/>
          <w:sz w:val="24"/>
          <w:szCs w:val="24"/>
          <w:lang w:val="zh-CN" w:eastAsia="zh-CN"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zh-CN" w:eastAsia="zh-CN" w:bidi="ar-SA"/>
          <w14:textFill>
            <w14:solidFill>
              <w14:schemeClr w14:val="tx1"/>
            </w14:solidFill>
          </w14:textFill>
        </w:rPr>
        <w:t>根据黑龙江省防沙治沙工作领导小组《关于印发&lt;关于贯彻落实《沙化土地封禁保护修复制度方案》的实施意见&gt;的通知》，大庆市让胡路区、红岗区、大同区、肇源县、</w:t>
      </w:r>
      <w:r>
        <w:rPr>
          <w:rFonts w:hint="eastAsia" w:ascii="Times New Roman" w:hAnsi="Times New Roman" w:cs="Times New Roman" w:eastAsiaTheme="minorEastAsia"/>
          <w:bCs/>
          <w:color w:val="000000" w:themeColor="text1"/>
          <w:w w:val="99"/>
          <w:sz w:val="24"/>
          <w:szCs w:val="24"/>
          <w:lang w:val="zh-CN" w:eastAsia="zh-CN" w:bidi="ar-SA"/>
          <w14:textFill>
            <w14:solidFill>
              <w14:schemeClr w14:val="tx1"/>
            </w14:solidFill>
          </w14:textFill>
        </w:rPr>
        <w:t>红岗区杏树岗镇</w:t>
      </w:r>
      <w:r>
        <w:rPr>
          <w:rFonts w:ascii="Times New Roman" w:hAnsi="Times New Roman" w:cs="Times New Roman" w:eastAsiaTheme="minorEastAsia"/>
          <w:bCs/>
          <w:color w:val="000000" w:themeColor="text1"/>
          <w:w w:val="99"/>
          <w:sz w:val="24"/>
          <w:szCs w:val="24"/>
          <w:lang w:val="zh-CN" w:eastAsia="zh-CN" w:bidi="ar-SA"/>
          <w14:textFill>
            <w14:solidFill>
              <w14:schemeClr w14:val="tx1"/>
            </w14:solidFill>
          </w14:textFill>
        </w:rPr>
        <w:t>属于沙化土地所在县（区），本工程位于大庆市</w:t>
      </w:r>
      <w:r>
        <w:rPr>
          <w:rFonts w:hint="eastAsia" w:ascii="Times New Roman" w:hAnsi="Times New Roman" w:cs="Times New Roman" w:eastAsiaTheme="minorEastAsia"/>
          <w:bCs/>
          <w:color w:val="000000" w:themeColor="text1"/>
          <w:w w:val="99"/>
          <w:sz w:val="24"/>
          <w:szCs w:val="24"/>
          <w:lang w:val="zh-CN" w:eastAsia="zh-CN" w:bidi="ar-SA"/>
          <w14:textFill>
            <w14:solidFill>
              <w14:schemeClr w14:val="tx1"/>
            </w14:solidFill>
          </w14:textFill>
        </w:rPr>
        <w:t>红岗区杏树岗镇</w:t>
      </w:r>
      <w:r>
        <w:rPr>
          <w:rFonts w:ascii="Times New Roman" w:hAnsi="Times New Roman" w:cs="Times New Roman" w:eastAsiaTheme="minorEastAsia"/>
          <w:bCs/>
          <w:color w:val="000000" w:themeColor="text1"/>
          <w:w w:val="99"/>
          <w:sz w:val="24"/>
          <w:szCs w:val="24"/>
          <w:lang w:val="zh-CN" w:eastAsia="zh-CN" w:bidi="ar-SA"/>
          <w14:textFill>
            <w14:solidFill>
              <w14:schemeClr w14:val="tx1"/>
            </w14:solidFill>
          </w14:textFill>
        </w:rPr>
        <w:t>，根据现场调查，本工程所在地区沙化土壤分布较少，主要地类为土壤性能良好的耕地和草地，植被覆盖度较高，没有大面积裸地及沙化土地，工程建设活动会增加一定占地对地表植被造成破坏，在短期内出现局部裸地，土壤层次、结构发生了改变，若不及时恢复，由于水土流失加剧增加了土地沙化的可能性。因此施工期须严格落实各项目生态保护措施及生态减缓措施，严格控制控制施工作业占地范围，施工结束后对施工迹地地表植被进行恢复，路基边坡采取种草措施护坡固土，尽量减少工程建设对沙化土地的影响。</w:t>
      </w:r>
    </w:p>
    <w:p w14:paraId="22FD2442">
      <w:pPr>
        <w:autoSpaceDE/>
        <w:autoSpaceDN/>
        <w:spacing w:before="60" w:after="60" w:line="440" w:lineRule="exact"/>
        <w:jc w:val="both"/>
        <w:outlineLvl w:val="2"/>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pPr>
      <w:bookmarkStart w:id="507" w:name="_Toc70050254"/>
      <w:bookmarkStart w:id="508" w:name="_Toc117794609"/>
      <w:bookmarkStart w:id="509" w:name="_Toc67860204"/>
      <w:r>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t>5.6.7对区域水土流失的影响分析</w:t>
      </w:r>
      <w:bookmarkEnd w:id="507"/>
      <w:bookmarkEnd w:id="508"/>
      <w:bookmarkEnd w:id="509"/>
    </w:p>
    <w:p w14:paraId="660F7167">
      <w:pPr>
        <w:autoSpaceDE/>
        <w:autoSpaceDN/>
        <w:spacing w:line="440" w:lineRule="exact"/>
        <w:ind w:firstLine="474" w:firstLineChars="200"/>
        <w:jc w:val="both"/>
        <w:rPr>
          <w:rFonts w:ascii="Times New Roman" w:hAnsi="Times New Roman" w:cs="Times New Roman" w:eastAsiaTheme="minorEastAsia"/>
          <w:bCs/>
          <w:color w:val="000000" w:themeColor="text1"/>
          <w:w w:val="99"/>
          <w:sz w:val="24"/>
          <w:szCs w:val="24"/>
          <w:lang w:val="en-US" w:eastAsia="zh-CN"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eastAsia="zh-CN" w:bidi="ar-SA"/>
          <w14:textFill>
            <w14:solidFill>
              <w14:schemeClr w14:val="tx1"/>
            </w14:solidFill>
          </w14:textFill>
        </w:rPr>
        <w:t>本</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项目</w:t>
      </w:r>
      <w:r>
        <w:rPr>
          <w:rFonts w:ascii="Times New Roman" w:hAnsi="Times New Roman" w:cs="Times New Roman" w:eastAsiaTheme="minorEastAsia"/>
          <w:bCs/>
          <w:color w:val="000000" w:themeColor="text1"/>
          <w:w w:val="99"/>
          <w:sz w:val="24"/>
          <w:szCs w:val="24"/>
          <w:lang w:val="en-US" w:eastAsia="zh-CN" w:bidi="ar-SA"/>
          <w14:textFill>
            <w14:solidFill>
              <w14:schemeClr w14:val="tx1"/>
            </w14:solidFill>
          </w14:textFill>
        </w:rPr>
        <w:t>由于管线等施工时车辆对土壤的碾压，人员对土壤的践踏，将改变原地表地貌状况，扰动原地貌，改变原地貌的状况和性质。工程施工破坏植被，新地貌失去植物根系的固土作用，雨水直接冲刷疏松、裸露的地表土，易造成水土流失；施工过程中，开挖回填后产生的弃渣松散堆积，结构疏松，胶结力差，抗侵蚀能力极低，遇暴雨产生径流，加大水土流失。为了更好的保持水土，建议采取以下水土流失防治措施。</w:t>
      </w:r>
    </w:p>
    <w:p w14:paraId="797E5A86">
      <w:pPr>
        <w:autoSpaceDE/>
        <w:autoSpaceDN/>
        <w:spacing w:line="440" w:lineRule="exact"/>
        <w:ind w:firstLine="474" w:firstLineChars="200"/>
        <w:jc w:val="both"/>
        <w:rPr>
          <w:rFonts w:ascii="Times New Roman" w:hAnsi="Times New Roman" w:cs="Times New Roman" w:eastAsiaTheme="minorEastAsia"/>
          <w:bCs/>
          <w:color w:val="000000" w:themeColor="text1"/>
          <w:w w:val="99"/>
          <w:sz w:val="24"/>
          <w:szCs w:val="24"/>
          <w:lang w:val="en-US" w:eastAsia="zh-CN"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eastAsia="zh-CN" w:bidi="ar-SA"/>
          <w14:textFill>
            <w14:solidFill>
              <w14:schemeClr w14:val="tx1"/>
            </w14:solidFill>
          </w14:textFill>
        </w:rPr>
        <w:t>（</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1</w:t>
      </w:r>
      <w:r>
        <w:rPr>
          <w:rFonts w:ascii="Times New Roman" w:hAnsi="Times New Roman" w:cs="Times New Roman" w:eastAsiaTheme="minorEastAsia"/>
          <w:bCs/>
          <w:color w:val="000000" w:themeColor="text1"/>
          <w:w w:val="99"/>
          <w:sz w:val="24"/>
          <w:szCs w:val="24"/>
          <w:lang w:val="en-US" w:eastAsia="zh-CN" w:bidi="ar-SA"/>
          <w14:textFill>
            <w14:solidFill>
              <w14:schemeClr w14:val="tx1"/>
            </w14:solidFill>
          </w14:textFill>
        </w:rPr>
        <w:t>）管道工程施工时，应划定施工活动范围，严格控制车辆及重型机械的运行范围，避免加行开辟新路。管沟挖、填方作业应尽量做到互补平衡，以免造成弃土方堆积和过多借土，增加新的水土流失。管沟回填应按层回填，以利于施工带土壤和植被的尽早恢复。回填后应予以平整、压实，以免发生水土流失。对高出地面部分做出水土保持要求，要求高出地面部分回填土按梯形堆放于管线上部，堆放后人工进行修整、拍实。</w:t>
      </w:r>
    </w:p>
    <w:p w14:paraId="7F63CC46">
      <w:pPr>
        <w:autoSpaceDE/>
        <w:autoSpaceDN/>
        <w:spacing w:line="440" w:lineRule="exact"/>
        <w:ind w:firstLine="474" w:firstLineChars="200"/>
        <w:jc w:val="both"/>
        <w:rPr>
          <w:rFonts w:ascii="Times New Roman" w:hAnsi="Times New Roman" w:cs="Times New Roman" w:eastAsiaTheme="minorEastAsia"/>
          <w:bCs/>
          <w:color w:val="000000" w:themeColor="text1"/>
          <w:w w:val="99"/>
          <w:sz w:val="24"/>
          <w:szCs w:val="24"/>
          <w:lang w:val="en-US" w:eastAsia="zh-CN"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（2）</w:t>
      </w:r>
      <w:r>
        <w:rPr>
          <w:rFonts w:ascii="Times New Roman" w:hAnsi="Times New Roman" w:cs="Times New Roman" w:eastAsiaTheme="minorEastAsia"/>
          <w:bCs/>
          <w:color w:val="000000" w:themeColor="text1"/>
          <w:w w:val="99"/>
          <w:sz w:val="24"/>
          <w:szCs w:val="24"/>
          <w:lang w:val="en-US" w:eastAsia="zh-CN" w:bidi="ar-SA"/>
          <w14:textFill>
            <w14:solidFill>
              <w14:schemeClr w14:val="tx1"/>
            </w14:solidFill>
          </w14:textFill>
        </w:rPr>
        <w:t>做好原有植被恢复工作和人工绿化工作，最大程度的降低因本项目施工建设和生产运行而新增的水土流失量，保护当地较脆弱的草原生态系统。</w:t>
      </w:r>
    </w:p>
    <w:p w14:paraId="32A0948A">
      <w:pPr>
        <w:autoSpaceDE/>
        <w:autoSpaceDN/>
        <w:spacing w:line="440" w:lineRule="exact"/>
        <w:ind w:firstLine="474" w:firstLineChars="200"/>
        <w:jc w:val="both"/>
        <w:rPr>
          <w:rFonts w:ascii="Times New Roman" w:hAnsi="Times New Roman" w:cs="Times New Roman" w:eastAsiaTheme="minorEastAsia"/>
          <w:bCs/>
          <w:color w:val="000000" w:themeColor="text1"/>
          <w:w w:val="99"/>
          <w:sz w:val="24"/>
          <w:szCs w:val="24"/>
          <w:lang w:val="en-US" w:eastAsia="zh-CN"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（3）</w:t>
      </w:r>
      <w:r>
        <w:rPr>
          <w:rFonts w:ascii="Times New Roman" w:hAnsi="Times New Roman" w:cs="Times New Roman" w:eastAsiaTheme="minorEastAsia"/>
          <w:bCs/>
          <w:color w:val="000000" w:themeColor="text1"/>
          <w:w w:val="99"/>
          <w:sz w:val="24"/>
          <w:szCs w:val="24"/>
          <w:lang w:val="en-US" w:eastAsia="zh-CN" w:bidi="ar-SA"/>
          <w14:textFill>
            <w14:solidFill>
              <w14:schemeClr w14:val="tx1"/>
            </w14:solidFill>
          </w14:textFill>
        </w:rPr>
        <w:t>严禁在大风、大雨天气下施工，特别是管沟开挖、管道回填作业等。在便道出入口，竖立保护植被的警示牌，已提醒施工作业人员，减少人员随意践踏造成的水土流失。严禁开发建设施工材料乱堆乱放，划定适宜的堆料场，以防对植物破坏范围的扩大，增加裸地面积而新增的水土流失。</w:t>
      </w:r>
    </w:p>
    <w:p w14:paraId="090EC4E8">
      <w:pPr>
        <w:autoSpaceDE/>
        <w:autoSpaceDN/>
        <w:spacing w:line="440" w:lineRule="exact"/>
        <w:ind w:firstLine="474" w:firstLineChars="200"/>
        <w:jc w:val="both"/>
        <w:rPr>
          <w:rFonts w:ascii="Times New Roman" w:hAnsi="Times New Roman" w:cs="Times New Roman" w:eastAsiaTheme="minorEastAsia"/>
          <w:bCs/>
          <w:color w:val="000000" w:themeColor="text1"/>
          <w:w w:val="99"/>
          <w:sz w:val="24"/>
          <w:szCs w:val="24"/>
          <w:lang w:val="zh-CN" w:eastAsia="zh-CN"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eastAsia="zh-CN" w:bidi="ar-SA"/>
          <w14:textFill>
            <w14:solidFill>
              <w14:schemeClr w14:val="tx1"/>
            </w14:solidFill>
          </w14:textFill>
        </w:rPr>
        <w:t>在采取以上措施后，可有效减少水土流失，影响较小。</w:t>
      </w:r>
    </w:p>
    <w:p w14:paraId="5A354D1F">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10" w:name="_Toc117794610"/>
      <w:r>
        <w:rPr>
          <w:rFonts w:ascii="Times New Roman" w:hAnsi="Times New Roman" w:cs="Times New Roman" w:eastAsiaTheme="minorEastAsia"/>
          <w:color w:val="000000" w:themeColor="text1"/>
          <w:w w:val="99"/>
          <w:kern w:val="2"/>
          <w:lang w:val="en-US" w:bidi="ar-SA"/>
          <w14:textFill>
            <w14:solidFill>
              <w14:schemeClr w14:val="tx1"/>
            </w14:solidFill>
          </w14:textFill>
        </w:rPr>
        <w:t>5.6.8 生态环境影响评价结论</w:t>
      </w:r>
      <w:bookmarkEnd w:id="510"/>
    </w:p>
    <w:p w14:paraId="49DC9480">
      <w:pPr>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根据对该项目生态系统结构、功能和生态环境现状评价及项目开发对</w:t>
      </w:r>
      <w:bookmarkStart w:id="511" w:name="_bookmark50"/>
      <w:bookmarkEnd w:id="511"/>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生态环境的影响分析，得出如下结论：</w:t>
      </w:r>
    </w:p>
    <w:p w14:paraId="2E39BE1B">
      <w:pPr>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1）该项目建设对土地的侵占，对植被的破坏，将使项目开发区内的第一生产者的生物量有一定程度的下降。但若选择适当时机施工，并在施工建设过程中采取必要的保护措施，则可能最大程度减小对生态环境的不利影响，加快生态环境在尽可能短的时间内得到恢复。</w:t>
      </w:r>
    </w:p>
    <w:p w14:paraId="783ECFD9">
      <w:pPr>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（2）项目开发工程不可避免会改变原有的生态环境，但若合理建设，但是由于项目为环境改善项目，其运行有利于环境的改善，能够与周围生态环境协调共处。</w:t>
      </w:r>
    </w:p>
    <w:p w14:paraId="1CB8A0F5">
      <w:pPr>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可见，只要采取必要的措施，该项目本项目的建设对生态环境的影响不会太大，在生态上是可行的。</w:t>
      </w:r>
    </w:p>
    <w:p w14:paraId="7203AAD9">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512" w:name="_Toc117794611"/>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5.7土壤环境影响预测与评价</w:t>
      </w:r>
      <w:bookmarkEnd w:id="512"/>
    </w:p>
    <w:p w14:paraId="11BE2A7D">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13" w:name="_Toc117794612"/>
      <w:r>
        <w:rPr>
          <w:rFonts w:ascii="Times New Roman" w:hAnsi="Times New Roman" w:cs="Times New Roman" w:eastAsiaTheme="minorEastAsia"/>
          <w:color w:val="000000" w:themeColor="text1"/>
          <w:w w:val="99"/>
          <w:kern w:val="2"/>
          <w:lang w:val="en-US" w:bidi="ar-SA"/>
          <w14:textFill>
            <w14:solidFill>
              <w14:schemeClr w14:val="tx1"/>
            </w14:solidFill>
          </w14:textFill>
        </w:rPr>
        <w:t>5.7.1 施工期土壤环境影响预测与评价</w:t>
      </w:r>
      <w:bookmarkEnd w:id="513"/>
    </w:p>
    <w:p w14:paraId="4770C75D">
      <w:pPr>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本工程管线施工方法分为埋地敷设，需要对地表土壤进行开挖和填埋，对土壤环境的影响表现在：</w:t>
      </w:r>
    </w:p>
    <w:p w14:paraId="4C9D1F57">
      <w:pPr>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hint="eastAsia"/>
          <w:bCs/>
          <w:color w:val="000000" w:themeColor="text1"/>
          <w:w w:val="99"/>
          <w:sz w:val="24"/>
          <w:szCs w:val="24"/>
          <w:lang w:val="en-US" w:bidi="ar-SA"/>
          <w14:textFill>
            <w14:solidFill>
              <w14:schemeClr w14:val="tx1"/>
            </w14:solidFill>
          </w14:textFill>
        </w:rPr>
        <w:t>①</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局部破坏土壤结构的形成需要漫长的时间，土壤结构是土壤质量好坏的重要指标，特别是团粒结构是土壤质量的重要指标，团粒结构占的比重越高，表示土壤质量越好，团粒结构一旦被破坏，恢复需要较长时间，而且比较困难。施工过程中对土地的开挖和填埋，容易破坏团粒结构，干扰团粒结构的自然形成过程。施工过程中的机械碾压、人员践踏等活动都会对土壤结构产生不良影响。</w:t>
      </w:r>
    </w:p>
    <w:p w14:paraId="42C81D4E">
      <w:pPr>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hint="eastAsia"/>
          <w:bCs/>
          <w:color w:val="000000" w:themeColor="text1"/>
          <w:w w:val="99"/>
          <w:sz w:val="24"/>
          <w:szCs w:val="24"/>
          <w:lang w:val="en-US" w:bidi="ar-SA"/>
          <w14:textFill>
            <w14:solidFill>
              <w14:schemeClr w14:val="tx1"/>
            </w14:solidFill>
          </w14:textFill>
        </w:rPr>
        <w:t>②</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局部破坏土壤层次，改变土壤质地。在耕作区，土壤经过人类改造，其土壤层次、深度与自然条件下形成的土壤还有一定区别，表层为耕作层，深度约为15~25cm，中层离底层20~40cm，40cm以下为母质层。耕作层是作物根系分布密集区，土壤肥力、水分集中分布区。管线开挖和回填过程中，必然会对土壤原有层次产生扰动和破坏，使不同层次、不同质地的土体产生混合，特别是耕层土壤被混合后，将对农作物的生长和产量有所影响。</w:t>
      </w:r>
    </w:p>
    <w:p w14:paraId="121904DE">
      <w:pPr>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hint="eastAsia"/>
          <w:bCs/>
          <w:color w:val="000000" w:themeColor="text1"/>
          <w:w w:val="99"/>
          <w:sz w:val="24"/>
          <w:szCs w:val="24"/>
          <w:lang w:val="en-US" w:bidi="ar-SA"/>
          <w14:textFill>
            <w14:solidFill>
              <w14:schemeClr w14:val="tx1"/>
            </w14:solidFill>
          </w14:textFill>
        </w:rPr>
        <w:t>③</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对开挖地带的土壤紧实度有一定的影响</w:t>
      </w:r>
    </w:p>
    <w:p w14:paraId="64DC6FB8">
      <w:pPr>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在施工机械作业中，机械设备的碾压，施工人员的践踏使土壤紧实度增高，短期内影响土壤中的水分循环。</w:t>
      </w:r>
    </w:p>
    <w:p w14:paraId="77B6D316">
      <w:pPr>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hint="eastAsia"/>
          <w:bCs/>
          <w:color w:val="000000" w:themeColor="text1"/>
          <w:w w:val="99"/>
          <w:sz w:val="24"/>
          <w:szCs w:val="24"/>
          <w:lang w:val="en-US" w:bidi="ar-SA"/>
          <w14:textFill>
            <w14:solidFill>
              <w14:schemeClr w14:val="tx1"/>
            </w14:solidFill>
          </w14:textFill>
        </w:rPr>
        <w:t>④</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开挖地带的土壤养分部分造成流失</w:t>
      </w:r>
    </w:p>
    <w:p w14:paraId="3BCCECC0">
      <w:pPr>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在土壤刨面中各个土层中，就养分状况而言，表土层(腐殖质层、耕作层)远比心土层养分好，其有机质、全氮、全磷均较其他层次高。施工作业对原有的土体构型产生扰动，使土壤性质发生变化，土壤养分状况受到影响，从而影响植物的生长。</w:t>
      </w:r>
    </w:p>
    <w:p w14:paraId="3FA36208">
      <w:pPr>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根据国内外有关资料，管线工程对土壤养分的影响与土壤本身的理化性质和施工作业方式密切相关。在实行分层堆放、分层覆土的措施下，一般情况下，土壤的有机质下降30%~40%，土壤养分下降30%~50%，其中全氮下降43%左右，磷素下降40%，钾素下降43%。因此在实际操作中，一定要强化施工队伍的施工作业管理和要求，对开挖的表层土实行分层堆放和分层覆土，避免土壤中的各种养分流失。</w:t>
      </w:r>
    </w:p>
    <w:p w14:paraId="79F4B667">
      <w:pPr>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hint="eastAsia"/>
          <w:bCs/>
          <w:color w:val="000000" w:themeColor="text1"/>
          <w:w w:val="99"/>
          <w:sz w:val="24"/>
          <w:szCs w:val="24"/>
          <w:lang w:val="en-US" w:bidi="ar-SA"/>
          <w14:textFill>
            <w14:solidFill>
              <w14:schemeClr w14:val="tx1"/>
            </w14:solidFill>
          </w14:textFill>
        </w:rPr>
        <w:t>⑤</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施工废物对土壤环境的影响</w:t>
      </w:r>
    </w:p>
    <w:p w14:paraId="3C068408">
      <w:pPr>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在管线施工中废弃的物质有管线外层保温、防腐等工序的废弃物。这些固体废物如不及时清运，将有可能残留于土壤中，对后期恢复期的土壤耕作和农作物的生长有一定影响。因此应严格规范施工要求，施工期的固体废物必须在施工完毕后进行清运。</w:t>
      </w:r>
    </w:p>
    <w:p w14:paraId="6103EF0F">
      <w:pPr>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hint="eastAsia"/>
          <w:bCs/>
          <w:color w:val="000000" w:themeColor="text1"/>
          <w:w w:val="99"/>
          <w:sz w:val="24"/>
          <w:szCs w:val="24"/>
          <w:lang w:val="en-US" w:bidi="ar-SA"/>
          <w14:textFill>
            <w14:solidFill>
              <w14:schemeClr w14:val="tx1"/>
            </w14:solidFill>
          </w14:textFill>
        </w:rPr>
        <w:t>⑥</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对土壤生物的影响</w:t>
      </w:r>
    </w:p>
    <w:p w14:paraId="6EF70F94">
      <w:pPr>
        <w:spacing w:line="440" w:lineRule="exact"/>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由于上述土壤理化性质和土体构型的改变，使土壤中的微生物、原生动物及其它节肢动物、环节动物、软体动物的栖息环境改变。由于施工带影响宽度在10m左右，且呈带状分布在整个评价区域，所以土壤生物的生态平衡在施工结束后很快会得到恢复。</w:t>
      </w:r>
    </w:p>
    <w:p w14:paraId="171D87A5">
      <w:pPr>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综上，施工期会对土壤结构产生一定的影响，但是由于施工时间较短，项目占地范围较小，所以对土壤环境的影响在可接受范围之内。</w:t>
      </w:r>
    </w:p>
    <w:p w14:paraId="62E9878D">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14" w:name="_Toc117794613"/>
      <w:r>
        <w:rPr>
          <w:rFonts w:ascii="Times New Roman" w:hAnsi="Times New Roman" w:cs="Times New Roman" w:eastAsiaTheme="minorEastAsia"/>
          <w:color w:val="000000" w:themeColor="text1"/>
          <w:w w:val="99"/>
          <w:kern w:val="2"/>
          <w:lang w:val="en-US" w:bidi="ar-SA"/>
          <w14:textFill>
            <w14:solidFill>
              <w14:schemeClr w14:val="tx1"/>
            </w14:solidFill>
          </w14:textFill>
        </w:rPr>
        <w:t>5.7.2运营期对土壤环境影响分析</w:t>
      </w:r>
      <w:bookmarkEnd w:id="514"/>
    </w:p>
    <w:p w14:paraId="3402186C">
      <w:pPr>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为了保护地下水和土壤环境，本项目按照《环境影响评价技术导则 地下水环境》(HJ610-2016)对工程进行防渗工程设计，集输管道采用防腐电热钢管，防止和降低污染物跑、冒、滴、漏，正常状况下，油气、废水均在管道内，不会有物料和污水渗漏至地下的情景发生。事故情况下，管道破裂会导致原油通过垂直入渗进入土壤。其危害主要表现为降低土壤透气、透水性，改变土壤微生物种群结构，消耗土壤氮素，使植物生长受阻，体内残留量增加，恶化土壤——植物及土壤——食物链系统的环境质量。因此，油田生产中，一定要严防原油跑、冒事故的发生，一旦发生事故，应立即采取事故应急措施，及时对落地油进行回收，最大限度地恢复地表原貌，从而为利用土壤的自净作用创造条件，在尽可能短的时间使土壤环境得到恢复。</w:t>
      </w:r>
    </w:p>
    <w:p w14:paraId="4F6FA5CD">
      <w:pPr>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根据《环境影响评价技术导则 土壤环境(试行)》(HJ964-2018)，本项目采用类比分析法对运营期土壤环境影响进行分析。</w:t>
      </w:r>
    </w:p>
    <w:p w14:paraId="093876A7">
      <w:pPr>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本工程为管线建设项目，可类比本区块地面产能建设时期管道建设影响分析本工程对土壤环境的影响。《采油九厂龙虎泡油田萨葡油层外扩产能建设工程环境影响报告书》（环评批复号为</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庆环审〔2016〕215号</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，并于</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2020年4月完成自主验收</w:t>
      </w: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）中工程内容中包括新建集油管道等，以及其他油田地面工程。该项目与本工程具有相同的施工方式，工艺流程，并在同一建设区域，因此具有可比性。</w:t>
      </w:r>
    </w:p>
    <w:p w14:paraId="562C9B97">
      <w:pPr>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该项目验收报告施工阶段，由于管线施工占用了大量临时占地，大型、重型机械设备的碾压，施工人员的践踏、材料堆放等都会破坏地表植被，使土壤紧实度增高，根据现场调查，施工阶段临时占地形成的裸地基本已得到了恢复。对该区块输油管线处取土壤样进行监测，从土壤的监测结果石油烃为未检出，周围场站永久占地外土壤环境质量各项指标监测结果均低于标准值，且与项目开发之前变化不大，说明企业在项目实施之后较好的落实污染防治措施，油田开发对土壤环境影响较小。</w:t>
      </w:r>
    </w:p>
    <w:p w14:paraId="0859CF2B">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15" w:name="_Toc117794614"/>
      <w:r>
        <w:rPr>
          <w:rFonts w:ascii="Times New Roman" w:hAnsi="Times New Roman" w:cs="Times New Roman" w:eastAsiaTheme="minorEastAsia"/>
          <w:color w:val="000000" w:themeColor="text1"/>
          <w:w w:val="99"/>
          <w:kern w:val="2"/>
          <w:lang w:val="en-US" w:bidi="ar-SA"/>
          <w14:textFill>
            <w14:solidFill>
              <w14:schemeClr w14:val="tx1"/>
            </w14:solidFill>
          </w14:textFill>
        </w:rPr>
        <w:t>5.7.3评价结论</w:t>
      </w:r>
      <w:bookmarkEnd w:id="515"/>
    </w:p>
    <w:p w14:paraId="161E85A7">
      <w:pPr>
        <w:spacing w:line="440" w:lineRule="exact"/>
        <w:ind w:firstLine="474" w:firstLineChars="200"/>
        <w:jc w:val="both"/>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4"/>
          <w:szCs w:val="24"/>
          <w:lang w:val="en-US" w:bidi="ar-SA"/>
          <w14:textFill>
            <w14:solidFill>
              <w14:schemeClr w14:val="tx1"/>
            </w14:solidFill>
          </w14:textFill>
        </w:rPr>
        <w:t>本项目所在地土壤环境现状较好，根据土壤环境影响分析结果，本项目对土壤环境的影响较小。</w:t>
      </w:r>
    </w:p>
    <w:p w14:paraId="0A378EB6">
      <w:pPr>
        <w:pStyle w:val="101"/>
        <w:spacing w:before="120" w:after="48"/>
      </w:pPr>
    </w:p>
    <w:p w14:paraId="4B497DEF">
      <w:pPr>
        <w:rPr>
          <w:lang w:val="en-US" w:bidi="ar-SA"/>
        </w:rPr>
      </w:pPr>
    </w:p>
    <w:p w14:paraId="17B95D9C">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516" w:name="_Toc117794615"/>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5.8 环境风险评价</w:t>
      </w:r>
      <w:bookmarkEnd w:id="516"/>
    </w:p>
    <w:p w14:paraId="3D48D9B4">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17" w:name="_Toc117794616"/>
      <w:r>
        <w:rPr>
          <w:rFonts w:ascii="Times New Roman" w:hAnsi="Times New Roman" w:cs="Times New Roman" w:eastAsiaTheme="minorEastAsia"/>
          <w:color w:val="000000" w:themeColor="text1"/>
          <w:w w:val="99"/>
          <w:kern w:val="2"/>
          <w:lang w:val="en-US" w:bidi="ar-SA"/>
          <w14:textFill>
            <w14:solidFill>
              <w14:schemeClr w14:val="tx1"/>
            </w14:solidFill>
          </w14:textFill>
        </w:rPr>
        <w:t>5.8.1 评价依据</w:t>
      </w:r>
      <w:bookmarkEnd w:id="517"/>
    </w:p>
    <w:p w14:paraId="2ED4926D">
      <w:pPr>
        <w:pStyle w:val="129"/>
        <w:spacing w:line="440" w:lineRule="exact"/>
        <w:ind w:firstLine="0" w:firstLineChars="0"/>
        <w:jc w:val="both"/>
        <w:outlineLvl w:val="3"/>
        <w:rPr>
          <w:rFonts w:ascii="Times New Roman" w:hAnsi="Times New Roman" w:eastAsiaTheme="minorEastAsia"/>
          <w:b/>
          <w:color w:val="000000" w:themeColor="text1"/>
          <w:w w:val="99"/>
          <w:sz w:val="24"/>
          <w:szCs w:val="24"/>
          <w:lang w:val="en-US"/>
          <w14:textFill>
            <w14:solidFill>
              <w14:schemeClr w14:val="tx1"/>
            </w14:solidFill>
          </w14:textFill>
        </w:rPr>
      </w:pPr>
      <w:r>
        <w:rPr>
          <w:rFonts w:ascii="Times New Roman" w:hAnsi="Times New Roman" w:eastAsiaTheme="minorEastAsia"/>
          <w:b/>
          <w:color w:val="000000" w:themeColor="text1"/>
          <w:w w:val="99"/>
          <w:sz w:val="24"/>
          <w:szCs w:val="24"/>
          <w:lang w:val="en-US"/>
          <w14:textFill>
            <w14:solidFill>
              <w14:schemeClr w14:val="tx1"/>
            </w14:solidFill>
          </w14:textFill>
        </w:rPr>
        <w:t>5.8.1.1 风险调查</w:t>
      </w:r>
    </w:p>
    <w:p w14:paraId="2C0236BE">
      <w:pPr>
        <w:autoSpaceDE/>
        <w:autoSpaceDN/>
        <w:adjustRightInd w:val="0"/>
        <w:snapToGrid w:val="0"/>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本工程涉及的主要危险物质是原油、天然气（石油开采伴生气）。</w:t>
      </w:r>
    </w:p>
    <w:p w14:paraId="6BFAD403">
      <w:pPr>
        <w:autoSpaceDE/>
        <w:autoSpaceDN/>
        <w:adjustRightInd w:val="0"/>
        <w:snapToGrid w:val="0"/>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（1）原油</w:t>
      </w:r>
    </w:p>
    <w:p w14:paraId="10A471C0">
      <w:pPr>
        <w:autoSpaceDE/>
        <w:autoSpaceDN/>
        <w:adjustRightInd w:val="0"/>
        <w:snapToGrid w:val="0"/>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原油主要是由烃类组成的一种复杂液态混合物，同时还含有少量的氧、氮、硫等其他化合物。其主要特性包括：易燃性、流动性、易挥发性、易积聚静电、腐蚀性、毒性。根据《石油天然气工程设计防火规范》（GB50183-2004），其为火灾危险性甲类物质。</w:t>
      </w:r>
    </w:p>
    <w:p w14:paraId="0FAC9391">
      <w:pPr>
        <w:autoSpaceDE/>
        <w:autoSpaceDN/>
        <w:adjustRightInd w:val="0"/>
        <w:snapToGrid w:val="0"/>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原油的危险特性见表5.8-1。</w:t>
      </w:r>
    </w:p>
    <w:p w14:paraId="6AA5D9B8">
      <w:pPr>
        <w:autoSpaceDE/>
        <w:autoSpaceDN/>
        <w:adjustRightInd w:val="0"/>
        <w:snapToGrid w:val="0"/>
        <w:spacing w:line="440" w:lineRule="exact"/>
        <w:ind w:firstLine="476" w:firstLineChars="200"/>
        <w:jc w:val="both"/>
        <w:rPr>
          <w:rFonts w:ascii="Times New Roman" w:hAnsi="Times New Roman" w:cs="Times New Roman" w:eastAsiaTheme="minorEastAsia"/>
          <w:b/>
          <w:bCs/>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bCs/>
          <w:color w:val="000000" w:themeColor="text1"/>
          <w:w w:val="99"/>
          <w:kern w:val="2"/>
          <w:sz w:val="24"/>
          <w:szCs w:val="24"/>
          <w:lang w:val="en-US" w:bidi="ar-SA"/>
          <w14:textFill>
            <w14:solidFill>
              <w14:schemeClr w14:val="tx1"/>
            </w14:solidFill>
          </w14:textFill>
        </w:rPr>
        <w:t>表5.8-1        原油危险特性</w:t>
      </w:r>
    </w:p>
    <w:tbl>
      <w:tblPr>
        <w:tblStyle w:val="80"/>
        <w:tblW w:w="92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8"/>
        <w:gridCol w:w="1188"/>
        <w:gridCol w:w="1087"/>
        <w:gridCol w:w="1371"/>
        <w:gridCol w:w="989"/>
        <w:gridCol w:w="802"/>
        <w:gridCol w:w="486"/>
        <w:gridCol w:w="736"/>
        <w:gridCol w:w="1839"/>
      </w:tblGrid>
      <w:tr w14:paraId="4644F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trPr>
        <w:tc>
          <w:tcPr>
            <w:tcW w:w="788" w:type="dxa"/>
            <w:vMerge w:val="restart"/>
            <w:tcBorders>
              <w:tl2br w:val="nil"/>
              <w:tr2bl w:val="nil"/>
            </w:tcBorders>
            <w:vAlign w:val="center"/>
          </w:tcPr>
          <w:p w14:paraId="779E62F3">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标识</w:t>
            </w:r>
          </w:p>
        </w:tc>
        <w:tc>
          <w:tcPr>
            <w:tcW w:w="8498" w:type="dxa"/>
            <w:gridSpan w:val="8"/>
            <w:tcBorders>
              <w:tl2br w:val="nil"/>
              <w:tr2bl w:val="nil"/>
            </w:tcBorders>
            <w:vAlign w:val="center"/>
          </w:tcPr>
          <w:p w14:paraId="1246EED4">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中文名：石油原油</w:t>
            </w:r>
          </w:p>
        </w:tc>
      </w:tr>
      <w:tr w14:paraId="08CF9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14:paraId="5F3315C9">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4635" w:type="dxa"/>
            <w:gridSpan w:val="4"/>
            <w:tcBorders>
              <w:tl2br w:val="nil"/>
              <w:tr2bl w:val="nil"/>
            </w:tcBorders>
            <w:vAlign w:val="center"/>
          </w:tcPr>
          <w:p w14:paraId="45D7B32F">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英文名：petroleum</w:t>
            </w:r>
          </w:p>
        </w:tc>
        <w:tc>
          <w:tcPr>
            <w:tcW w:w="3863" w:type="dxa"/>
            <w:gridSpan w:val="4"/>
            <w:tcBorders>
              <w:tl2br w:val="nil"/>
              <w:tr2bl w:val="nil"/>
            </w:tcBorders>
            <w:vAlign w:val="center"/>
          </w:tcPr>
          <w:p w14:paraId="7F01F2E1">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分子式：主要是烃（C</w:t>
            </w:r>
            <w:r>
              <w:rPr>
                <w:rFonts w:ascii="Times New Roman" w:hAnsi="Times New Roman" w:cs="Times New Roman" w:eastAsiaTheme="minorEastAsia"/>
                <w:color w:val="000000" w:themeColor="text1"/>
                <w:w w:val="99"/>
                <w:kern w:val="2"/>
                <w:sz w:val="21"/>
                <w:szCs w:val="21"/>
                <w:vertAlign w:val="subscript"/>
                <w:lang w:val="en-US" w:bidi="ar-SA"/>
                <w14:textFill>
                  <w14:solidFill>
                    <w14:schemeClr w14:val="tx1"/>
                  </w14:solidFill>
                </w14:textFill>
              </w:rPr>
              <w:t>6</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H</w:t>
            </w:r>
            <w:r>
              <w:rPr>
                <w:rFonts w:ascii="Times New Roman" w:hAnsi="Times New Roman" w:cs="Times New Roman" w:eastAsiaTheme="minorEastAsia"/>
                <w:color w:val="000000" w:themeColor="text1"/>
                <w:w w:val="99"/>
                <w:kern w:val="2"/>
                <w:sz w:val="21"/>
                <w:szCs w:val="21"/>
                <w:vertAlign w:val="subscript"/>
                <w:lang w:val="en-US" w:bidi="ar-SA"/>
                <w14:textFill>
                  <w14:solidFill>
                    <w14:schemeClr w14:val="tx1"/>
                  </w14:solidFill>
                </w14:textFill>
              </w:rPr>
              <w:t>6</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r>
      <w:tr w14:paraId="6870B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14:paraId="1EAD0182">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3646" w:type="dxa"/>
            <w:gridSpan w:val="3"/>
            <w:tcBorders>
              <w:tl2br w:val="nil"/>
              <w:tr2bl w:val="nil"/>
            </w:tcBorders>
            <w:vAlign w:val="center"/>
          </w:tcPr>
          <w:p w14:paraId="6E1FA9E5">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分子量：（根据组分确定）</w:t>
            </w:r>
          </w:p>
        </w:tc>
        <w:tc>
          <w:tcPr>
            <w:tcW w:w="2277" w:type="dxa"/>
            <w:gridSpan w:val="3"/>
            <w:tcBorders>
              <w:tl2br w:val="nil"/>
              <w:tr2bl w:val="nil"/>
            </w:tcBorders>
            <w:vAlign w:val="center"/>
          </w:tcPr>
          <w:p w14:paraId="4FC5B5F2">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2575" w:type="dxa"/>
            <w:gridSpan w:val="2"/>
            <w:tcBorders>
              <w:tl2br w:val="nil"/>
              <w:tr2bl w:val="nil"/>
            </w:tcBorders>
            <w:vAlign w:val="center"/>
          </w:tcPr>
          <w:p w14:paraId="6EE1D336">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r>
      <w:tr w14:paraId="00A801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14:paraId="47443C3F">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3646" w:type="dxa"/>
            <w:gridSpan w:val="3"/>
            <w:tcBorders>
              <w:tl2br w:val="nil"/>
              <w:tr2bl w:val="nil"/>
            </w:tcBorders>
            <w:vAlign w:val="center"/>
          </w:tcPr>
          <w:p w14:paraId="1FC81E25">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危险货物编号：32003</w:t>
            </w:r>
          </w:p>
        </w:tc>
        <w:tc>
          <w:tcPr>
            <w:tcW w:w="2277" w:type="dxa"/>
            <w:gridSpan w:val="3"/>
            <w:tcBorders>
              <w:tl2br w:val="nil"/>
              <w:tr2bl w:val="nil"/>
            </w:tcBorders>
            <w:vAlign w:val="center"/>
          </w:tcPr>
          <w:p w14:paraId="5B394270">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RTECS号：</w:t>
            </w:r>
          </w:p>
        </w:tc>
        <w:tc>
          <w:tcPr>
            <w:tcW w:w="2575" w:type="dxa"/>
            <w:gridSpan w:val="2"/>
            <w:tcBorders>
              <w:tl2br w:val="nil"/>
              <w:tr2bl w:val="nil"/>
            </w:tcBorders>
            <w:vAlign w:val="center"/>
          </w:tcPr>
          <w:p w14:paraId="3EB6AA17">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IMDG规则页码：3141</w:t>
            </w:r>
          </w:p>
        </w:tc>
      </w:tr>
      <w:tr w14:paraId="64251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restart"/>
            <w:tcBorders>
              <w:tl2br w:val="nil"/>
              <w:tr2bl w:val="nil"/>
            </w:tcBorders>
            <w:vAlign w:val="center"/>
          </w:tcPr>
          <w:p w14:paraId="4846FC14">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理化性质</w:t>
            </w:r>
          </w:p>
        </w:tc>
        <w:tc>
          <w:tcPr>
            <w:tcW w:w="2275" w:type="dxa"/>
            <w:gridSpan w:val="2"/>
            <w:tcBorders>
              <w:tl2br w:val="nil"/>
              <w:tr2bl w:val="nil"/>
            </w:tcBorders>
            <w:vAlign w:val="center"/>
          </w:tcPr>
          <w:p w14:paraId="664176F0">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外观与形状</w:t>
            </w:r>
          </w:p>
        </w:tc>
        <w:tc>
          <w:tcPr>
            <w:tcW w:w="6223" w:type="dxa"/>
            <w:gridSpan w:val="6"/>
            <w:tcBorders>
              <w:tl2br w:val="nil"/>
              <w:tr2bl w:val="nil"/>
            </w:tcBorders>
            <w:vAlign w:val="center"/>
          </w:tcPr>
          <w:p w14:paraId="787CBB29">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黄色乃至黑色，有绿色荧光的稠厚性油状液体</w:t>
            </w:r>
          </w:p>
        </w:tc>
      </w:tr>
      <w:tr w14:paraId="5F31B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14:paraId="7EBA26A7">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2275" w:type="dxa"/>
            <w:gridSpan w:val="2"/>
            <w:tcBorders>
              <w:tl2br w:val="nil"/>
              <w:tr2bl w:val="nil"/>
            </w:tcBorders>
            <w:vAlign w:val="center"/>
          </w:tcPr>
          <w:p w14:paraId="4669DF96">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熔点（℃）</w:t>
            </w:r>
          </w:p>
        </w:tc>
        <w:tc>
          <w:tcPr>
            <w:tcW w:w="2360" w:type="dxa"/>
            <w:gridSpan w:val="2"/>
            <w:tcBorders>
              <w:tl2br w:val="nil"/>
              <w:tr2bl w:val="nil"/>
            </w:tcBorders>
            <w:vAlign w:val="center"/>
          </w:tcPr>
          <w:p w14:paraId="66B34E56">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2024" w:type="dxa"/>
            <w:gridSpan w:val="3"/>
            <w:tcBorders>
              <w:tl2br w:val="nil"/>
              <w:tr2bl w:val="nil"/>
            </w:tcBorders>
            <w:vAlign w:val="center"/>
          </w:tcPr>
          <w:p w14:paraId="07D13913">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凝点（℃）</w:t>
            </w:r>
          </w:p>
        </w:tc>
        <w:tc>
          <w:tcPr>
            <w:tcW w:w="1839" w:type="dxa"/>
            <w:tcBorders>
              <w:tl2br w:val="nil"/>
              <w:tr2bl w:val="nil"/>
            </w:tcBorders>
            <w:vAlign w:val="center"/>
          </w:tcPr>
          <w:p w14:paraId="00873CBD">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21</w:t>
            </w:r>
          </w:p>
        </w:tc>
      </w:tr>
      <w:tr w14:paraId="240A4F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14:paraId="129CD9D1">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2275" w:type="dxa"/>
            <w:gridSpan w:val="2"/>
            <w:tcBorders>
              <w:tl2br w:val="nil"/>
              <w:tr2bl w:val="nil"/>
            </w:tcBorders>
            <w:vAlign w:val="center"/>
          </w:tcPr>
          <w:p w14:paraId="265CE964">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沸程（℃）</w:t>
            </w:r>
          </w:p>
        </w:tc>
        <w:tc>
          <w:tcPr>
            <w:tcW w:w="2360" w:type="dxa"/>
            <w:gridSpan w:val="2"/>
            <w:tcBorders>
              <w:tl2br w:val="nil"/>
              <w:tr2bl w:val="nil"/>
            </w:tcBorders>
            <w:vAlign w:val="center"/>
          </w:tcPr>
          <w:p w14:paraId="55725939">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常温至500℃以上</w:t>
            </w:r>
          </w:p>
        </w:tc>
        <w:tc>
          <w:tcPr>
            <w:tcW w:w="2024" w:type="dxa"/>
            <w:gridSpan w:val="3"/>
            <w:tcBorders>
              <w:tl2br w:val="nil"/>
              <w:tr2bl w:val="nil"/>
            </w:tcBorders>
            <w:vAlign w:val="center"/>
          </w:tcPr>
          <w:p w14:paraId="1ED5CCE1">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初馏点（℃）</w:t>
            </w:r>
          </w:p>
        </w:tc>
        <w:tc>
          <w:tcPr>
            <w:tcW w:w="1839" w:type="dxa"/>
            <w:tcBorders>
              <w:tl2br w:val="nil"/>
              <w:tr2bl w:val="nil"/>
            </w:tcBorders>
            <w:vAlign w:val="center"/>
          </w:tcPr>
          <w:p w14:paraId="0B21A02B">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70</w:t>
            </w:r>
          </w:p>
        </w:tc>
      </w:tr>
      <w:tr w14:paraId="2A510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14:paraId="3A9C0FA6">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2275" w:type="dxa"/>
            <w:gridSpan w:val="2"/>
            <w:tcBorders>
              <w:tl2br w:val="nil"/>
              <w:tr2bl w:val="nil"/>
            </w:tcBorders>
            <w:vAlign w:val="center"/>
          </w:tcPr>
          <w:p w14:paraId="10112B33">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相对密度(水=1)</w:t>
            </w:r>
          </w:p>
        </w:tc>
        <w:tc>
          <w:tcPr>
            <w:tcW w:w="2360" w:type="dxa"/>
            <w:gridSpan w:val="2"/>
            <w:tcBorders>
              <w:tl2br w:val="nil"/>
              <w:tr2bl w:val="nil"/>
            </w:tcBorders>
            <w:vAlign w:val="center"/>
          </w:tcPr>
          <w:p w14:paraId="7DB2F979">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0.86</w:t>
            </w:r>
          </w:p>
        </w:tc>
        <w:tc>
          <w:tcPr>
            <w:tcW w:w="2024" w:type="dxa"/>
            <w:gridSpan w:val="3"/>
            <w:tcBorders>
              <w:tl2br w:val="nil"/>
              <w:tr2bl w:val="nil"/>
            </w:tcBorders>
            <w:vAlign w:val="center"/>
          </w:tcPr>
          <w:p w14:paraId="56198EC4">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胶质、沥青质含量</w:t>
            </w:r>
          </w:p>
        </w:tc>
        <w:tc>
          <w:tcPr>
            <w:tcW w:w="1839" w:type="dxa"/>
            <w:tcBorders>
              <w:tl2br w:val="nil"/>
              <w:tr2bl w:val="nil"/>
            </w:tcBorders>
            <w:vAlign w:val="center"/>
          </w:tcPr>
          <w:p w14:paraId="2D86E021">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18.2％</w:t>
            </w:r>
          </w:p>
        </w:tc>
      </w:tr>
      <w:tr w14:paraId="10CA8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14:paraId="02738A96">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2275" w:type="dxa"/>
            <w:gridSpan w:val="2"/>
            <w:tcBorders>
              <w:tl2br w:val="nil"/>
              <w:tr2bl w:val="nil"/>
            </w:tcBorders>
            <w:vAlign w:val="center"/>
          </w:tcPr>
          <w:p w14:paraId="25984D0C">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含硫</w:t>
            </w:r>
          </w:p>
        </w:tc>
        <w:tc>
          <w:tcPr>
            <w:tcW w:w="2360" w:type="dxa"/>
            <w:gridSpan w:val="2"/>
            <w:tcBorders>
              <w:tl2br w:val="nil"/>
              <w:tr2bl w:val="nil"/>
            </w:tcBorders>
            <w:vAlign w:val="center"/>
          </w:tcPr>
          <w:p w14:paraId="5ED093CF">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0.11</w:t>
            </w:r>
          </w:p>
        </w:tc>
        <w:tc>
          <w:tcPr>
            <w:tcW w:w="2024" w:type="dxa"/>
            <w:gridSpan w:val="3"/>
            <w:tcBorders>
              <w:tl2br w:val="nil"/>
              <w:tr2bl w:val="nil"/>
            </w:tcBorders>
            <w:vAlign w:val="center"/>
          </w:tcPr>
          <w:p w14:paraId="02C363DD">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含蜡</w:t>
            </w:r>
          </w:p>
        </w:tc>
        <w:tc>
          <w:tcPr>
            <w:tcW w:w="1839" w:type="dxa"/>
            <w:tcBorders>
              <w:tl2br w:val="nil"/>
              <w:tr2bl w:val="nil"/>
            </w:tcBorders>
            <w:vAlign w:val="center"/>
          </w:tcPr>
          <w:p w14:paraId="1CDACBD6">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28.8</w:t>
            </w:r>
          </w:p>
        </w:tc>
      </w:tr>
      <w:tr w14:paraId="43C5E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14:paraId="45983180">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4635" w:type="dxa"/>
            <w:gridSpan w:val="4"/>
            <w:tcBorders>
              <w:tl2br w:val="nil"/>
              <w:tr2bl w:val="nil"/>
            </w:tcBorders>
            <w:vAlign w:val="center"/>
          </w:tcPr>
          <w:p w14:paraId="7AAFD004">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溶解性</w:t>
            </w:r>
          </w:p>
        </w:tc>
        <w:tc>
          <w:tcPr>
            <w:tcW w:w="3863" w:type="dxa"/>
            <w:gridSpan w:val="4"/>
            <w:tcBorders>
              <w:tl2br w:val="nil"/>
              <w:tr2bl w:val="nil"/>
            </w:tcBorders>
            <w:vAlign w:val="center"/>
          </w:tcPr>
          <w:p w14:paraId="45CC2576">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不溶于水，溶于多数有机溶剂</w:t>
            </w:r>
          </w:p>
        </w:tc>
      </w:tr>
      <w:tr w14:paraId="12681A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788" w:type="dxa"/>
            <w:vMerge w:val="restart"/>
            <w:tcBorders>
              <w:tl2br w:val="nil"/>
              <w:tr2bl w:val="nil"/>
            </w:tcBorders>
            <w:vAlign w:val="center"/>
          </w:tcPr>
          <w:p w14:paraId="1AD5FFC7">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毒性及健康危害</w:t>
            </w:r>
          </w:p>
        </w:tc>
        <w:tc>
          <w:tcPr>
            <w:tcW w:w="2275" w:type="dxa"/>
            <w:gridSpan w:val="2"/>
            <w:tcBorders>
              <w:tl2br w:val="nil"/>
              <w:tr2bl w:val="nil"/>
            </w:tcBorders>
            <w:vAlign w:val="center"/>
          </w:tcPr>
          <w:p w14:paraId="1EC22A6B">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侵入途径</w:t>
            </w:r>
          </w:p>
        </w:tc>
        <w:tc>
          <w:tcPr>
            <w:tcW w:w="6223" w:type="dxa"/>
            <w:gridSpan w:val="6"/>
            <w:tcBorders>
              <w:tl2br w:val="nil"/>
              <w:tr2bl w:val="nil"/>
            </w:tcBorders>
            <w:vAlign w:val="center"/>
          </w:tcPr>
          <w:p w14:paraId="19E21C65">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吸入、食入、经皮吸收</w:t>
            </w:r>
          </w:p>
        </w:tc>
      </w:tr>
      <w:tr w14:paraId="2C0A9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14:paraId="3EBFD3E9">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2275" w:type="dxa"/>
            <w:gridSpan w:val="2"/>
            <w:tcBorders>
              <w:tl2br w:val="nil"/>
              <w:tr2bl w:val="nil"/>
            </w:tcBorders>
            <w:vAlign w:val="center"/>
          </w:tcPr>
          <w:p w14:paraId="60315CA5">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健康危害</w:t>
            </w:r>
          </w:p>
        </w:tc>
        <w:tc>
          <w:tcPr>
            <w:tcW w:w="6223" w:type="dxa"/>
            <w:gridSpan w:val="6"/>
            <w:tcBorders>
              <w:tl2br w:val="nil"/>
              <w:tr2bl w:val="nil"/>
            </w:tcBorders>
            <w:vAlign w:val="center"/>
          </w:tcPr>
          <w:p w14:paraId="60BC1F53">
            <w:pPr>
              <w:adjustRightInd w:val="0"/>
              <w:snapToGrid w:val="0"/>
              <w:spacing w:line="360" w:lineRule="exact"/>
              <w:jc w:val="both"/>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原油本身无明显毒性，其不同的产品和中间产品表现出不同的毒性，遇热分解释放出有毒的烟雾，吸入大量蒸气能引起神经麻痹。</w:t>
            </w:r>
          </w:p>
        </w:tc>
      </w:tr>
      <w:tr w14:paraId="2A124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restart"/>
            <w:tcBorders>
              <w:tl2br w:val="nil"/>
              <w:tr2bl w:val="nil"/>
            </w:tcBorders>
            <w:vAlign w:val="center"/>
          </w:tcPr>
          <w:p w14:paraId="2D4B2CE0">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燃烧爆炸危险性</w:t>
            </w:r>
          </w:p>
          <w:p w14:paraId="38055FDF">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2275" w:type="dxa"/>
            <w:gridSpan w:val="2"/>
            <w:tcBorders>
              <w:tl2br w:val="nil"/>
              <w:tr2bl w:val="nil"/>
            </w:tcBorders>
            <w:vAlign w:val="center"/>
          </w:tcPr>
          <w:p w14:paraId="413BC754">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燃烧性：可燃</w:t>
            </w:r>
          </w:p>
        </w:tc>
        <w:tc>
          <w:tcPr>
            <w:tcW w:w="3162" w:type="dxa"/>
            <w:gridSpan w:val="3"/>
            <w:tcBorders>
              <w:tl2br w:val="nil"/>
              <w:tr2bl w:val="nil"/>
            </w:tcBorders>
            <w:vAlign w:val="center"/>
          </w:tcPr>
          <w:p w14:paraId="2D5AA8C6">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建规火险分级：甲</w:t>
            </w:r>
          </w:p>
        </w:tc>
        <w:tc>
          <w:tcPr>
            <w:tcW w:w="3061" w:type="dxa"/>
            <w:gridSpan w:val="3"/>
            <w:tcBorders>
              <w:tl2br w:val="nil"/>
              <w:tr2bl w:val="nil"/>
            </w:tcBorders>
            <w:vAlign w:val="center"/>
          </w:tcPr>
          <w:p w14:paraId="0A0983CF">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爆炸上限（V%）：5.9</w:t>
            </w:r>
          </w:p>
        </w:tc>
      </w:tr>
      <w:tr w14:paraId="1B831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14:paraId="19654A18">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2275" w:type="dxa"/>
            <w:gridSpan w:val="2"/>
            <w:tcBorders>
              <w:tl2br w:val="nil"/>
              <w:tr2bl w:val="nil"/>
            </w:tcBorders>
            <w:vAlign w:val="center"/>
          </w:tcPr>
          <w:p w14:paraId="5DD83D7A">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自燃温度（</w:t>
            </w:r>
            <w:r>
              <w:rPr>
                <w:rFonts w:ascii="Times New Roman" w:hAnsi="Times New Roman" w:cs="Times New Roman" w:eastAsiaTheme="minorEastAsia"/>
                <w:color w:val="000000" w:themeColor="text1"/>
                <w:w w:val="99"/>
                <w:kern w:val="2"/>
                <w:sz w:val="21"/>
                <w:szCs w:val="21"/>
                <w:lang w:val="en-US" w:eastAsia="ja-JP" w:bidi="ar-SA"/>
                <w14:textFill>
                  <w14:solidFill>
                    <w14:schemeClr w14:val="tx1"/>
                  </w14:solidFill>
                </w14:textFill>
              </w:rPr>
              <w:t>℃</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350</w:t>
            </w:r>
          </w:p>
        </w:tc>
        <w:tc>
          <w:tcPr>
            <w:tcW w:w="3162" w:type="dxa"/>
            <w:gridSpan w:val="3"/>
            <w:tcBorders>
              <w:tl2br w:val="nil"/>
              <w:tr2bl w:val="nil"/>
            </w:tcBorders>
            <w:vAlign w:val="center"/>
          </w:tcPr>
          <w:p w14:paraId="4BBB6B74">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闪点(</w:t>
            </w:r>
            <w:r>
              <w:rPr>
                <w:rFonts w:ascii="Times New Roman" w:hAnsi="Times New Roman" w:cs="Times New Roman" w:eastAsiaTheme="minorEastAsia"/>
                <w:color w:val="000000" w:themeColor="text1"/>
                <w:w w:val="99"/>
                <w:kern w:val="2"/>
                <w:sz w:val="21"/>
                <w:szCs w:val="21"/>
                <w:lang w:val="en-US" w:eastAsia="ja-JP" w:bidi="ar-SA"/>
                <w14:textFill>
                  <w14:solidFill>
                    <w14:schemeClr w14:val="tx1"/>
                  </w14:solidFill>
                </w14:textFill>
              </w:rPr>
              <w:t>℃</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）：-6</w:t>
            </w:r>
          </w:p>
        </w:tc>
        <w:tc>
          <w:tcPr>
            <w:tcW w:w="3061" w:type="dxa"/>
            <w:gridSpan w:val="3"/>
            <w:tcBorders>
              <w:tl2br w:val="nil"/>
              <w:tr2bl w:val="nil"/>
            </w:tcBorders>
            <w:vAlign w:val="center"/>
          </w:tcPr>
          <w:p w14:paraId="70161DD3">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爆炸下限（V%）：0.8</w:t>
            </w:r>
          </w:p>
        </w:tc>
      </w:tr>
      <w:tr w14:paraId="2E6B3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14:paraId="0FD3C2CC">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1188" w:type="dxa"/>
            <w:tcBorders>
              <w:tl2br w:val="nil"/>
              <w:tr2bl w:val="nil"/>
            </w:tcBorders>
            <w:vAlign w:val="center"/>
          </w:tcPr>
          <w:p w14:paraId="49E4C235">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危险特性</w:t>
            </w:r>
          </w:p>
        </w:tc>
        <w:tc>
          <w:tcPr>
            <w:tcW w:w="7310" w:type="dxa"/>
            <w:gridSpan w:val="7"/>
            <w:tcBorders>
              <w:tl2br w:val="nil"/>
              <w:tr2bl w:val="nil"/>
            </w:tcBorders>
            <w:vAlign w:val="center"/>
          </w:tcPr>
          <w:p w14:paraId="67FB4AA3">
            <w:pPr>
              <w:adjustRightInd w:val="0"/>
              <w:snapToGrid w:val="0"/>
              <w:spacing w:line="360" w:lineRule="exact"/>
              <w:jc w:val="both"/>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其蒸气与空气混合能形成爆炸性混合物，遇明火、高热能引起燃烧爆炸。与氧化剂能发生剧烈反应。遇高热分解出有毒的烟雾。其燃烧、爆炸危险性与轻汽油相似。</w:t>
            </w:r>
          </w:p>
        </w:tc>
      </w:tr>
      <w:tr w14:paraId="2397E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14:paraId="616320A0">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1188" w:type="dxa"/>
            <w:tcBorders>
              <w:tl2br w:val="nil"/>
              <w:tr2bl w:val="nil"/>
            </w:tcBorders>
            <w:vAlign w:val="center"/>
          </w:tcPr>
          <w:p w14:paraId="32E78413">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泄漏处理</w:t>
            </w:r>
          </w:p>
        </w:tc>
        <w:tc>
          <w:tcPr>
            <w:tcW w:w="7310" w:type="dxa"/>
            <w:gridSpan w:val="7"/>
            <w:tcBorders>
              <w:tl2br w:val="nil"/>
              <w:tr2bl w:val="nil"/>
            </w:tcBorders>
            <w:vAlign w:val="center"/>
          </w:tcPr>
          <w:p w14:paraId="76C2A098">
            <w:pPr>
              <w:adjustRightInd w:val="0"/>
              <w:snapToGrid w:val="0"/>
              <w:spacing w:line="360" w:lineRule="exact"/>
              <w:jc w:val="both"/>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疏散泄漏污染区人员至安全区，禁止无关人员进入污染区，切断火源。应急处理人员戴自给式呼吸器，穿一般消防防护服，在确保安全情况下堵漏，喷水雾可减少蒸发，用活性碳或其他惰性材料吸收，然后收集运至废物处理场所。也可以用大量水冲洗，经稀释的洗液放入废水系统，如大量泄漏，利用围堤收容，然后收集、转移、回收或无害化处理后废弃。</w:t>
            </w:r>
          </w:p>
        </w:tc>
      </w:tr>
      <w:tr w14:paraId="24666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14:paraId="14F7D306">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1188" w:type="dxa"/>
            <w:tcBorders>
              <w:tl2br w:val="nil"/>
              <w:tr2bl w:val="nil"/>
            </w:tcBorders>
            <w:vAlign w:val="center"/>
          </w:tcPr>
          <w:p w14:paraId="02673CB0">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储运</w:t>
            </w:r>
          </w:p>
        </w:tc>
        <w:tc>
          <w:tcPr>
            <w:tcW w:w="7310" w:type="dxa"/>
            <w:gridSpan w:val="7"/>
            <w:tcBorders>
              <w:tl2br w:val="nil"/>
              <w:tr2bl w:val="nil"/>
            </w:tcBorders>
            <w:vAlign w:val="center"/>
          </w:tcPr>
          <w:p w14:paraId="4D8FE58F">
            <w:pPr>
              <w:adjustRightInd w:val="0"/>
              <w:snapToGrid w:val="0"/>
              <w:spacing w:line="360" w:lineRule="exact"/>
              <w:jc w:val="both"/>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存于密闭容器内，置于通风、远离火种、热源，避免阳光直射处；严禁烟火，应与氧化剂分开存放，操作时使用专用工具，禁止采用易产生火花的机械设备和工具；罐装应注意流速，且有接地装置，防止静电积聚。</w:t>
            </w:r>
          </w:p>
        </w:tc>
      </w:tr>
      <w:tr w14:paraId="3CF13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14:paraId="08603B24">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2275" w:type="dxa"/>
            <w:gridSpan w:val="2"/>
            <w:tcBorders>
              <w:tl2br w:val="nil"/>
              <w:tr2bl w:val="nil"/>
            </w:tcBorders>
            <w:vAlign w:val="center"/>
          </w:tcPr>
          <w:p w14:paraId="6EC99197">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燃烧分解产物</w:t>
            </w:r>
          </w:p>
        </w:tc>
        <w:tc>
          <w:tcPr>
            <w:tcW w:w="6223" w:type="dxa"/>
            <w:gridSpan w:val="6"/>
            <w:tcBorders>
              <w:tl2br w:val="nil"/>
              <w:tr2bl w:val="nil"/>
            </w:tcBorders>
            <w:vAlign w:val="center"/>
          </w:tcPr>
          <w:p w14:paraId="45E352EE">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一氧化碳、二氧化碳</w:t>
            </w:r>
          </w:p>
        </w:tc>
      </w:tr>
      <w:tr w14:paraId="3D473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14:paraId="0DFFCC8C">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2275" w:type="dxa"/>
            <w:gridSpan w:val="2"/>
            <w:tcBorders>
              <w:tl2br w:val="nil"/>
              <w:tr2bl w:val="nil"/>
            </w:tcBorders>
            <w:vAlign w:val="center"/>
          </w:tcPr>
          <w:p w14:paraId="2956D713">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稳定性</w:t>
            </w:r>
          </w:p>
        </w:tc>
        <w:tc>
          <w:tcPr>
            <w:tcW w:w="6223" w:type="dxa"/>
            <w:gridSpan w:val="6"/>
            <w:tcBorders>
              <w:tl2br w:val="nil"/>
              <w:tr2bl w:val="nil"/>
            </w:tcBorders>
            <w:vAlign w:val="center"/>
          </w:tcPr>
          <w:p w14:paraId="0385C0EF">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稳定</w:t>
            </w:r>
          </w:p>
        </w:tc>
      </w:tr>
      <w:tr w14:paraId="1C2B24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14:paraId="7081A1BF">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2275" w:type="dxa"/>
            <w:gridSpan w:val="2"/>
            <w:tcBorders>
              <w:tl2br w:val="nil"/>
              <w:tr2bl w:val="nil"/>
            </w:tcBorders>
            <w:vAlign w:val="center"/>
          </w:tcPr>
          <w:p w14:paraId="38271DA4">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聚合危害</w:t>
            </w:r>
          </w:p>
        </w:tc>
        <w:tc>
          <w:tcPr>
            <w:tcW w:w="6223" w:type="dxa"/>
            <w:gridSpan w:val="6"/>
            <w:tcBorders>
              <w:tl2br w:val="nil"/>
              <w:tr2bl w:val="nil"/>
            </w:tcBorders>
            <w:vAlign w:val="center"/>
          </w:tcPr>
          <w:p w14:paraId="4FA8DCCB">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不能出现</w:t>
            </w:r>
          </w:p>
        </w:tc>
      </w:tr>
      <w:tr w14:paraId="20DB4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14:paraId="3E2E8F47">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2275" w:type="dxa"/>
            <w:gridSpan w:val="2"/>
            <w:tcBorders>
              <w:tl2br w:val="nil"/>
              <w:tr2bl w:val="nil"/>
            </w:tcBorders>
            <w:vAlign w:val="center"/>
          </w:tcPr>
          <w:p w14:paraId="1B3B7E59">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禁忌物</w:t>
            </w:r>
          </w:p>
        </w:tc>
        <w:tc>
          <w:tcPr>
            <w:tcW w:w="6223" w:type="dxa"/>
            <w:gridSpan w:val="6"/>
            <w:tcBorders>
              <w:tl2br w:val="nil"/>
              <w:tr2bl w:val="nil"/>
            </w:tcBorders>
            <w:vAlign w:val="center"/>
          </w:tcPr>
          <w:p w14:paraId="546AD0DB">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强氧化剂</w:t>
            </w:r>
          </w:p>
        </w:tc>
      </w:tr>
      <w:tr w14:paraId="38240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8" w:type="dxa"/>
            <w:vMerge w:val="continue"/>
            <w:tcBorders>
              <w:tl2br w:val="nil"/>
              <w:tr2bl w:val="nil"/>
            </w:tcBorders>
            <w:vAlign w:val="center"/>
          </w:tcPr>
          <w:p w14:paraId="176853E0">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2275" w:type="dxa"/>
            <w:gridSpan w:val="2"/>
            <w:tcBorders>
              <w:tl2br w:val="nil"/>
              <w:tr2bl w:val="nil"/>
            </w:tcBorders>
            <w:vAlign w:val="center"/>
          </w:tcPr>
          <w:p w14:paraId="1866657C">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灭火方法</w:t>
            </w:r>
          </w:p>
        </w:tc>
        <w:tc>
          <w:tcPr>
            <w:tcW w:w="6223" w:type="dxa"/>
            <w:gridSpan w:val="6"/>
            <w:tcBorders>
              <w:tl2br w:val="nil"/>
              <w:tr2bl w:val="nil"/>
            </w:tcBorders>
            <w:vAlign w:val="center"/>
          </w:tcPr>
          <w:p w14:paraId="2B5006DD">
            <w:pPr>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干粉、二氧化碳、泡沫、砂土，用水灭火无效。</w:t>
            </w:r>
          </w:p>
        </w:tc>
      </w:tr>
    </w:tbl>
    <w:p w14:paraId="58C7059F">
      <w:pPr>
        <w:autoSpaceDE/>
        <w:autoSpaceDN/>
        <w:adjustRightInd w:val="0"/>
        <w:snapToGrid w:val="0"/>
        <w:spacing w:line="440" w:lineRule="exact"/>
        <w:ind w:firstLine="474" w:firstLineChars="200"/>
        <w:jc w:val="both"/>
        <w:rPr>
          <w:rFonts w:ascii="Times New Roman" w:hAnsi="Times New Roman" w:cs="Times New Roman" w:eastAsiaTheme="minorEastAsia"/>
          <w:bCs/>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4"/>
          <w:szCs w:val="24"/>
          <w:lang w:val="en-US" w:bidi="ar-SA"/>
          <w14:textFill>
            <w14:solidFill>
              <w14:schemeClr w14:val="tx1"/>
            </w14:solidFill>
          </w14:textFill>
        </w:rPr>
        <w:t>（2）天然气</w:t>
      </w:r>
    </w:p>
    <w:p w14:paraId="662F8F4F">
      <w:pPr>
        <w:autoSpaceDE/>
        <w:autoSpaceDN/>
        <w:adjustRightInd w:val="0"/>
        <w:snapToGrid w:val="0"/>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天然气具有易燃、易爆的性质，按《原油和天然气工程设计防火规范》（GB50183-2004）中对火灾危险性的分类原则，属于火灾危险性甲类物质。天然气主要成分是含大量低分子烷烃混合物，属甲类易燃气体，与空气混合极易燃烧爆炸。具体危险特性见表5.8-2。</w:t>
      </w:r>
    </w:p>
    <w:p w14:paraId="4999AEC7">
      <w:pPr>
        <w:autoSpaceDE/>
        <w:autoSpaceDN/>
        <w:adjustRightInd w:val="0"/>
        <w:snapToGrid w:val="0"/>
        <w:spacing w:line="440" w:lineRule="exact"/>
        <w:ind w:firstLine="476" w:firstLineChars="200"/>
        <w:jc w:val="both"/>
        <w:rPr>
          <w:rFonts w:ascii="Times New Roman" w:hAnsi="Times New Roman" w:cs="Times New Roman" w:eastAsiaTheme="minorEastAsia"/>
          <w:b/>
          <w:bCs/>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bCs/>
          <w:color w:val="000000" w:themeColor="text1"/>
          <w:w w:val="99"/>
          <w:kern w:val="2"/>
          <w:sz w:val="24"/>
          <w:szCs w:val="24"/>
          <w:lang w:val="en-US" w:bidi="ar-SA"/>
          <w14:textFill>
            <w14:solidFill>
              <w14:schemeClr w14:val="tx1"/>
            </w14:solidFill>
          </w14:textFill>
        </w:rPr>
        <w:t>表5.8-2        天然气的危险有害特性及安全技术表</w:t>
      </w:r>
    </w:p>
    <w:tbl>
      <w:tblPr>
        <w:tblStyle w:val="8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3733"/>
        <w:gridCol w:w="4433"/>
      </w:tblGrid>
      <w:tr w14:paraId="100D8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restart"/>
            <w:tcBorders>
              <w:tl2br w:val="nil"/>
              <w:tr2bl w:val="nil"/>
            </w:tcBorders>
            <w:vAlign w:val="center"/>
          </w:tcPr>
          <w:p w14:paraId="27D2E368">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标识</w:t>
            </w:r>
          </w:p>
        </w:tc>
        <w:tc>
          <w:tcPr>
            <w:tcW w:w="3733" w:type="dxa"/>
            <w:tcBorders>
              <w:tl2br w:val="nil"/>
              <w:tr2bl w:val="nil"/>
            </w:tcBorders>
            <w:vAlign w:val="center"/>
          </w:tcPr>
          <w:p w14:paraId="606AE1D3">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中文名：甲烷</w:t>
            </w:r>
          </w:p>
        </w:tc>
        <w:tc>
          <w:tcPr>
            <w:tcW w:w="4433" w:type="dxa"/>
            <w:tcBorders>
              <w:tl2br w:val="nil"/>
              <w:tr2bl w:val="nil"/>
            </w:tcBorders>
            <w:vAlign w:val="center"/>
          </w:tcPr>
          <w:p w14:paraId="7F663BB5">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英文名：methane</w:t>
            </w:r>
          </w:p>
        </w:tc>
      </w:tr>
      <w:tr w14:paraId="345C0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tl2br w:val="nil"/>
              <w:tr2bl w:val="nil"/>
            </w:tcBorders>
            <w:vAlign w:val="center"/>
          </w:tcPr>
          <w:p w14:paraId="7268E7CD">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3733" w:type="dxa"/>
            <w:tcBorders>
              <w:tl2br w:val="nil"/>
              <w:tr2bl w:val="nil"/>
            </w:tcBorders>
          </w:tcPr>
          <w:p w14:paraId="3D9197C3">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危规号：21007</w:t>
            </w:r>
          </w:p>
        </w:tc>
        <w:tc>
          <w:tcPr>
            <w:tcW w:w="4433" w:type="dxa"/>
            <w:tcBorders>
              <w:tl2br w:val="nil"/>
              <w:tr2bl w:val="nil"/>
            </w:tcBorders>
          </w:tcPr>
          <w:p w14:paraId="1577EA16">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CAS号：74-82-8</w:t>
            </w:r>
          </w:p>
        </w:tc>
      </w:tr>
      <w:tr w14:paraId="77063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restart"/>
            <w:tcBorders>
              <w:tl2br w:val="nil"/>
              <w:tr2bl w:val="nil"/>
            </w:tcBorders>
            <w:vAlign w:val="center"/>
          </w:tcPr>
          <w:p w14:paraId="4915C5BD">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理化性质</w:t>
            </w:r>
          </w:p>
        </w:tc>
        <w:tc>
          <w:tcPr>
            <w:tcW w:w="3733" w:type="dxa"/>
            <w:tcBorders>
              <w:tl2br w:val="nil"/>
              <w:tr2bl w:val="nil"/>
            </w:tcBorders>
          </w:tcPr>
          <w:p w14:paraId="634FC644">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外观与形状：无色无味气体</w:t>
            </w:r>
          </w:p>
        </w:tc>
        <w:tc>
          <w:tcPr>
            <w:tcW w:w="4433" w:type="dxa"/>
            <w:tcBorders>
              <w:tl2br w:val="nil"/>
              <w:tr2bl w:val="nil"/>
            </w:tcBorders>
          </w:tcPr>
          <w:p w14:paraId="0675FA0B">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自燃温度：413℃</w:t>
            </w:r>
          </w:p>
        </w:tc>
      </w:tr>
      <w:tr w14:paraId="4AD6C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tl2br w:val="nil"/>
              <w:tr2bl w:val="nil"/>
            </w:tcBorders>
            <w:vAlign w:val="center"/>
          </w:tcPr>
          <w:p w14:paraId="452896D3">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3733" w:type="dxa"/>
            <w:tcBorders>
              <w:tl2br w:val="nil"/>
              <w:tr2bl w:val="nil"/>
            </w:tcBorders>
          </w:tcPr>
          <w:p w14:paraId="412EF272">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相对密度（水=1）：0.42（-164℃），</w:t>
            </w:r>
          </w:p>
        </w:tc>
        <w:tc>
          <w:tcPr>
            <w:tcW w:w="4433" w:type="dxa"/>
            <w:tcBorders>
              <w:tl2br w:val="nil"/>
              <w:tr2bl w:val="nil"/>
            </w:tcBorders>
          </w:tcPr>
          <w:p w14:paraId="4117D86E">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相对蒸气密度（空气=1）：0.6</w:t>
            </w:r>
          </w:p>
        </w:tc>
      </w:tr>
      <w:tr w14:paraId="32C4F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restart"/>
            <w:tcBorders>
              <w:tl2br w:val="nil"/>
              <w:tr2bl w:val="nil"/>
            </w:tcBorders>
            <w:vAlign w:val="center"/>
          </w:tcPr>
          <w:p w14:paraId="2C6B911D">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危险特性</w:t>
            </w:r>
          </w:p>
        </w:tc>
        <w:tc>
          <w:tcPr>
            <w:tcW w:w="3733" w:type="dxa"/>
            <w:tcBorders>
              <w:tl2br w:val="nil"/>
              <w:tr2bl w:val="nil"/>
            </w:tcBorders>
            <w:vAlign w:val="center"/>
          </w:tcPr>
          <w:p w14:paraId="35AACFA4">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危险性类别：第2.1类易燃气体</w:t>
            </w:r>
          </w:p>
        </w:tc>
        <w:tc>
          <w:tcPr>
            <w:tcW w:w="4433" w:type="dxa"/>
            <w:tcBorders>
              <w:tl2br w:val="nil"/>
              <w:tr2bl w:val="nil"/>
            </w:tcBorders>
            <w:vAlign w:val="center"/>
          </w:tcPr>
          <w:p w14:paraId="74EC92B4">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燃烧性：易燃</w:t>
            </w:r>
          </w:p>
        </w:tc>
      </w:tr>
      <w:tr w14:paraId="58278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tl2br w:val="nil"/>
              <w:tr2bl w:val="nil"/>
            </w:tcBorders>
            <w:vAlign w:val="center"/>
          </w:tcPr>
          <w:p w14:paraId="488CCDF8">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3733" w:type="dxa"/>
            <w:tcBorders>
              <w:tl2br w:val="nil"/>
              <w:tr2bl w:val="nil"/>
            </w:tcBorders>
            <w:vAlign w:val="center"/>
          </w:tcPr>
          <w:p w14:paraId="5CC68074">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闪点（℃）：-218℃</w:t>
            </w:r>
          </w:p>
        </w:tc>
        <w:tc>
          <w:tcPr>
            <w:tcW w:w="4433" w:type="dxa"/>
            <w:tcBorders>
              <w:tl2br w:val="nil"/>
              <w:tr2bl w:val="nil"/>
            </w:tcBorders>
            <w:vAlign w:val="center"/>
          </w:tcPr>
          <w:p w14:paraId="463AC86B">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爆炸上限（%）：15</w:t>
            </w:r>
          </w:p>
        </w:tc>
      </w:tr>
      <w:tr w14:paraId="75B77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tl2br w:val="nil"/>
              <w:tr2bl w:val="nil"/>
            </w:tcBorders>
            <w:vAlign w:val="center"/>
          </w:tcPr>
          <w:p w14:paraId="7FA81DCB">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3733" w:type="dxa"/>
            <w:tcBorders>
              <w:tl2br w:val="nil"/>
              <w:tr2bl w:val="nil"/>
            </w:tcBorders>
            <w:vAlign w:val="center"/>
          </w:tcPr>
          <w:p w14:paraId="6F8C0129">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爆炸下限（%）：5</w:t>
            </w:r>
          </w:p>
        </w:tc>
        <w:tc>
          <w:tcPr>
            <w:tcW w:w="4433" w:type="dxa"/>
            <w:tcBorders>
              <w:tl2br w:val="nil"/>
              <w:tr2bl w:val="nil"/>
            </w:tcBorders>
            <w:vAlign w:val="center"/>
          </w:tcPr>
          <w:p w14:paraId="69156B04">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燃烧（分解）产物：一氧化碳、二氧化碳</w:t>
            </w:r>
          </w:p>
        </w:tc>
      </w:tr>
      <w:tr w14:paraId="43AA8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tl2br w:val="nil"/>
              <w:tr2bl w:val="nil"/>
            </w:tcBorders>
            <w:vAlign w:val="center"/>
          </w:tcPr>
          <w:p w14:paraId="19B6A10D">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8166" w:type="dxa"/>
            <w:gridSpan w:val="2"/>
            <w:tcBorders>
              <w:tl2br w:val="nil"/>
              <w:tr2bl w:val="nil"/>
            </w:tcBorders>
            <w:vAlign w:val="center"/>
          </w:tcPr>
          <w:p w14:paraId="0E4D39AE">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易燃，与空气混合能形成爆炸性混合物，遇热源和明火有燃烧爆炸的危险。与五氧化溴、氯气、次氯酸、三氟化氮、液氧、二氟化氧及其它强氧化剂接触剧烈反应。</w:t>
            </w:r>
          </w:p>
        </w:tc>
      </w:tr>
      <w:tr w14:paraId="62D3F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tl2br w:val="nil"/>
              <w:tr2bl w:val="nil"/>
            </w:tcBorders>
            <w:vAlign w:val="center"/>
          </w:tcPr>
          <w:p w14:paraId="7FF2EE1D">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8166" w:type="dxa"/>
            <w:gridSpan w:val="2"/>
            <w:tcBorders>
              <w:tl2br w:val="nil"/>
              <w:tr2bl w:val="nil"/>
            </w:tcBorders>
            <w:vAlign w:val="center"/>
          </w:tcPr>
          <w:p w14:paraId="25A5C06E">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灭火方法：切断气源。若不能切断气源，则不允许熄灭泄漏处的火焰。喷水冷却容器，可能的话将容器从火场移至空旷处。灭火剂：雾状水、泡沫、二氧化碳、干粉。</w:t>
            </w:r>
          </w:p>
        </w:tc>
      </w:tr>
      <w:tr w14:paraId="0EFF7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tl2br w:val="nil"/>
              <w:tr2bl w:val="nil"/>
            </w:tcBorders>
            <w:vAlign w:val="center"/>
          </w:tcPr>
          <w:p w14:paraId="781F6726">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8166" w:type="dxa"/>
            <w:gridSpan w:val="2"/>
            <w:tcBorders>
              <w:tl2br w:val="nil"/>
              <w:tr2bl w:val="nil"/>
            </w:tcBorders>
            <w:vAlign w:val="center"/>
          </w:tcPr>
          <w:p w14:paraId="67C51690">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灭火剂：雾状水、泡沫、二氧化碳、干粉</w:t>
            </w:r>
          </w:p>
        </w:tc>
      </w:tr>
      <w:tr w14:paraId="4170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restart"/>
            <w:tcBorders>
              <w:tl2br w:val="nil"/>
              <w:tr2bl w:val="nil"/>
            </w:tcBorders>
            <w:vAlign w:val="center"/>
          </w:tcPr>
          <w:p w14:paraId="78DC1AB7">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健康危害</w:t>
            </w:r>
          </w:p>
        </w:tc>
        <w:tc>
          <w:tcPr>
            <w:tcW w:w="8166" w:type="dxa"/>
            <w:gridSpan w:val="2"/>
            <w:tcBorders>
              <w:tl2br w:val="nil"/>
              <w:tr2bl w:val="nil"/>
            </w:tcBorders>
            <w:vAlign w:val="center"/>
          </w:tcPr>
          <w:p w14:paraId="2EF9D518">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侵入途径：吸入</w:t>
            </w:r>
          </w:p>
        </w:tc>
      </w:tr>
      <w:tr w14:paraId="4B2C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tcBorders>
              <w:tl2br w:val="nil"/>
              <w:tr2bl w:val="nil"/>
            </w:tcBorders>
            <w:vAlign w:val="center"/>
          </w:tcPr>
          <w:p w14:paraId="1DCA8525">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8166" w:type="dxa"/>
            <w:gridSpan w:val="2"/>
            <w:tcBorders>
              <w:tl2br w:val="nil"/>
              <w:tr2bl w:val="nil"/>
            </w:tcBorders>
            <w:vAlign w:val="center"/>
          </w:tcPr>
          <w:p w14:paraId="7D629CF4">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健康危害：甲烷对人基本无毒，但浓度过高时，使空气中氧含量明显降低，使人窒息。当空气中甲烷达25%～30%时，可引起头痛、头晕、乏力、注意力不集中、呼吸和心跳加速、共济失调。若不及时远离，可致窒息死亡。皮肤接触液化的甲烷，可致冻伤。</w:t>
            </w:r>
          </w:p>
        </w:tc>
      </w:tr>
    </w:tbl>
    <w:p w14:paraId="77A9045C">
      <w:pPr>
        <w:pStyle w:val="129"/>
        <w:spacing w:line="440" w:lineRule="exact"/>
        <w:ind w:firstLine="0" w:firstLineChars="0"/>
        <w:jc w:val="both"/>
        <w:outlineLvl w:val="3"/>
        <w:rPr>
          <w:rFonts w:ascii="Times New Roman" w:hAnsi="Times New Roman" w:eastAsiaTheme="minorEastAsia"/>
          <w:b/>
          <w:color w:val="000000" w:themeColor="text1"/>
          <w:w w:val="99"/>
          <w:sz w:val="24"/>
          <w:szCs w:val="24"/>
          <w:lang w:val="en-US"/>
          <w14:textFill>
            <w14:solidFill>
              <w14:schemeClr w14:val="tx1"/>
            </w14:solidFill>
          </w14:textFill>
        </w:rPr>
      </w:pPr>
      <w:r>
        <w:rPr>
          <w:rFonts w:ascii="Times New Roman" w:hAnsi="Times New Roman" w:eastAsiaTheme="minorEastAsia"/>
          <w:b/>
          <w:color w:val="000000" w:themeColor="text1"/>
          <w:w w:val="99"/>
          <w:sz w:val="24"/>
          <w:szCs w:val="24"/>
          <w:lang w:val="en-US"/>
          <w14:textFill>
            <w14:solidFill>
              <w14:schemeClr w14:val="tx1"/>
            </w14:solidFill>
          </w14:textFill>
        </w:rPr>
        <w:t>5.8.1.2 风险潜势初判</w:t>
      </w:r>
    </w:p>
    <w:p w14:paraId="1D029B72">
      <w:pPr>
        <w:tabs>
          <w:tab w:val="left" w:pos="1571"/>
        </w:tabs>
        <w:spacing w:line="50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本项目涉及的物质主要为原油和石油气（天然气），结合本项目工程内容，确定本工程涉及的主要风险源为集输管道。</w:t>
      </w:r>
    </w:p>
    <w:p w14:paraId="21E5BCE9">
      <w:pPr>
        <w:pStyle w:val="107"/>
        <w:tabs>
          <w:tab w:val="left" w:pos="1571"/>
        </w:tabs>
        <w:spacing w:line="500" w:lineRule="exact"/>
        <w:ind w:left="0" w:firstLine="474" w:firstLineChars="200"/>
        <w:jc w:val="both"/>
        <w:rPr>
          <w:rFonts w:ascii="Times New Roman" w:hAnsi="Times New Roman" w:cs="Times New Roman" w:eastAsiaTheme="minorEastAsia"/>
          <w:color w:val="000000" w:themeColor="text1"/>
          <w:w w:val="99"/>
          <w:sz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本项目集油管道中</w:t>
      </w:r>
      <w:r>
        <w:rPr>
          <w:rFonts w:ascii="Times New Roman" w:hAnsi="Times New Roman" w:cs="Times New Roman" w:eastAsiaTheme="minorEastAsia"/>
          <w:color w:val="000000" w:themeColor="text1"/>
          <w:w w:val="99"/>
          <w:sz w:val="24"/>
          <w:szCs w:val="24"/>
          <w:lang w:val="en-US"/>
          <w14:textFill>
            <w14:solidFill>
              <w14:schemeClr w14:val="tx1"/>
            </w14:solidFill>
          </w14:textFill>
        </w:rPr>
        <w:t>管径最大、长度最长的集输管线规格为φ168×5，长度为7.35km，</w:t>
      </w:r>
      <w:r>
        <w:rPr>
          <w:rFonts w:ascii="Times New Roman" w:hAnsi="Times New Roman" w:cs="Times New Roman" w:eastAsiaTheme="minorEastAsia"/>
          <w:color w:val="000000" w:themeColor="text1"/>
          <w:w w:val="99"/>
          <w:sz w:val="24"/>
          <w:szCs w:val="24"/>
          <w14:textFill>
            <w14:solidFill>
              <w14:schemeClr w14:val="tx1"/>
            </w14:solidFill>
          </w14:textFill>
        </w:rPr>
        <w:t>原油密度</w:t>
      </w:r>
      <w:r>
        <w:rPr>
          <w:rFonts w:ascii="Times New Roman" w:hAnsi="Times New Roman" w:cs="Times New Roman" w:eastAsiaTheme="minorEastAsia"/>
          <w:color w:val="000000" w:themeColor="text1"/>
          <w:w w:val="99"/>
          <w:sz w:val="24"/>
          <w:szCs w:val="24"/>
          <w:lang w:val="en-US"/>
          <w14:textFill>
            <w14:solidFill>
              <w14:schemeClr w14:val="tx1"/>
            </w14:solidFill>
          </w14:textFill>
        </w:rPr>
        <w:t>0.84t</w:t>
      </w:r>
      <w:r>
        <w:rPr>
          <w:rFonts w:ascii="Times New Roman" w:hAnsi="Times New Roman" w:cs="Times New Roman" w:eastAsiaTheme="minorEastAsia"/>
          <w:color w:val="000000" w:themeColor="text1"/>
          <w:w w:val="99"/>
          <w:sz w:val="24"/>
          <w:szCs w:val="24"/>
          <w14:textFill>
            <w14:solidFill>
              <w14:schemeClr w14:val="tx1"/>
            </w14:solidFill>
          </w14:textFill>
        </w:rPr>
        <w:t>/m</w:t>
      </w:r>
      <w:r>
        <w:rPr>
          <w:rFonts w:ascii="Times New Roman" w:hAnsi="Times New Roman" w:cs="Times New Roman" w:eastAsiaTheme="minorEastAsia"/>
          <w:color w:val="000000" w:themeColor="text1"/>
          <w:w w:val="99"/>
          <w:sz w:val="24"/>
          <w:szCs w:val="24"/>
          <w:vertAlign w:val="superscript"/>
          <w14:textFill>
            <w14:solidFill>
              <w14:schemeClr w14:val="tx1"/>
            </w14:solidFill>
          </w14:textFill>
        </w:rPr>
        <w:t>3</w:t>
      </w:r>
      <w:r>
        <w:rPr>
          <w:rFonts w:ascii="Times New Roman" w:hAnsi="Times New Roman" w:cs="Times New Roman" w:eastAsiaTheme="minorEastAsia"/>
          <w:color w:val="000000" w:themeColor="text1"/>
          <w:w w:val="99"/>
          <w:sz w:val="24"/>
          <w:szCs w:val="24"/>
          <w14:textFill>
            <w14:solidFill>
              <w14:schemeClr w14:val="tx1"/>
            </w14:solidFill>
          </w14:textFill>
        </w:rPr>
        <w:t>，则最大原油储量为π(</w:t>
      </w:r>
      <w:r>
        <w:rPr>
          <w:rFonts w:ascii="Times New Roman" w:hAnsi="Times New Roman" w:cs="Times New Roman" w:eastAsiaTheme="minorEastAsia"/>
          <w:color w:val="000000" w:themeColor="text1"/>
          <w:w w:val="99"/>
          <w:sz w:val="24"/>
          <w:szCs w:val="24"/>
          <w:lang w:val="en-US"/>
          <w14:textFill>
            <w14:solidFill>
              <w14:schemeClr w14:val="tx1"/>
            </w14:solidFill>
          </w14:textFill>
        </w:rPr>
        <w:t>168</w:t>
      </w:r>
      <w:r>
        <w:rPr>
          <w:rFonts w:ascii="Times New Roman" w:hAnsi="Times New Roman" w:cs="Times New Roman" w:eastAsiaTheme="minorEastAsia"/>
          <w:color w:val="000000" w:themeColor="text1"/>
          <w:w w:val="99"/>
          <w:sz w:val="24"/>
          <w:szCs w:val="24"/>
          <w14:textFill>
            <w14:solidFill>
              <w14:schemeClr w14:val="tx1"/>
            </w14:solidFill>
          </w14:textFill>
        </w:rPr>
        <w:t>/2/1000</w:t>
      </w:r>
      <w:r>
        <w:rPr>
          <w:rFonts w:ascii="Times New Roman" w:hAnsi="Times New Roman" w:cs="Times New Roman" w:eastAsiaTheme="minorEastAsia"/>
          <w:color w:val="000000" w:themeColor="text1"/>
          <w:w w:val="99"/>
          <w:sz w:val="24"/>
          <w:szCs w:val="24"/>
          <w:vertAlign w:val="superscript"/>
          <w14:textFill>
            <w14:solidFill>
              <w14:schemeClr w14:val="tx1"/>
            </w14:solidFill>
          </w14:textFill>
        </w:rPr>
        <w:t>)2</w:t>
      </w: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7.35</w:t>
      </w:r>
      <w:r>
        <w:rPr>
          <w:rFonts w:ascii="Times New Roman" w:hAnsi="Times New Roman" w:cs="Times New Roman" w:eastAsiaTheme="minorEastAsia"/>
          <w:color w:val="000000" w:themeColor="text1"/>
          <w:w w:val="99"/>
          <w:sz w:val="24"/>
          <w:szCs w:val="24"/>
          <w14:textFill>
            <w14:solidFill>
              <w14:schemeClr w14:val="tx1"/>
            </w14:solidFill>
          </w14:textFill>
        </w:rPr>
        <w:t>×1000×</w:t>
      </w:r>
      <w:r>
        <w:rPr>
          <w:rFonts w:ascii="Times New Roman" w:hAnsi="Times New Roman" w:cs="Times New Roman" w:eastAsiaTheme="minorEastAsia"/>
          <w:color w:val="000000" w:themeColor="text1"/>
          <w:w w:val="99"/>
          <w:sz w:val="24"/>
          <w:szCs w:val="24"/>
          <w:lang w:val="en-US"/>
          <w14:textFill>
            <w14:solidFill>
              <w14:schemeClr w14:val="tx1"/>
            </w14:solidFill>
          </w14:textFill>
        </w:rPr>
        <w:t>0.84=136.8</w:t>
      </w:r>
      <w:r>
        <w:rPr>
          <w:rFonts w:ascii="Times New Roman" w:hAnsi="Times New Roman" w:cs="Times New Roman" w:eastAsiaTheme="minorEastAsia"/>
          <w:color w:val="000000" w:themeColor="text1"/>
          <w:w w:val="99"/>
          <w:sz w:val="24"/>
          <w:szCs w:val="24"/>
          <w14:textFill>
            <w14:solidFill>
              <w14:schemeClr w14:val="tx1"/>
            </w14:solidFill>
          </w14:textFill>
        </w:rPr>
        <w:t>t，</w:t>
      </w:r>
      <w:r>
        <w:rPr>
          <w:rFonts w:ascii="Times New Roman" w:hAnsi="Times New Roman" w:cs="Times New Roman" w:eastAsiaTheme="minorEastAsia"/>
          <w:color w:val="000000" w:themeColor="text1"/>
          <w:w w:val="99"/>
          <w:sz w:val="24"/>
          <w:szCs w:val="24"/>
          <w:lang w:val="en-US"/>
          <w14:textFill>
            <w14:solidFill>
              <w14:schemeClr w14:val="tx1"/>
            </w14:solidFill>
          </w14:textFill>
        </w:rPr>
        <w:t>本项目油气比31.45m</w:t>
      </w:r>
      <w:r>
        <w:rPr>
          <w:rFonts w:ascii="Times New Roman" w:hAnsi="Times New Roman" w:cs="Times New Roman" w:eastAsiaTheme="minorEastAsia"/>
          <w:color w:val="000000" w:themeColor="text1"/>
          <w:w w:val="99"/>
          <w:sz w:val="24"/>
          <w:szCs w:val="24"/>
          <w:vertAlign w:val="superscript"/>
          <w:lang w:val="en-US"/>
          <w14:textFill>
            <w14:solidFill>
              <w14:schemeClr w14:val="tx1"/>
            </w14:solidFill>
          </w14:textFill>
        </w:rPr>
        <w:t>3</w:t>
      </w:r>
      <w:r>
        <w:rPr>
          <w:rFonts w:ascii="Times New Roman" w:hAnsi="Times New Roman" w:cs="Times New Roman" w:eastAsiaTheme="minorEastAsia"/>
          <w:color w:val="000000" w:themeColor="text1"/>
          <w:w w:val="99"/>
          <w:sz w:val="24"/>
          <w:szCs w:val="24"/>
          <w:lang w:val="en-US"/>
          <w14:textFill>
            <w14:solidFill>
              <w14:schemeClr w14:val="tx1"/>
            </w14:solidFill>
          </w14:textFill>
        </w:rPr>
        <w:t>/t，</w:t>
      </w:r>
      <w:r>
        <w:rPr>
          <w:rFonts w:ascii="Times New Roman" w:hAnsi="Times New Roman" w:cs="Times New Roman" w:eastAsiaTheme="minorEastAsia"/>
          <w:color w:val="000000" w:themeColor="text1"/>
          <w:w w:val="99"/>
          <w:sz w:val="24"/>
          <w:szCs w:val="24"/>
          <w14:textFill>
            <w14:solidFill>
              <w14:schemeClr w14:val="tx1"/>
            </w14:solidFill>
          </w14:textFill>
        </w:rPr>
        <w:t>最大储气量为</w:t>
      </w:r>
      <w:r>
        <w:rPr>
          <w:rFonts w:ascii="Times New Roman" w:hAnsi="Times New Roman" w:cs="Times New Roman" w:eastAsiaTheme="minorEastAsia"/>
          <w:color w:val="000000" w:themeColor="text1"/>
          <w:w w:val="99"/>
          <w:sz w:val="24"/>
          <w:szCs w:val="24"/>
          <w:lang w:val="en-US"/>
          <w14:textFill>
            <w14:solidFill>
              <w14:schemeClr w14:val="tx1"/>
            </w14:solidFill>
          </w14:textFill>
        </w:rPr>
        <w:t>136.8</w:t>
      </w: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31.45=4302.05</w:t>
      </w:r>
      <w:r>
        <w:rPr>
          <w:rFonts w:ascii="Times New Roman" w:hAnsi="Times New Roman" w:cs="Times New Roman" w:eastAsiaTheme="minorEastAsia"/>
          <w:color w:val="000000" w:themeColor="text1"/>
          <w:w w:val="99"/>
          <w:sz w:val="24"/>
          <w:szCs w:val="24"/>
          <w14:textFill>
            <w14:solidFill>
              <w14:schemeClr w14:val="tx1"/>
            </w14:solidFill>
          </w14:textFill>
        </w:rPr>
        <w:t>m</w:t>
      </w:r>
      <w:r>
        <w:rPr>
          <w:rFonts w:ascii="Times New Roman" w:hAnsi="Times New Roman" w:cs="Times New Roman" w:eastAsiaTheme="minorEastAsia"/>
          <w:color w:val="000000" w:themeColor="text1"/>
          <w:w w:val="99"/>
          <w:sz w:val="24"/>
          <w:szCs w:val="24"/>
          <w:vertAlign w:val="superscript"/>
          <w14:textFill>
            <w14:solidFill>
              <w14:schemeClr w14:val="tx1"/>
            </w14:solidFill>
          </w14:textFill>
        </w:rPr>
        <w:t>3</w:t>
      </w:r>
      <w:r>
        <w:rPr>
          <w:rFonts w:ascii="Times New Roman" w:hAnsi="Times New Roman" w:cs="Times New Roman" w:eastAsiaTheme="minorEastAsia"/>
          <w:color w:val="000000" w:themeColor="text1"/>
          <w:w w:val="99"/>
          <w:sz w:val="24"/>
          <w:szCs w:val="24"/>
          <w14:textFill>
            <w14:solidFill>
              <w14:schemeClr w14:val="tx1"/>
            </w14:solidFill>
          </w14:textFill>
        </w:rPr>
        <w:t>。伴生气标态密度0.7</w:t>
      </w:r>
      <w:r>
        <w:rPr>
          <w:rFonts w:ascii="Times New Roman" w:hAnsi="Times New Roman" w:cs="Times New Roman" w:eastAsiaTheme="minorEastAsia"/>
          <w:color w:val="000000" w:themeColor="text1"/>
          <w:w w:val="99"/>
          <w:sz w:val="24"/>
          <w:szCs w:val="24"/>
          <w:lang w:val="en-US"/>
          <w14:textFill>
            <w14:solidFill>
              <w14:schemeClr w14:val="tx1"/>
            </w14:solidFill>
          </w14:textFill>
        </w:rPr>
        <w:t>174</w:t>
      </w:r>
      <w:r>
        <w:rPr>
          <w:rFonts w:ascii="Times New Roman" w:hAnsi="Times New Roman" w:cs="Times New Roman" w:eastAsiaTheme="minorEastAsia"/>
          <w:color w:val="000000" w:themeColor="text1"/>
          <w:w w:val="99"/>
          <w:sz w:val="24"/>
          <w:szCs w:val="24"/>
          <w14:textFill>
            <w14:solidFill>
              <w14:schemeClr w14:val="tx1"/>
            </w14:solidFill>
          </w14:textFill>
        </w:rPr>
        <w:t>kg/m</w:t>
      </w:r>
      <w:r>
        <w:rPr>
          <w:rFonts w:ascii="Times New Roman" w:hAnsi="Times New Roman" w:cs="Times New Roman" w:eastAsiaTheme="minorEastAsia"/>
          <w:color w:val="000000" w:themeColor="text1"/>
          <w:w w:val="99"/>
          <w:sz w:val="24"/>
          <w:szCs w:val="24"/>
          <w:vertAlign w:val="superscript"/>
          <w14:textFill>
            <w14:solidFill>
              <w14:schemeClr w14:val="tx1"/>
            </w14:solidFill>
          </w14:textFill>
        </w:rPr>
        <w:t>3</w:t>
      </w:r>
      <w:r>
        <w:rPr>
          <w:rFonts w:ascii="Times New Roman" w:hAnsi="Times New Roman" w:cs="Times New Roman" w:eastAsiaTheme="minorEastAsia"/>
          <w:color w:val="000000" w:themeColor="text1"/>
          <w:w w:val="99"/>
          <w:sz w:val="24"/>
          <w:szCs w:val="24"/>
          <w14:textFill>
            <w14:solidFill>
              <w14:schemeClr w14:val="tx1"/>
            </w14:solidFill>
          </w14:textFill>
        </w:rPr>
        <w:t>，则管道中天然气最大储量为</w:t>
      </w:r>
      <w:r>
        <w:rPr>
          <w:rFonts w:ascii="Times New Roman" w:hAnsi="Times New Roman" w:cs="Times New Roman" w:eastAsiaTheme="minorEastAsia"/>
          <w:color w:val="000000" w:themeColor="text1"/>
          <w:w w:val="99"/>
          <w:sz w:val="24"/>
          <w:szCs w:val="24"/>
          <w:lang w:val="en-US"/>
          <w14:textFill>
            <w14:solidFill>
              <w14:schemeClr w14:val="tx1"/>
            </w14:solidFill>
          </w14:textFill>
        </w:rPr>
        <w:t>4302.05</w:t>
      </w:r>
      <w:r>
        <w:rPr>
          <w:rFonts w:ascii="Times New Roman" w:hAnsi="Times New Roman" w:cs="Times New Roman" w:eastAsiaTheme="minorEastAsia"/>
          <w:color w:val="000000" w:themeColor="text1"/>
          <w:w w:val="99"/>
          <w:sz w:val="24"/>
          <w:szCs w:val="24"/>
          <w14:textFill>
            <w14:solidFill>
              <w14:schemeClr w14:val="tx1"/>
            </w14:solidFill>
          </w14:textFill>
        </w:rPr>
        <w:t>×0.7</w:t>
      </w:r>
      <w:r>
        <w:rPr>
          <w:rFonts w:ascii="Times New Roman" w:hAnsi="Times New Roman" w:cs="Times New Roman" w:eastAsiaTheme="minorEastAsia"/>
          <w:color w:val="000000" w:themeColor="text1"/>
          <w:w w:val="99"/>
          <w:sz w:val="24"/>
          <w:szCs w:val="24"/>
          <w:lang w:val="en-US"/>
          <w14:textFill>
            <w14:solidFill>
              <w14:schemeClr w14:val="tx1"/>
            </w14:solidFill>
          </w14:textFill>
        </w:rPr>
        <w:t>174</w:t>
      </w:r>
      <w:r>
        <w:rPr>
          <w:rFonts w:ascii="Times New Roman" w:hAnsi="Times New Roman" w:cs="Times New Roman" w:eastAsiaTheme="minorEastAsia"/>
          <w:color w:val="000000" w:themeColor="text1"/>
          <w:w w:val="99"/>
          <w:sz w:val="24"/>
          <w:szCs w:val="24"/>
          <w14:textFill>
            <w14:solidFill>
              <w14:schemeClr w14:val="tx1"/>
            </w14:solidFill>
          </w14:textFill>
        </w:rPr>
        <w:t>/1000=</w:t>
      </w:r>
      <w:r>
        <w:rPr>
          <w:rFonts w:ascii="Times New Roman" w:hAnsi="Times New Roman" w:cs="Times New Roman" w:eastAsiaTheme="minorEastAsia"/>
          <w:color w:val="000000" w:themeColor="text1"/>
          <w:w w:val="99"/>
          <w:sz w:val="24"/>
          <w:szCs w:val="24"/>
          <w:lang w:val="en-US"/>
          <w14:textFill>
            <w14:solidFill>
              <w14:schemeClr w14:val="tx1"/>
            </w14:solidFill>
          </w14:textFill>
        </w:rPr>
        <w:t>3.086</w:t>
      </w:r>
      <w:r>
        <w:rPr>
          <w:rFonts w:ascii="Times New Roman" w:hAnsi="Times New Roman" w:cs="Times New Roman" w:eastAsiaTheme="minorEastAsia"/>
          <w:color w:val="000000" w:themeColor="text1"/>
          <w:w w:val="99"/>
          <w:sz w:val="24"/>
          <w:szCs w:val="24"/>
          <w14:textFill>
            <w14:solidFill>
              <w14:schemeClr w14:val="tx1"/>
            </w14:solidFill>
          </w14:textFill>
        </w:rPr>
        <w:t>t。</w:t>
      </w:r>
    </w:p>
    <w:p w14:paraId="058CFF07">
      <w:pPr>
        <w:pStyle w:val="107"/>
        <w:tabs>
          <w:tab w:val="left" w:pos="4154"/>
          <w:tab w:val="center" w:pos="8305"/>
        </w:tabs>
        <w:spacing w:line="440" w:lineRule="exact"/>
        <w:ind w:left="0"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根据《建设项目环境风险评价技术导则》（HJ169-2018），定量分析危险物质数量与临界量的比值（Q），见表</w:t>
      </w:r>
      <w:r>
        <w:rPr>
          <w:rFonts w:ascii="Times New Roman" w:hAnsi="Times New Roman" w:cs="Times New Roman" w:eastAsiaTheme="minorEastAsia"/>
          <w:color w:val="000000" w:themeColor="text1"/>
          <w:w w:val="99"/>
          <w:sz w:val="24"/>
          <w:szCs w:val="24"/>
          <w:lang w:val="en-US"/>
          <w14:textFill>
            <w14:solidFill>
              <w14:schemeClr w14:val="tx1"/>
            </w14:solidFill>
          </w14:textFill>
        </w:rPr>
        <w:t>5.8-3。</w:t>
      </w:r>
    </w:p>
    <w:p w14:paraId="0D2074DB">
      <w:pPr>
        <w:pStyle w:val="107"/>
        <w:tabs>
          <w:tab w:val="left" w:pos="4154"/>
          <w:tab w:val="center" w:pos="8305"/>
        </w:tabs>
        <w:spacing w:line="500" w:lineRule="exact"/>
        <w:ind w:left="440" w:leftChars="200" w:firstLine="0"/>
        <w:jc w:val="both"/>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r>
        <w:rPr>
          <w:rFonts w:ascii="Times New Roman" w:hAnsi="Times New Roman" w:cs="Times New Roman" w:eastAsiaTheme="minorEastAsia"/>
          <w:b/>
          <w:bCs/>
          <w:color w:val="000000" w:themeColor="text1"/>
          <w:w w:val="99"/>
          <w:sz w:val="24"/>
          <w:szCs w:val="24"/>
          <w14:textFill>
            <w14:solidFill>
              <w14:schemeClr w14:val="tx1"/>
            </w14:solidFill>
          </w14:textFill>
        </w:rPr>
        <w:t>表</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5.8-3        危险物质数量与临界量的比值（Q）确定情况</w:t>
      </w:r>
    </w:p>
    <w:tbl>
      <w:tblPr>
        <w:tblStyle w:val="8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2034"/>
        <w:gridCol w:w="1520"/>
        <w:gridCol w:w="1415"/>
        <w:gridCol w:w="1213"/>
        <w:gridCol w:w="1246"/>
        <w:gridCol w:w="1199"/>
      </w:tblGrid>
      <w:tr w14:paraId="52E4E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355" w:type="pct"/>
            <w:vAlign w:val="center"/>
          </w:tcPr>
          <w:p w14:paraId="1D6DB855">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14:textFill>
                  <w14:solidFill>
                    <w14:schemeClr w14:val="tx1"/>
                  </w14:solidFill>
                </w14:textFill>
              </w:rPr>
            </w:pPr>
            <w:r>
              <w:rPr>
                <w:rFonts w:ascii="Times New Roman" w:hAnsi="Times New Roman" w:cs="Times New Roman" w:eastAsiaTheme="minorEastAsia"/>
                <w:color w:val="000000" w:themeColor="text1"/>
                <w:w w:val="99"/>
                <w:sz w:val="21"/>
                <w14:textFill>
                  <w14:solidFill>
                    <w14:schemeClr w14:val="tx1"/>
                  </w14:solidFill>
                </w14:textFill>
              </w:rPr>
              <w:t>序号</w:t>
            </w:r>
          </w:p>
        </w:tc>
        <w:tc>
          <w:tcPr>
            <w:tcW w:w="1095" w:type="pct"/>
            <w:vAlign w:val="center"/>
          </w:tcPr>
          <w:p w14:paraId="15455937">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14:textFill>
                  <w14:solidFill>
                    <w14:schemeClr w14:val="tx1"/>
                  </w14:solidFill>
                </w14:textFill>
              </w:rPr>
              <w:t>危险物质</w:t>
            </w:r>
          </w:p>
        </w:tc>
        <w:tc>
          <w:tcPr>
            <w:tcW w:w="818" w:type="pct"/>
            <w:vAlign w:val="center"/>
          </w:tcPr>
          <w:p w14:paraId="207C5FA2">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14:textFill>
                  <w14:solidFill>
                    <w14:schemeClr w14:val="tx1"/>
                  </w14:solidFill>
                </w14:textFill>
              </w:rPr>
            </w:pPr>
            <w:r>
              <w:rPr>
                <w:rFonts w:ascii="Times New Roman" w:hAnsi="Times New Roman" w:cs="Times New Roman" w:eastAsiaTheme="minorEastAsia"/>
                <w:color w:val="000000" w:themeColor="text1"/>
                <w:w w:val="99"/>
                <w:sz w:val="21"/>
                <w14:textFill>
                  <w14:solidFill>
                    <w14:schemeClr w14:val="tx1"/>
                  </w14:solidFill>
                </w14:textFill>
              </w:rPr>
              <w:t>CAS号</w:t>
            </w:r>
          </w:p>
        </w:tc>
        <w:tc>
          <w:tcPr>
            <w:tcW w:w="762" w:type="pct"/>
            <w:vAlign w:val="center"/>
          </w:tcPr>
          <w:p w14:paraId="5E6D9CB9">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lang w:val="en-US"/>
                <w14:textFill>
                  <w14:solidFill>
                    <w14:schemeClr w14:val="tx1"/>
                  </w14:solidFill>
                </w14:textFill>
              </w:rPr>
            </w:pPr>
            <w:r>
              <w:rPr>
                <w:rFonts w:ascii="Times New Roman" w:hAnsi="Times New Roman" w:cs="Times New Roman" w:eastAsiaTheme="minorEastAsia"/>
                <w:color w:val="000000" w:themeColor="text1"/>
                <w:w w:val="99"/>
                <w:sz w:val="21"/>
                <w14:textFill>
                  <w14:solidFill>
                    <w14:schemeClr w14:val="tx1"/>
                  </w14:solidFill>
                </w14:textFill>
              </w:rPr>
              <w:t>最大存在量（t）</w:t>
            </w:r>
          </w:p>
        </w:tc>
        <w:tc>
          <w:tcPr>
            <w:tcW w:w="653" w:type="pct"/>
            <w:vAlign w:val="center"/>
          </w:tcPr>
          <w:p w14:paraId="2E223B00">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14:textFill>
                  <w14:solidFill>
                    <w14:schemeClr w14:val="tx1"/>
                  </w14:solidFill>
                </w14:textFill>
              </w:rPr>
              <w:t>临界量（t）</w:t>
            </w:r>
          </w:p>
        </w:tc>
        <w:tc>
          <w:tcPr>
            <w:tcW w:w="671" w:type="pct"/>
            <w:vAlign w:val="center"/>
          </w:tcPr>
          <w:p w14:paraId="723E4803">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14:textFill>
                  <w14:solidFill>
                    <w14:schemeClr w14:val="tx1"/>
                  </w14:solidFill>
                </w14:textFill>
              </w:rPr>
            </w:pPr>
            <w:r>
              <w:rPr>
                <w:rFonts w:ascii="Times New Roman" w:hAnsi="Times New Roman" w:cs="Times New Roman" w:eastAsiaTheme="minorEastAsia"/>
                <w:color w:val="000000" w:themeColor="text1"/>
                <w:w w:val="99"/>
                <w:sz w:val="21"/>
                <w14:textFill>
                  <w14:solidFill>
                    <w14:schemeClr w14:val="tx1"/>
                  </w14:solidFill>
                </w14:textFill>
              </w:rPr>
              <w:t>qn/Q</w:t>
            </w:r>
          </w:p>
        </w:tc>
        <w:tc>
          <w:tcPr>
            <w:tcW w:w="645" w:type="pct"/>
            <w:vAlign w:val="center"/>
          </w:tcPr>
          <w:p w14:paraId="5A5D9333">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14:textFill>
                  <w14:solidFill>
                    <w14:schemeClr w14:val="tx1"/>
                  </w14:solidFill>
                </w14:textFill>
              </w:rPr>
            </w:pPr>
            <w:r>
              <w:rPr>
                <w:rFonts w:ascii="Times New Roman" w:hAnsi="Times New Roman" w:cs="Times New Roman" w:eastAsiaTheme="minorEastAsia"/>
                <w:color w:val="000000" w:themeColor="text1"/>
                <w:w w:val="99"/>
                <w:sz w:val="21"/>
                <w14:textFill>
                  <w14:solidFill>
                    <w14:schemeClr w14:val="tx1"/>
                  </w14:solidFill>
                </w14:textFill>
              </w:rPr>
              <w:t>ΣQ</w:t>
            </w:r>
          </w:p>
        </w:tc>
      </w:tr>
      <w:tr w14:paraId="31235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355" w:type="pct"/>
            <w:vAlign w:val="center"/>
          </w:tcPr>
          <w:p w14:paraId="333D0D71">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14:textFill>
                  <w14:solidFill>
                    <w14:schemeClr w14:val="tx1"/>
                  </w14:solidFill>
                </w14:textFill>
              </w:rPr>
            </w:pPr>
            <w:r>
              <w:rPr>
                <w:rFonts w:ascii="Times New Roman" w:hAnsi="Times New Roman" w:cs="Times New Roman" w:eastAsiaTheme="minorEastAsia"/>
                <w:color w:val="000000" w:themeColor="text1"/>
                <w:w w:val="99"/>
                <w:sz w:val="21"/>
                <w14:textFill>
                  <w14:solidFill>
                    <w14:schemeClr w14:val="tx1"/>
                  </w14:solidFill>
                </w14:textFill>
              </w:rPr>
              <w:t>1</w:t>
            </w:r>
          </w:p>
        </w:tc>
        <w:tc>
          <w:tcPr>
            <w:tcW w:w="1095" w:type="pct"/>
            <w:vAlign w:val="center"/>
          </w:tcPr>
          <w:p w14:paraId="4839700F">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14:textFill>
                  <w14:solidFill>
                    <w14:schemeClr w14:val="tx1"/>
                  </w14:solidFill>
                </w14:textFill>
              </w:rPr>
              <w:t>天然气（甲烷）</w:t>
            </w:r>
          </w:p>
        </w:tc>
        <w:tc>
          <w:tcPr>
            <w:tcW w:w="818" w:type="pct"/>
            <w:vAlign w:val="center"/>
          </w:tcPr>
          <w:p w14:paraId="5E8CB847">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lang w:val="en-US"/>
                <w14:textFill>
                  <w14:solidFill>
                    <w14:schemeClr w14:val="tx1"/>
                  </w14:solidFill>
                </w14:textFill>
              </w:rPr>
            </w:pPr>
            <w:r>
              <w:rPr>
                <w:rFonts w:ascii="Times New Roman" w:hAnsi="Times New Roman" w:cs="Times New Roman" w:eastAsiaTheme="minorEastAsia"/>
                <w:color w:val="000000" w:themeColor="text1"/>
                <w:w w:val="99"/>
                <w:sz w:val="21"/>
                <w14:textFill>
                  <w14:solidFill>
                    <w14:schemeClr w14:val="tx1"/>
                  </w14:solidFill>
                </w14:textFill>
              </w:rPr>
              <w:t>74-82-8</w:t>
            </w:r>
          </w:p>
        </w:tc>
        <w:tc>
          <w:tcPr>
            <w:tcW w:w="762" w:type="pct"/>
            <w:vAlign w:val="center"/>
          </w:tcPr>
          <w:p w14:paraId="57866AE9">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lang w:val="en-US"/>
                <w14:textFill>
                  <w14:solidFill>
                    <w14:schemeClr w14:val="tx1"/>
                  </w14:solidFill>
                </w14:textFill>
              </w:rPr>
            </w:pPr>
            <w:r>
              <w:rPr>
                <w:rFonts w:ascii="Times New Roman" w:hAnsi="Times New Roman" w:cs="Times New Roman" w:eastAsiaTheme="minorEastAsia"/>
                <w:color w:val="000000" w:themeColor="text1"/>
                <w:w w:val="99"/>
                <w:sz w:val="21"/>
                <w:lang w:val="en-US"/>
                <w14:textFill>
                  <w14:solidFill>
                    <w14:schemeClr w14:val="tx1"/>
                  </w14:solidFill>
                </w14:textFill>
              </w:rPr>
              <w:t>3.086</w:t>
            </w:r>
          </w:p>
        </w:tc>
        <w:tc>
          <w:tcPr>
            <w:tcW w:w="653" w:type="pct"/>
            <w:vAlign w:val="center"/>
          </w:tcPr>
          <w:p w14:paraId="5AC054CB">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14:textFill>
                  <w14:solidFill>
                    <w14:schemeClr w14:val="tx1"/>
                  </w14:solidFill>
                </w14:textFill>
              </w:rPr>
              <w:t>10</w:t>
            </w:r>
          </w:p>
        </w:tc>
        <w:tc>
          <w:tcPr>
            <w:tcW w:w="671" w:type="pct"/>
            <w:vAlign w:val="center"/>
          </w:tcPr>
          <w:p w14:paraId="1F81DC05">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lang w:val="en-US"/>
                <w14:textFill>
                  <w14:solidFill>
                    <w14:schemeClr w14:val="tx1"/>
                  </w14:solidFill>
                </w14:textFill>
              </w:rPr>
            </w:pPr>
            <w:r>
              <w:rPr>
                <w:rFonts w:ascii="Times New Roman" w:hAnsi="Times New Roman" w:cs="Times New Roman" w:eastAsiaTheme="minorEastAsia"/>
                <w:color w:val="000000" w:themeColor="text1"/>
                <w:w w:val="99"/>
                <w:sz w:val="21"/>
                <w:lang w:val="en-US"/>
                <w14:textFill>
                  <w14:solidFill>
                    <w14:schemeClr w14:val="tx1"/>
                  </w14:solidFill>
                </w14:textFill>
              </w:rPr>
              <w:t>0.3086</w:t>
            </w:r>
          </w:p>
        </w:tc>
        <w:tc>
          <w:tcPr>
            <w:tcW w:w="645" w:type="pct"/>
            <w:vMerge w:val="restart"/>
            <w:vAlign w:val="center"/>
          </w:tcPr>
          <w:p w14:paraId="53E27159">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lang w:val="en-US"/>
                <w14:textFill>
                  <w14:solidFill>
                    <w14:schemeClr w14:val="tx1"/>
                  </w14:solidFill>
                </w14:textFill>
              </w:rPr>
            </w:pPr>
            <w:r>
              <w:rPr>
                <w:rFonts w:ascii="Times New Roman" w:hAnsi="Times New Roman" w:cs="Times New Roman" w:eastAsiaTheme="minorEastAsia"/>
                <w:color w:val="000000" w:themeColor="text1"/>
                <w:w w:val="99"/>
                <w:sz w:val="21"/>
                <w:lang w:val="en-US"/>
                <w14:textFill>
                  <w14:solidFill>
                    <w14:schemeClr w14:val="tx1"/>
                  </w14:solidFill>
                </w14:textFill>
              </w:rPr>
              <w:t>0.36152</w:t>
            </w:r>
          </w:p>
        </w:tc>
      </w:tr>
      <w:tr w14:paraId="11A2C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55" w:type="pct"/>
            <w:vAlign w:val="center"/>
          </w:tcPr>
          <w:p w14:paraId="332A6D69">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lang w:val="en-US"/>
                <w14:textFill>
                  <w14:solidFill>
                    <w14:schemeClr w14:val="tx1"/>
                  </w14:solidFill>
                </w14:textFill>
              </w:rPr>
            </w:pPr>
            <w:r>
              <w:rPr>
                <w:rFonts w:ascii="Times New Roman" w:hAnsi="Times New Roman" w:cs="Times New Roman" w:eastAsiaTheme="minorEastAsia"/>
                <w:color w:val="000000" w:themeColor="text1"/>
                <w:w w:val="99"/>
                <w:sz w:val="21"/>
                <w:lang w:val="en-US"/>
                <w14:textFill>
                  <w14:solidFill>
                    <w14:schemeClr w14:val="tx1"/>
                  </w14:solidFill>
                </w14:textFill>
              </w:rPr>
              <w:t>2</w:t>
            </w:r>
          </w:p>
        </w:tc>
        <w:tc>
          <w:tcPr>
            <w:tcW w:w="1095" w:type="pct"/>
            <w:vAlign w:val="center"/>
          </w:tcPr>
          <w:p w14:paraId="7DB430EE">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14:textFill>
                  <w14:solidFill>
                    <w14:schemeClr w14:val="tx1"/>
                  </w14:solidFill>
                </w14:textFill>
              </w:rPr>
              <w:t>原油（石油类）</w:t>
            </w:r>
          </w:p>
        </w:tc>
        <w:tc>
          <w:tcPr>
            <w:tcW w:w="818" w:type="pct"/>
            <w:vAlign w:val="center"/>
          </w:tcPr>
          <w:p w14:paraId="04C607DC">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lang w:val="en-US"/>
                <w14:textFill>
                  <w14:solidFill>
                    <w14:schemeClr w14:val="tx1"/>
                  </w14:solidFill>
                </w14:textFill>
              </w:rPr>
            </w:pPr>
            <w:r>
              <w:rPr>
                <w:rFonts w:ascii="Times New Roman" w:hAnsi="Times New Roman" w:cs="Times New Roman" w:eastAsiaTheme="minorEastAsia"/>
                <w:color w:val="000000" w:themeColor="text1"/>
                <w:w w:val="99"/>
                <w:sz w:val="21"/>
                <w:lang w:val="en-US"/>
                <w14:textFill>
                  <w14:solidFill>
                    <w14:schemeClr w14:val="tx1"/>
                  </w14:solidFill>
                </w14:textFill>
              </w:rPr>
              <w:t>/</w:t>
            </w:r>
          </w:p>
        </w:tc>
        <w:tc>
          <w:tcPr>
            <w:tcW w:w="762" w:type="pct"/>
            <w:vAlign w:val="center"/>
          </w:tcPr>
          <w:p w14:paraId="3C283DE4">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lang w:val="en-US"/>
                <w14:textFill>
                  <w14:solidFill>
                    <w14:schemeClr w14:val="tx1"/>
                  </w14:solidFill>
                </w14:textFill>
              </w:rPr>
            </w:pPr>
            <w:r>
              <w:rPr>
                <w:rFonts w:ascii="Times New Roman" w:hAnsi="Times New Roman" w:cs="Times New Roman" w:eastAsiaTheme="minorEastAsia"/>
                <w:color w:val="000000" w:themeColor="text1"/>
                <w:w w:val="99"/>
                <w:sz w:val="21"/>
                <w:lang w:val="en-US"/>
                <w14:textFill>
                  <w14:solidFill>
                    <w14:schemeClr w14:val="tx1"/>
                  </w14:solidFill>
                </w14:textFill>
              </w:rPr>
              <w:t>136.8</w:t>
            </w:r>
          </w:p>
        </w:tc>
        <w:tc>
          <w:tcPr>
            <w:tcW w:w="653" w:type="pct"/>
            <w:vAlign w:val="center"/>
          </w:tcPr>
          <w:p w14:paraId="6EDB2BCB">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14:textFill>
                  <w14:solidFill>
                    <w14:schemeClr w14:val="tx1"/>
                  </w14:solidFill>
                </w14:textFill>
              </w:rPr>
              <w:t>2500</w:t>
            </w:r>
          </w:p>
        </w:tc>
        <w:tc>
          <w:tcPr>
            <w:tcW w:w="671" w:type="pct"/>
            <w:vAlign w:val="center"/>
          </w:tcPr>
          <w:p w14:paraId="692BEE06">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lang w:val="en-US"/>
                <w14:textFill>
                  <w14:solidFill>
                    <w14:schemeClr w14:val="tx1"/>
                  </w14:solidFill>
                </w14:textFill>
              </w:rPr>
            </w:pPr>
            <w:r>
              <w:rPr>
                <w:rFonts w:ascii="Times New Roman" w:hAnsi="Times New Roman" w:cs="Times New Roman" w:eastAsiaTheme="minorEastAsia"/>
                <w:color w:val="000000" w:themeColor="text1"/>
                <w:w w:val="99"/>
                <w:sz w:val="21"/>
                <w:lang w:val="en-US"/>
                <w14:textFill>
                  <w14:solidFill>
                    <w14:schemeClr w14:val="tx1"/>
                  </w14:solidFill>
                </w14:textFill>
              </w:rPr>
              <w:t>0.05472</w:t>
            </w:r>
          </w:p>
        </w:tc>
        <w:tc>
          <w:tcPr>
            <w:tcW w:w="645" w:type="pct"/>
            <w:vMerge w:val="continue"/>
            <w:vAlign w:val="center"/>
          </w:tcPr>
          <w:p w14:paraId="55574FF1">
            <w:pPr>
              <w:pStyle w:val="104"/>
              <w:tabs>
                <w:tab w:val="left" w:pos="4154"/>
                <w:tab w:val="center" w:pos="8305"/>
              </w:tabs>
              <w:spacing w:line="360" w:lineRule="exact"/>
              <w:ind w:firstLine="0"/>
              <w:jc w:val="center"/>
              <w:rPr>
                <w:rFonts w:ascii="Times New Roman" w:hAnsi="Times New Roman" w:cs="Times New Roman" w:eastAsiaTheme="minorEastAsia"/>
                <w:color w:val="000000" w:themeColor="text1"/>
                <w:w w:val="99"/>
                <w:sz w:val="21"/>
                <w14:textFill>
                  <w14:solidFill>
                    <w14:schemeClr w14:val="tx1"/>
                  </w14:solidFill>
                </w14:textFill>
              </w:rPr>
            </w:pPr>
          </w:p>
        </w:tc>
      </w:tr>
    </w:tbl>
    <w:p w14:paraId="44B93EB9">
      <w:pPr>
        <w:pStyle w:val="107"/>
        <w:tabs>
          <w:tab w:val="left" w:pos="4154"/>
          <w:tab w:val="center" w:pos="8305"/>
        </w:tabs>
        <w:spacing w:line="500" w:lineRule="exact"/>
        <w:ind w:left="0"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根据《建设项目环境风险评价技术导则》（HJ169-2018）中评价等级的判定方法见表2.5-</w:t>
      </w:r>
      <w:r>
        <w:rPr>
          <w:rFonts w:ascii="Times New Roman" w:hAnsi="Times New Roman" w:cs="Times New Roman" w:eastAsiaTheme="minorEastAsia"/>
          <w:color w:val="000000" w:themeColor="text1"/>
          <w:w w:val="99"/>
          <w:sz w:val="24"/>
          <w:szCs w:val="24"/>
          <w:lang w:val="en-US"/>
          <w14:textFill>
            <w14:solidFill>
              <w14:schemeClr w14:val="tx1"/>
            </w14:solidFill>
          </w14:textFill>
        </w:rPr>
        <w:t>12</w:t>
      </w:r>
      <w:r>
        <w:rPr>
          <w:rFonts w:ascii="Times New Roman" w:hAnsi="Times New Roman" w:cs="Times New Roman" w:eastAsiaTheme="minorEastAsia"/>
          <w:color w:val="000000" w:themeColor="text1"/>
          <w:w w:val="99"/>
          <w:sz w:val="24"/>
          <w:szCs w:val="24"/>
          <w14:textFill>
            <w14:solidFill>
              <w14:schemeClr w14:val="tx1"/>
            </w14:solidFill>
          </w14:textFill>
        </w:rPr>
        <w:t>，Q为</w:t>
      </w:r>
      <w:r>
        <w:rPr>
          <w:rFonts w:ascii="Times New Roman" w:hAnsi="Times New Roman" w:cs="Times New Roman" w:eastAsiaTheme="minorEastAsia"/>
          <w:color w:val="000000" w:themeColor="text1"/>
          <w:w w:val="99"/>
          <w:sz w:val="24"/>
          <w:szCs w:val="24"/>
          <w:lang w:val="en-US"/>
          <w14:textFill>
            <w14:solidFill>
              <w14:schemeClr w14:val="tx1"/>
            </w14:solidFill>
          </w14:textFill>
        </w:rPr>
        <w:t>0.36152</w:t>
      </w:r>
      <w:r>
        <w:rPr>
          <w:rFonts w:ascii="Times New Roman" w:hAnsi="Times New Roman" w:cs="Times New Roman" w:eastAsiaTheme="minorEastAsia"/>
          <w:color w:val="000000" w:themeColor="text1"/>
          <w:w w:val="99"/>
          <w:sz w:val="24"/>
          <w:szCs w:val="24"/>
          <w14:textFill>
            <w14:solidFill>
              <w14:schemeClr w14:val="tx1"/>
            </w14:solidFill>
          </w14:textFill>
        </w:rPr>
        <w:t>＜1，因此，判定本项目环境风险潜势为I，确定本工程风险评价等级为简单分析。</w:t>
      </w:r>
    </w:p>
    <w:p w14:paraId="11A810A8">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18" w:name="_Toc117794617"/>
      <w:r>
        <w:rPr>
          <w:rFonts w:ascii="Times New Roman" w:hAnsi="Times New Roman" w:cs="Times New Roman" w:eastAsiaTheme="minorEastAsia"/>
          <w:color w:val="000000" w:themeColor="text1"/>
          <w:w w:val="99"/>
          <w:kern w:val="2"/>
          <w:lang w:val="en-US" w:bidi="ar-SA"/>
          <w14:textFill>
            <w14:solidFill>
              <w14:schemeClr w14:val="tx1"/>
            </w14:solidFill>
          </w14:textFill>
        </w:rPr>
        <w:t>5.8.2环境风险识别</w:t>
      </w:r>
      <w:bookmarkEnd w:id="518"/>
    </w:p>
    <w:p w14:paraId="7793C183">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（1）火灾、爆炸</w:t>
      </w:r>
    </w:p>
    <w:p w14:paraId="7A73BF8A">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油田开发运行过程中发生火灾爆炸的原因很多，主要包括：</w:t>
      </w:r>
      <w:r>
        <w:rPr>
          <w:rFonts w:hint="eastAsia"/>
          <w:color w:val="000000" w:themeColor="text1"/>
          <w:w w:val="99"/>
          <w:sz w:val="24"/>
          <w:szCs w:val="24"/>
          <w14:textFill>
            <w14:solidFill>
              <w14:schemeClr w14:val="tx1"/>
            </w14:solidFill>
          </w14:textFill>
        </w:rPr>
        <w:t>①</w:t>
      </w:r>
      <w:r>
        <w:rPr>
          <w:rFonts w:ascii="Times New Roman" w:hAnsi="Times New Roman" w:cs="Times New Roman" w:eastAsiaTheme="minorEastAsia"/>
          <w:color w:val="000000" w:themeColor="text1"/>
          <w:w w:val="99"/>
          <w:sz w:val="24"/>
          <w:szCs w:val="24"/>
          <w14:textFill>
            <w14:solidFill>
              <w14:schemeClr w14:val="tx1"/>
            </w14:solidFill>
          </w14:textFill>
        </w:rPr>
        <w:t>组织不严密，管理不善，违章作业导致大量的油气泄漏遇明火爆炸燃烧；</w:t>
      </w:r>
      <w:r>
        <w:rPr>
          <w:rFonts w:hint="eastAsia"/>
          <w:color w:val="000000" w:themeColor="text1"/>
          <w:w w:val="99"/>
          <w:sz w:val="24"/>
          <w:szCs w:val="24"/>
          <w14:textFill>
            <w14:solidFill>
              <w14:schemeClr w14:val="tx1"/>
            </w14:solidFill>
          </w14:textFill>
        </w:rPr>
        <w:t>②</w:t>
      </w:r>
      <w:r>
        <w:rPr>
          <w:rFonts w:ascii="Times New Roman" w:hAnsi="Times New Roman" w:cs="Times New Roman" w:eastAsiaTheme="minorEastAsia"/>
          <w:color w:val="000000" w:themeColor="text1"/>
          <w:w w:val="99"/>
          <w:sz w:val="24"/>
          <w:szCs w:val="24"/>
          <w14:textFill>
            <w14:solidFill>
              <w14:schemeClr w14:val="tx1"/>
            </w14:solidFill>
          </w14:textFill>
        </w:rPr>
        <w:t>设备缺陷主要包括因选材错误而引起的设备、管线的腐蚀、侵蚀等引发火灾、爆炸；</w:t>
      </w:r>
      <w:r>
        <w:rPr>
          <w:rFonts w:hint="eastAsia"/>
          <w:color w:val="000000" w:themeColor="text1"/>
          <w:w w:val="99"/>
          <w:sz w:val="24"/>
          <w:szCs w:val="24"/>
          <w14:textFill>
            <w14:solidFill>
              <w14:schemeClr w14:val="tx1"/>
            </w14:solidFill>
          </w14:textFill>
        </w:rPr>
        <w:t>③</w:t>
      </w:r>
      <w:r>
        <w:rPr>
          <w:rFonts w:ascii="Times New Roman" w:hAnsi="Times New Roman" w:cs="Times New Roman" w:eastAsiaTheme="minorEastAsia"/>
          <w:color w:val="000000" w:themeColor="text1"/>
          <w:w w:val="99"/>
          <w:sz w:val="24"/>
          <w:szCs w:val="24"/>
          <w14:textFill>
            <w14:solidFill>
              <w14:schemeClr w14:val="tx1"/>
            </w14:solidFill>
          </w14:textFill>
        </w:rPr>
        <w:t>设备安装时考虑不周不细，施工时施工质量差，不符合设计要求和施工验收规范，从而导致投产后发生事故；</w:t>
      </w:r>
      <w:r>
        <w:rPr>
          <w:rFonts w:hint="eastAsia" w:ascii="Times New Roman" w:hAnsi="Times New Roman" w:cs="Times New Roman" w:eastAsiaTheme="minorEastAsia"/>
          <w:color w:val="000000" w:themeColor="text1"/>
          <w:w w:val="99"/>
          <w:sz w:val="24"/>
          <w:szCs w:val="24"/>
          <w14:textFill>
            <w14:solidFill>
              <w14:schemeClr w14:val="tx1"/>
            </w14:solidFill>
          </w14:textFill>
        </w:rPr>
        <w:t>④</w:t>
      </w:r>
      <w:r>
        <w:rPr>
          <w:rFonts w:ascii="Times New Roman" w:hAnsi="Times New Roman" w:cs="Times New Roman" w:eastAsiaTheme="minorEastAsia"/>
          <w:color w:val="000000" w:themeColor="text1"/>
          <w:w w:val="99"/>
          <w:sz w:val="24"/>
          <w:szCs w:val="24"/>
          <w14:textFill>
            <w14:solidFill>
              <w14:schemeClr w14:val="tx1"/>
            </w14:solidFill>
          </w14:textFill>
        </w:rPr>
        <w:t>控制生产装置的仪表仪器失灵，造成设备操作失控，引发油气泄漏，形成火灾等。上述各类生产事故在发生火灾及爆炸安全生产危害的同时，对区域内环境也将产生严重的污染。</w:t>
      </w:r>
    </w:p>
    <w:p w14:paraId="45880233">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（2）中毒</w:t>
      </w:r>
    </w:p>
    <w:p w14:paraId="0DC93C1E">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本工程涉及的天然气毒性较低，其中天然气主要成分烃类物质毒性较低，但如果浓度过高将使人昏迷、窒息，一般在封闭或通风不良的作业场所积聚后可能产生此类事故。阀组渗漏，管道腐蚀穿孔、超压泄漏，天然气系统安全控制装置失灵将在局部空间弥漫高浓度天然气，人员接触后将会有头晕、恶心、呼吸困难等症状，严重时将发生中毒窒息。虽然本工程天然气中含有硫化氢，但由于含量较低，只会出现呼吸道及眼急性刺激症状，不会出现呼吸麻痹而死亡的急性中毒事件。中毒危害多易发生在设备检修等过程中。</w:t>
      </w:r>
    </w:p>
    <w:p w14:paraId="7C13F95A">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（3）物料泄漏</w:t>
      </w:r>
    </w:p>
    <w:p w14:paraId="2551E337">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本工程在生产运行过程中由于处理、输送工艺物料的管道腐蚀穿孔、接头密闭不严、操作失误，发生泄漏，对环境造成污染。</w:t>
      </w:r>
    </w:p>
    <w:p w14:paraId="51866FA6">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发生泄漏事故的人为因素：</w:t>
      </w:r>
    </w:p>
    <w:p w14:paraId="2D7615C3">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hint="eastAsia"/>
          <w:color w:val="000000" w:themeColor="text1"/>
          <w:w w:val="99"/>
          <w:sz w:val="24"/>
          <w:szCs w:val="24"/>
          <w14:textFill>
            <w14:solidFill>
              <w14:schemeClr w14:val="tx1"/>
            </w14:solidFill>
          </w14:textFill>
        </w:rPr>
        <w:t>①</w:t>
      </w:r>
      <w:r>
        <w:rPr>
          <w:rFonts w:ascii="Times New Roman" w:hAnsi="Times New Roman" w:cs="Times New Roman" w:eastAsiaTheme="minorEastAsia"/>
          <w:color w:val="000000" w:themeColor="text1"/>
          <w:w w:val="99"/>
          <w:sz w:val="24"/>
          <w:szCs w:val="24"/>
          <w14:textFill>
            <w14:solidFill>
              <w14:schemeClr w14:val="tx1"/>
            </w14:solidFill>
          </w14:textFill>
        </w:rPr>
        <w:t>管道焊接不严，检测有误，造成泄漏；</w:t>
      </w:r>
    </w:p>
    <w:p w14:paraId="262DA73E">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hint="eastAsia"/>
          <w:color w:val="000000" w:themeColor="text1"/>
          <w:w w:val="99"/>
          <w:sz w:val="24"/>
          <w:szCs w:val="24"/>
          <w14:textFill>
            <w14:solidFill>
              <w14:schemeClr w14:val="tx1"/>
            </w14:solidFill>
          </w14:textFill>
        </w:rPr>
        <w:t>②</w:t>
      </w:r>
      <w:r>
        <w:rPr>
          <w:rFonts w:ascii="Times New Roman" w:hAnsi="Times New Roman" w:cs="Times New Roman" w:eastAsiaTheme="minorEastAsia"/>
          <w:color w:val="000000" w:themeColor="text1"/>
          <w:w w:val="99"/>
          <w:sz w:val="24"/>
          <w:szCs w:val="24"/>
          <w14:textFill>
            <w14:solidFill>
              <w14:schemeClr w14:val="tx1"/>
            </w14:solidFill>
          </w14:textFill>
        </w:rPr>
        <w:t>管道防腐涂层质量差，造成管道腐蚀；</w:t>
      </w:r>
    </w:p>
    <w:p w14:paraId="4075C15A">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hint="eastAsia"/>
          <w:color w:val="000000" w:themeColor="text1"/>
          <w:w w:val="99"/>
          <w:sz w:val="24"/>
          <w:szCs w:val="24"/>
          <w14:textFill>
            <w14:solidFill>
              <w14:schemeClr w14:val="tx1"/>
            </w14:solidFill>
          </w14:textFill>
        </w:rPr>
        <w:t>③</w:t>
      </w:r>
      <w:r>
        <w:rPr>
          <w:rFonts w:ascii="Times New Roman" w:hAnsi="Times New Roman" w:cs="Times New Roman" w:eastAsiaTheme="minorEastAsia"/>
          <w:color w:val="000000" w:themeColor="text1"/>
          <w:w w:val="99"/>
          <w:sz w:val="24"/>
          <w:szCs w:val="24"/>
          <w14:textFill>
            <w14:solidFill>
              <w14:schemeClr w14:val="tx1"/>
            </w14:solidFill>
          </w14:textFill>
        </w:rPr>
        <w:t>管材或连接缺陷，造成管道断裂，油气泄漏；</w:t>
      </w:r>
    </w:p>
    <w:p w14:paraId="00876CA5">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hint="eastAsia"/>
          <w:color w:val="000000" w:themeColor="text1"/>
          <w:w w:val="99"/>
          <w:sz w:val="24"/>
          <w:szCs w:val="24"/>
          <w14:textFill>
            <w14:solidFill>
              <w14:schemeClr w14:val="tx1"/>
            </w14:solidFill>
          </w14:textFill>
        </w:rPr>
        <w:t>④</w:t>
      </w:r>
      <w:r>
        <w:rPr>
          <w:rFonts w:ascii="Times New Roman" w:hAnsi="Times New Roman" w:cs="Times New Roman" w:eastAsiaTheme="minorEastAsia"/>
          <w:color w:val="000000" w:themeColor="text1"/>
          <w:w w:val="99"/>
          <w:sz w:val="24"/>
          <w:szCs w:val="24"/>
          <w14:textFill>
            <w14:solidFill>
              <w14:schemeClr w14:val="tx1"/>
            </w14:solidFill>
          </w14:textFill>
        </w:rPr>
        <w:t>操作失误引发的憋压等造成的风险事故；</w:t>
      </w:r>
    </w:p>
    <w:p w14:paraId="665FAC56">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hint="eastAsia"/>
          <w:color w:val="000000" w:themeColor="text1"/>
          <w:w w:val="99"/>
          <w:sz w:val="24"/>
          <w:szCs w:val="24"/>
          <w14:textFill>
            <w14:solidFill>
              <w14:schemeClr w14:val="tx1"/>
            </w14:solidFill>
          </w14:textFill>
        </w:rPr>
        <w:t>⑤</w:t>
      </w:r>
      <w:r>
        <w:rPr>
          <w:rFonts w:ascii="Times New Roman" w:hAnsi="Times New Roman" w:cs="Times New Roman" w:eastAsiaTheme="minorEastAsia"/>
          <w:color w:val="000000" w:themeColor="text1"/>
          <w:w w:val="99"/>
          <w:sz w:val="24"/>
          <w:szCs w:val="24"/>
          <w14:textFill>
            <w14:solidFill>
              <w14:schemeClr w14:val="tx1"/>
            </w14:solidFill>
          </w14:textFill>
        </w:rPr>
        <w:t>动力故障引发的事故，如停电造成的阀门无法关闭、通讯线路中断无法传递控制指令等导致事故发生；</w:t>
      </w:r>
    </w:p>
    <w:p w14:paraId="7F635A7F">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hint="eastAsia"/>
          <w:color w:val="000000" w:themeColor="text1"/>
          <w:w w:val="99"/>
          <w:sz w:val="24"/>
          <w:szCs w:val="24"/>
          <w14:textFill>
            <w14:solidFill>
              <w14:schemeClr w14:val="tx1"/>
            </w14:solidFill>
          </w14:textFill>
        </w:rPr>
        <w:t>⑦</w:t>
      </w:r>
      <w:r>
        <w:rPr>
          <w:rFonts w:ascii="Times New Roman" w:hAnsi="Times New Roman" w:cs="Times New Roman" w:eastAsiaTheme="minorEastAsia"/>
          <w:color w:val="000000" w:themeColor="text1"/>
          <w:w w:val="99"/>
          <w:sz w:val="24"/>
          <w:szCs w:val="24"/>
          <w14:textFill>
            <w14:solidFill>
              <w14:schemeClr w14:val="tx1"/>
            </w14:solidFill>
          </w14:textFill>
        </w:rPr>
        <w:t>在管道近旁或上方进行其它生产活动时的挖掘，造成管道破裂；</w:t>
      </w:r>
    </w:p>
    <w:p w14:paraId="2193BE16">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hint="eastAsia"/>
          <w:color w:val="000000" w:themeColor="text1"/>
          <w:w w:val="99"/>
          <w:sz w:val="24"/>
          <w:szCs w:val="24"/>
          <w14:textFill>
            <w14:solidFill>
              <w14:schemeClr w14:val="tx1"/>
            </w14:solidFill>
          </w14:textFill>
        </w:rPr>
        <w:t>⑧</w:t>
      </w:r>
      <w:r>
        <w:rPr>
          <w:rFonts w:ascii="Times New Roman" w:hAnsi="Times New Roman" w:cs="Times New Roman" w:eastAsiaTheme="minorEastAsia"/>
          <w:color w:val="000000" w:themeColor="text1"/>
          <w:w w:val="99"/>
          <w:sz w:val="24"/>
          <w:szCs w:val="24"/>
          <w14:textFill>
            <w14:solidFill>
              <w14:schemeClr w14:val="tx1"/>
            </w14:solidFill>
          </w14:textFill>
        </w:rPr>
        <w:t>其它选线不当或设计有误导致的事故风险。</w:t>
      </w:r>
    </w:p>
    <w:p w14:paraId="3BF026E3">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自然风险因素是由于自然环境条件恶劣，如土壤盐渍化造成管道腐蚀等威胁管道安全。根据油田的运行经验，一般在油田开发7-8年后低洼地区的油水井管道可能发生腐蚀穿孔事故，而导致原油泄漏到环境中。</w:t>
      </w:r>
    </w:p>
    <w:p w14:paraId="0710A497">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结合本项目工程内容分析，本次改造项目施工期间对油气管线进行暂停处理，施工后进行严格的测压和检测，因此，不会产生大规模的油气泄漏事故。管道断裂、气阀漏气等事故，通常是通过巡回检查及监控对此加以控制。本工程主要作业场所、生产设备设施环境风险识别见表5.8-</w:t>
      </w:r>
      <w:r>
        <w:rPr>
          <w:rFonts w:ascii="Times New Roman" w:hAnsi="Times New Roman" w:cs="Times New Roman" w:eastAsiaTheme="minorEastAsia"/>
          <w:color w:val="000000" w:themeColor="text1"/>
          <w:w w:val="99"/>
          <w:sz w:val="24"/>
          <w:szCs w:val="24"/>
          <w:lang w:val="en-US"/>
          <w14:textFill>
            <w14:solidFill>
              <w14:schemeClr w14:val="tx1"/>
            </w14:solidFill>
          </w14:textFill>
        </w:rPr>
        <w:t>4</w:t>
      </w:r>
      <w:r>
        <w:rPr>
          <w:rFonts w:ascii="Times New Roman" w:hAnsi="Times New Roman" w:cs="Times New Roman" w:eastAsiaTheme="minorEastAsia"/>
          <w:color w:val="000000" w:themeColor="text1"/>
          <w:w w:val="99"/>
          <w:sz w:val="24"/>
          <w:szCs w:val="24"/>
          <w14:textFill>
            <w14:solidFill>
              <w14:schemeClr w14:val="tx1"/>
            </w14:solidFill>
          </w14:textFill>
        </w:rPr>
        <w:t>。</w:t>
      </w:r>
    </w:p>
    <w:p w14:paraId="2486EB55">
      <w:pPr>
        <w:spacing w:line="440" w:lineRule="exact"/>
        <w:ind w:firstLine="476" w:firstLineChars="200"/>
        <w:jc w:val="both"/>
        <w:rPr>
          <w:rFonts w:ascii="Times New Roman" w:hAnsi="Times New Roman" w:cs="Times New Roman" w:eastAsiaTheme="minorEastAsia"/>
          <w:b/>
          <w:bCs/>
          <w:color w:val="000000" w:themeColor="text1"/>
          <w:w w:val="99"/>
          <w:sz w:val="24"/>
          <w:szCs w:val="24"/>
          <w14:textFill>
            <w14:solidFill>
              <w14:schemeClr w14:val="tx1"/>
            </w14:solidFill>
          </w14:textFill>
        </w:rPr>
      </w:pPr>
      <w:r>
        <w:rPr>
          <w:rFonts w:ascii="Times New Roman" w:hAnsi="Times New Roman" w:cs="Times New Roman" w:eastAsiaTheme="minorEastAsia"/>
          <w:b/>
          <w:bCs/>
          <w:color w:val="000000" w:themeColor="text1"/>
          <w:w w:val="99"/>
          <w:sz w:val="24"/>
          <w:szCs w:val="24"/>
          <w14:textFill>
            <w14:solidFill>
              <w14:schemeClr w14:val="tx1"/>
            </w14:solidFill>
          </w14:textFill>
        </w:rPr>
        <w:t>表5.8-</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4</w:t>
      </w:r>
      <w:r>
        <w:rPr>
          <w:rFonts w:ascii="Times New Roman" w:hAnsi="Times New Roman" w:cs="Times New Roman" w:eastAsiaTheme="minorEastAsia"/>
          <w:b/>
          <w:bCs/>
          <w:color w:val="000000" w:themeColor="text1"/>
          <w:w w:val="99"/>
          <w:sz w:val="24"/>
          <w:szCs w:val="24"/>
          <w14:textFill>
            <w14:solidFill>
              <w14:schemeClr w14:val="tx1"/>
            </w14:solidFill>
          </w14:textFill>
        </w:rPr>
        <w:t xml:space="preserve"> </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 xml:space="preserve">     </w:t>
      </w:r>
      <w:r>
        <w:rPr>
          <w:rFonts w:ascii="Times New Roman" w:hAnsi="Times New Roman" w:cs="Times New Roman" w:eastAsiaTheme="minorEastAsia"/>
          <w:b/>
          <w:bCs/>
          <w:color w:val="000000" w:themeColor="text1"/>
          <w:w w:val="99"/>
          <w:sz w:val="24"/>
          <w:szCs w:val="24"/>
          <w14:textFill>
            <w14:solidFill>
              <w14:schemeClr w14:val="tx1"/>
            </w14:solidFill>
          </w14:textFill>
        </w:rPr>
        <w:t>工程环境风险识别表</w:t>
      </w:r>
    </w:p>
    <w:p w14:paraId="66FED160">
      <w:pPr>
        <w:spacing w:line="14" w:lineRule="auto"/>
        <w:rPr>
          <w:rFonts w:ascii="Times New Roman" w:hAnsi="Times New Roman" w:cs="Times New Roman" w:eastAsiaTheme="minorEastAsia"/>
          <w:color w:val="000000" w:themeColor="text1"/>
          <w:w w:val="99"/>
          <w:sz w:val="2"/>
          <w14:textFill>
            <w14:solidFill>
              <w14:schemeClr w14:val="tx1"/>
            </w14:solidFill>
          </w14:textFill>
        </w:rPr>
      </w:pPr>
    </w:p>
    <w:tbl>
      <w:tblPr>
        <w:tblStyle w:val="106"/>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171"/>
        <w:gridCol w:w="1865"/>
        <w:gridCol w:w="2763"/>
        <w:gridCol w:w="2277"/>
      </w:tblGrid>
      <w:tr w14:paraId="052EA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196" w:type="pct"/>
            <w:vAlign w:val="center"/>
          </w:tcPr>
          <w:p w14:paraId="58B3443D">
            <w:pPr>
              <w:adjustRightInd w:val="0"/>
              <w:snapToGrid w:val="0"/>
              <w:spacing w:line="360" w:lineRule="exact"/>
              <w:jc w:val="center"/>
              <w:rPr>
                <w:rFonts w:ascii="Times New Roman" w:hAnsi="Times New Roman" w:cs="Times New Roman" w:eastAsiaTheme="minorEastAsia"/>
                <w:bCs/>
                <w:color w:val="000000" w:themeColor="text1"/>
                <w:w w:val="99"/>
                <w:sz w:val="21"/>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4"/>
                <w:lang w:val="en-US" w:bidi="ar-SA"/>
                <w14:textFill>
                  <w14:solidFill>
                    <w14:schemeClr w14:val="tx1"/>
                  </w14:solidFill>
                </w14:textFill>
              </w:rPr>
              <w:t>主要设备及场所名称</w:t>
            </w:r>
          </w:p>
        </w:tc>
        <w:tc>
          <w:tcPr>
            <w:tcW w:w="1027" w:type="pct"/>
            <w:vAlign w:val="center"/>
          </w:tcPr>
          <w:p w14:paraId="704DB55E">
            <w:pPr>
              <w:adjustRightInd w:val="0"/>
              <w:snapToGrid w:val="0"/>
              <w:spacing w:line="360" w:lineRule="exact"/>
              <w:jc w:val="center"/>
              <w:rPr>
                <w:rFonts w:ascii="Times New Roman" w:hAnsi="Times New Roman" w:cs="Times New Roman" w:eastAsiaTheme="minorEastAsia"/>
                <w:bCs/>
                <w:color w:val="000000" w:themeColor="text1"/>
                <w:w w:val="99"/>
                <w:sz w:val="21"/>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4"/>
                <w:lang w:val="en-US" w:bidi="ar-SA"/>
                <w14:textFill>
                  <w14:solidFill>
                    <w14:schemeClr w14:val="tx1"/>
                  </w14:solidFill>
                </w14:textFill>
              </w:rPr>
              <w:t>危险介质</w:t>
            </w:r>
          </w:p>
        </w:tc>
        <w:tc>
          <w:tcPr>
            <w:tcW w:w="1522" w:type="pct"/>
            <w:vAlign w:val="center"/>
          </w:tcPr>
          <w:p w14:paraId="7033D5D9">
            <w:pPr>
              <w:adjustRightInd w:val="0"/>
              <w:snapToGrid w:val="0"/>
              <w:spacing w:line="360" w:lineRule="exact"/>
              <w:jc w:val="center"/>
              <w:rPr>
                <w:rFonts w:ascii="Times New Roman" w:hAnsi="Times New Roman" w:cs="Times New Roman" w:eastAsiaTheme="minorEastAsia"/>
                <w:bCs/>
                <w:color w:val="000000" w:themeColor="text1"/>
                <w:w w:val="99"/>
                <w:sz w:val="21"/>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4"/>
                <w:lang w:val="en-US" w:bidi="ar-SA"/>
                <w14:textFill>
                  <w14:solidFill>
                    <w14:schemeClr w14:val="tx1"/>
                  </w14:solidFill>
                </w14:textFill>
              </w:rPr>
              <w:t>主要危险特性</w:t>
            </w:r>
          </w:p>
        </w:tc>
        <w:tc>
          <w:tcPr>
            <w:tcW w:w="1254" w:type="pct"/>
            <w:vAlign w:val="center"/>
          </w:tcPr>
          <w:p w14:paraId="0F9FEC08">
            <w:pPr>
              <w:adjustRightInd w:val="0"/>
              <w:snapToGrid w:val="0"/>
              <w:spacing w:line="360" w:lineRule="exact"/>
              <w:jc w:val="center"/>
              <w:rPr>
                <w:rFonts w:ascii="Times New Roman" w:hAnsi="Times New Roman" w:cs="Times New Roman" w:eastAsiaTheme="minorEastAsia"/>
                <w:bCs/>
                <w:color w:val="000000" w:themeColor="text1"/>
                <w:w w:val="99"/>
                <w:sz w:val="21"/>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4"/>
                <w:lang w:val="en-US" w:bidi="ar-SA"/>
                <w14:textFill>
                  <w14:solidFill>
                    <w14:schemeClr w14:val="tx1"/>
                  </w14:solidFill>
                </w14:textFill>
              </w:rPr>
              <w:t>影响环境</w:t>
            </w:r>
          </w:p>
        </w:tc>
      </w:tr>
      <w:tr w14:paraId="792D8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1196" w:type="pct"/>
            <w:vAlign w:val="center"/>
          </w:tcPr>
          <w:p w14:paraId="6AEFC610">
            <w:pPr>
              <w:adjustRightInd w:val="0"/>
              <w:snapToGrid w:val="0"/>
              <w:spacing w:line="360" w:lineRule="exact"/>
              <w:jc w:val="center"/>
              <w:rPr>
                <w:rFonts w:ascii="Times New Roman" w:hAnsi="Times New Roman" w:cs="Times New Roman" w:eastAsiaTheme="minorEastAsia"/>
                <w:bCs/>
                <w:color w:val="000000" w:themeColor="text1"/>
                <w:w w:val="99"/>
                <w:sz w:val="21"/>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4"/>
                <w:lang w:val="en-US" w:bidi="ar-SA"/>
                <w14:textFill>
                  <w14:solidFill>
                    <w14:schemeClr w14:val="tx1"/>
                  </w14:solidFill>
                </w14:textFill>
              </w:rPr>
              <w:t>油水管道</w:t>
            </w:r>
          </w:p>
        </w:tc>
        <w:tc>
          <w:tcPr>
            <w:tcW w:w="1027" w:type="pct"/>
            <w:vAlign w:val="center"/>
          </w:tcPr>
          <w:p w14:paraId="0B8E3BE4">
            <w:pPr>
              <w:adjustRightInd w:val="0"/>
              <w:snapToGrid w:val="0"/>
              <w:spacing w:line="360" w:lineRule="exact"/>
              <w:jc w:val="center"/>
              <w:rPr>
                <w:rFonts w:ascii="Times New Roman" w:hAnsi="Times New Roman" w:cs="Times New Roman" w:eastAsiaTheme="minorEastAsia"/>
                <w:bCs/>
                <w:color w:val="000000" w:themeColor="text1"/>
                <w:w w:val="99"/>
                <w:sz w:val="21"/>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4"/>
                <w:lang w:val="en-US" w:bidi="ar-SA"/>
                <w14:textFill>
                  <w14:solidFill>
                    <w14:schemeClr w14:val="tx1"/>
                  </w14:solidFill>
                </w14:textFill>
              </w:rPr>
              <w:t>原油、含油污水、天 然气</w:t>
            </w:r>
          </w:p>
        </w:tc>
        <w:tc>
          <w:tcPr>
            <w:tcW w:w="1522" w:type="pct"/>
            <w:vAlign w:val="center"/>
          </w:tcPr>
          <w:p w14:paraId="6A9C58D7">
            <w:pPr>
              <w:adjustRightInd w:val="0"/>
              <w:snapToGrid w:val="0"/>
              <w:spacing w:line="360" w:lineRule="exact"/>
              <w:jc w:val="center"/>
              <w:rPr>
                <w:rFonts w:ascii="Times New Roman" w:hAnsi="Times New Roman" w:cs="Times New Roman" w:eastAsiaTheme="minorEastAsia"/>
                <w:bCs/>
                <w:color w:val="000000" w:themeColor="text1"/>
                <w:w w:val="99"/>
                <w:sz w:val="21"/>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4"/>
                <w:lang w:val="en-US" w:bidi="ar-SA"/>
                <w14:textFill>
                  <w14:solidFill>
                    <w14:schemeClr w14:val="tx1"/>
                  </w14:solidFill>
                </w14:textFill>
              </w:rPr>
              <w:t>火灾、爆炸、油水泄漏污染</w:t>
            </w:r>
          </w:p>
        </w:tc>
        <w:tc>
          <w:tcPr>
            <w:tcW w:w="1254" w:type="pct"/>
            <w:vAlign w:val="center"/>
          </w:tcPr>
          <w:p w14:paraId="0B092718">
            <w:pPr>
              <w:adjustRightInd w:val="0"/>
              <w:snapToGrid w:val="0"/>
              <w:spacing w:line="360" w:lineRule="exact"/>
              <w:jc w:val="center"/>
              <w:rPr>
                <w:rFonts w:ascii="Times New Roman" w:hAnsi="Times New Roman" w:cs="Times New Roman" w:eastAsiaTheme="minorEastAsia"/>
                <w:bCs/>
                <w:color w:val="000000" w:themeColor="text1"/>
                <w:w w:val="99"/>
                <w:sz w:val="21"/>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4"/>
                <w:lang w:val="en-US" w:bidi="ar-SA"/>
                <w14:textFill>
                  <w14:solidFill>
                    <w14:schemeClr w14:val="tx1"/>
                  </w14:solidFill>
                </w14:textFill>
              </w:rPr>
              <w:t>空气、地下水</w:t>
            </w:r>
          </w:p>
        </w:tc>
      </w:tr>
    </w:tbl>
    <w:p w14:paraId="62D1ED59">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19" w:name="_Toc117794618"/>
      <w:r>
        <w:rPr>
          <w:rFonts w:ascii="Times New Roman" w:hAnsi="Times New Roman" w:cs="Times New Roman" w:eastAsiaTheme="minorEastAsia"/>
          <w:color w:val="000000" w:themeColor="text1"/>
          <w:w w:val="99"/>
          <w:kern w:val="2"/>
          <w:lang w:val="en-US" w:bidi="ar-SA"/>
          <w14:textFill>
            <w14:solidFill>
              <w14:schemeClr w14:val="tx1"/>
            </w14:solidFill>
          </w14:textFill>
        </w:rPr>
        <w:t>5.8.3环境风险分析</w:t>
      </w:r>
      <w:bookmarkEnd w:id="519"/>
    </w:p>
    <w:p w14:paraId="2A8B5C5B">
      <w:pPr>
        <w:pStyle w:val="129"/>
        <w:spacing w:line="440" w:lineRule="exact"/>
        <w:ind w:firstLine="0" w:firstLineChars="0"/>
        <w:jc w:val="both"/>
        <w:outlineLvl w:val="3"/>
        <w:rPr>
          <w:rFonts w:ascii="Times New Roman" w:hAnsi="Times New Roman" w:eastAsiaTheme="minorEastAsia"/>
          <w:b/>
          <w:color w:val="000000" w:themeColor="text1"/>
          <w:w w:val="99"/>
          <w:sz w:val="24"/>
          <w:szCs w:val="24"/>
          <w:lang w:val="en-US"/>
          <w14:textFill>
            <w14:solidFill>
              <w14:schemeClr w14:val="tx1"/>
            </w14:solidFill>
          </w14:textFill>
        </w:rPr>
      </w:pPr>
      <w:r>
        <w:rPr>
          <w:rFonts w:ascii="Times New Roman" w:hAnsi="Times New Roman" w:eastAsiaTheme="minorEastAsia"/>
          <w:b/>
          <w:color w:val="000000" w:themeColor="text1"/>
          <w:w w:val="99"/>
          <w:sz w:val="24"/>
          <w:szCs w:val="24"/>
          <w:lang w:val="en-US"/>
          <w14:textFill>
            <w14:solidFill>
              <w14:schemeClr w14:val="tx1"/>
            </w14:solidFill>
          </w14:textFill>
        </w:rPr>
        <w:t>5.8.3.1 事故状态下对大气环境影响</w:t>
      </w:r>
    </w:p>
    <w:p w14:paraId="68C6B9C8">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天然气或原油泄漏事故会直接对大气环境带来影响。事故时天然气或原油泄漏将导致局部大气中总烃浓度可比正常情况高出数倍甚至数十倍，对大气环境造成短时的严重污染。若遇明火，引发的火灾事故可在短时间内产生大量燃烧烟气</w:t>
      </w:r>
      <w:r>
        <w:rPr>
          <w:rFonts w:hint="eastAsia" w:ascii="Times New Roman" w:hAnsi="Times New Roman" w:cs="Times New Roman" w:eastAsiaTheme="minorEastAsia"/>
          <w:color w:val="000000" w:themeColor="text1"/>
          <w:w w:val="99"/>
          <w:sz w:val="24"/>
          <w:szCs w:val="24"/>
          <w14:textFill>
            <w14:solidFill>
              <w14:schemeClr w14:val="tx1"/>
            </w14:solidFill>
          </w14:textFill>
        </w:rPr>
        <w:t>、次生</w:t>
      </w:r>
      <w:r>
        <w:rPr>
          <w:rFonts w:ascii="Times New Roman" w:hAnsi="Times New Roman" w:cs="Times New Roman" w:eastAsiaTheme="minorEastAsia"/>
          <w:color w:val="000000" w:themeColor="text1"/>
          <w:w w:val="99"/>
          <w:sz w:val="24"/>
          <w:szCs w:val="24"/>
          <w14:textFill>
            <w14:solidFill>
              <w14:schemeClr w14:val="tx1"/>
            </w14:solidFill>
          </w14:textFill>
        </w:rPr>
        <w:t xml:space="preserve"> CO，对大气环境造成短时的严重污染。</w:t>
      </w:r>
      <w:r>
        <w:rPr>
          <w:rFonts w:hint="eastAsia" w:ascii="Times New Roman" w:hAnsi="Times New Roman" w:cs="Times New Roman" w:eastAsiaTheme="minorEastAsia"/>
          <w:color w:val="000000" w:themeColor="text1"/>
          <w:w w:val="99"/>
          <w:sz w:val="24"/>
          <w:szCs w:val="24"/>
          <w14:textFill>
            <w14:solidFill>
              <w14:schemeClr w14:val="tx1"/>
            </w14:solidFill>
          </w14:textFill>
        </w:rPr>
        <w:t>但由于</w:t>
      </w:r>
      <w:r>
        <w:rPr>
          <w:rFonts w:ascii="Times New Roman" w:hAnsi="Times New Roman" w:cs="Times New Roman" w:eastAsiaTheme="minorEastAsia"/>
          <w:color w:val="000000" w:themeColor="text1"/>
          <w:w w:val="99"/>
          <w:sz w:val="24"/>
          <w:szCs w:val="24"/>
          <w:lang w:val="en-US"/>
          <w14:textFill>
            <w14:solidFill>
              <w14:schemeClr w14:val="tx1"/>
            </w14:solidFill>
          </w14:textFill>
        </w:rPr>
        <w:t>管道设有压力监控，并已在龙一联合站联网</w:t>
      </w:r>
      <w:r>
        <w:rPr>
          <w:rFonts w:hint="eastAsia" w:ascii="Times New Roman" w:hAnsi="Times New Roman" w:cs="Times New Roman" w:eastAsiaTheme="minorEastAsia"/>
          <w:color w:val="000000" w:themeColor="text1"/>
          <w:w w:val="99"/>
          <w:sz w:val="24"/>
          <w:szCs w:val="24"/>
          <w14:textFill>
            <w14:solidFill>
              <w14:schemeClr w14:val="tx1"/>
            </w14:solidFill>
          </w14:textFill>
        </w:rPr>
        <w:t>，并进行信息化统计，当出现泄漏时，可及时切断泄露源，指挥人员进行处理，对周围环境影响是可接受的。</w:t>
      </w:r>
    </w:p>
    <w:p w14:paraId="5BA6690F">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eastAsiaTheme="minorEastAsia"/>
          <w:bCs/>
          <w:color w:val="000000" w:themeColor="text1"/>
          <w:w w:val="99"/>
          <w:sz w:val="24"/>
          <w14:textFill>
            <w14:solidFill>
              <w14:schemeClr w14:val="tx1"/>
            </w14:solidFill>
          </w14:textFill>
        </w:rPr>
        <w:t>集油管道原油泄漏会对大气环境造成直接影响，事故会造成局部大气污染，但具有发生机率小、持续时间短的特性。由于该区块所处地势平坦，一次性事故形成的局部大气污染在一定的气象条件下会逐步自然净化，对周围大气环境的影响很小。</w:t>
      </w:r>
    </w:p>
    <w:p w14:paraId="4F959488">
      <w:pPr>
        <w:pStyle w:val="129"/>
        <w:spacing w:line="440" w:lineRule="exact"/>
        <w:ind w:firstLine="0" w:firstLineChars="0"/>
        <w:jc w:val="both"/>
        <w:outlineLvl w:val="3"/>
        <w:rPr>
          <w:rFonts w:ascii="Times New Roman" w:hAnsi="Times New Roman" w:eastAsiaTheme="minorEastAsia"/>
          <w:b/>
          <w:color w:val="000000" w:themeColor="text1"/>
          <w:w w:val="99"/>
          <w:sz w:val="24"/>
          <w:szCs w:val="24"/>
          <w:lang w:val="en-US"/>
          <w14:textFill>
            <w14:solidFill>
              <w14:schemeClr w14:val="tx1"/>
            </w14:solidFill>
          </w14:textFill>
        </w:rPr>
      </w:pPr>
      <w:r>
        <w:rPr>
          <w:rFonts w:ascii="Times New Roman" w:hAnsi="Times New Roman" w:eastAsiaTheme="minorEastAsia"/>
          <w:b/>
          <w:color w:val="000000" w:themeColor="text1"/>
          <w:w w:val="99"/>
          <w:sz w:val="24"/>
          <w:szCs w:val="24"/>
          <w:lang w:val="en-US"/>
          <w14:textFill>
            <w14:solidFill>
              <w14:schemeClr w14:val="tx1"/>
            </w14:solidFill>
          </w14:textFill>
        </w:rPr>
        <w:t>5.8.3.2 事故状态下对地</w:t>
      </w:r>
      <w:r>
        <w:rPr>
          <w:rFonts w:hint="eastAsia" w:ascii="Times New Roman" w:hAnsi="Times New Roman" w:eastAsiaTheme="minorEastAsia"/>
          <w:b/>
          <w:color w:val="000000" w:themeColor="text1"/>
          <w:w w:val="99"/>
          <w:sz w:val="24"/>
          <w:szCs w:val="24"/>
          <w:lang w:val="en-US"/>
          <w14:textFill>
            <w14:solidFill>
              <w14:schemeClr w14:val="tx1"/>
            </w14:solidFill>
          </w14:textFill>
        </w:rPr>
        <w:t>表</w:t>
      </w:r>
      <w:r>
        <w:rPr>
          <w:rFonts w:ascii="Times New Roman" w:hAnsi="Times New Roman" w:eastAsiaTheme="minorEastAsia"/>
          <w:b/>
          <w:color w:val="000000" w:themeColor="text1"/>
          <w:w w:val="99"/>
          <w:sz w:val="24"/>
          <w:szCs w:val="24"/>
          <w:lang w:val="en-US"/>
          <w14:textFill>
            <w14:solidFill>
              <w14:schemeClr w14:val="tx1"/>
            </w14:solidFill>
          </w14:textFill>
        </w:rPr>
        <w:t>水环境影响</w:t>
      </w:r>
    </w:p>
    <w:p w14:paraId="10F43381">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eastAsiaTheme="minorEastAsia"/>
          <w:bCs/>
          <w:color w:val="000000" w:themeColor="text1"/>
          <w:w w:val="99"/>
          <w:sz w:val="24"/>
          <w14:textFill>
            <w14:solidFill>
              <w14:schemeClr w14:val="tx1"/>
            </w14:solidFill>
          </w14:textFill>
        </w:rPr>
        <w:t>本工程事故状态下对地表水污染途径主要是油水的事故泄漏。泄漏污油污水在雨季期间可能随地表径流流向下游。集输管道事故泄漏可以通过站内仪表监控或巡检及时发现事故，及时关闭管道阀门或筑堤限制事故影响范围，然后彻底清理周边粘滞原油和被油水污染的泥沙、树枝、杂草等含油废弃物，同时展开对事故管段或设备的抢修。只要溢出事故按相应的环境风险事故预案严格控制并彻底清理溢出的石油类污染物，泄漏事故不会对地表水体造成污染影响。</w:t>
      </w:r>
    </w:p>
    <w:p w14:paraId="4C74606E">
      <w:pPr>
        <w:pStyle w:val="129"/>
        <w:spacing w:line="440" w:lineRule="exact"/>
        <w:ind w:firstLine="0" w:firstLineChars="0"/>
        <w:jc w:val="both"/>
        <w:outlineLvl w:val="3"/>
        <w:rPr>
          <w:rFonts w:ascii="Times New Roman" w:hAnsi="Times New Roman" w:eastAsiaTheme="minorEastAsia"/>
          <w:b/>
          <w:color w:val="000000" w:themeColor="text1"/>
          <w:w w:val="99"/>
          <w:sz w:val="24"/>
          <w:szCs w:val="24"/>
          <w:lang w:val="en-US"/>
          <w14:textFill>
            <w14:solidFill>
              <w14:schemeClr w14:val="tx1"/>
            </w14:solidFill>
          </w14:textFill>
        </w:rPr>
      </w:pPr>
      <w:r>
        <w:rPr>
          <w:rFonts w:ascii="Times New Roman" w:hAnsi="Times New Roman" w:eastAsiaTheme="minorEastAsia"/>
          <w:b/>
          <w:color w:val="000000" w:themeColor="text1"/>
          <w:w w:val="99"/>
          <w:sz w:val="24"/>
          <w:szCs w:val="24"/>
          <w:lang w:val="en-US"/>
          <w14:textFill>
            <w14:solidFill>
              <w14:schemeClr w14:val="tx1"/>
            </w14:solidFill>
          </w14:textFill>
        </w:rPr>
        <w:t>5.8.3.3 事故状态下对地下水环境影响</w:t>
      </w:r>
    </w:p>
    <w:p w14:paraId="27A43D5F">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本工程事故状态下对地下水污染途径主要是</w:t>
      </w:r>
      <w:r>
        <w:rPr>
          <w:rFonts w:hint="eastAsia" w:ascii="Times New Roman" w:hAnsi="Times New Roman" w:cs="Times New Roman" w:eastAsiaTheme="minorEastAsia"/>
          <w:color w:val="000000" w:themeColor="text1"/>
          <w:w w:val="99"/>
          <w:sz w:val="24"/>
          <w:szCs w:val="24"/>
          <w14:textFill>
            <w14:solidFill>
              <w14:schemeClr w14:val="tx1"/>
            </w14:solidFill>
          </w14:textFill>
        </w:rPr>
        <w:t>集油</w:t>
      </w:r>
      <w:r>
        <w:rPr>
          <w:rFonts w:ascii="Times New Roman" w:hAnsi="Times New Roman" w:cs="Times New Roman" w:eastAsiaTheme="minorEastAsia"/>
          <w:color w:val="000000" w:themeColor="text1"/>
          <w:w w:val="99"/>
          <w:sz w:val="24"/>
          <w:szCs w:val="24"/>
          <w14:textFill>
            <w14:solidFill>
              <w14:schemeClr w14:val="tx1"/>
            </w14:solidFill>
          </w14:textFill>
        </w:rPr>
        <w:t>管线。原油、含油污水就可能会渗透到含水层中，造成地下水环境污染。资料研究结果表明：石油类污染物在一般土壤中绝大部分集中在泄漏层以下0~10cm及10~30cm范围，一般下渗深度在80cm以内，一般很难下渗2m以下，存在对潜水含水层造成影响的可能，但影响范围有限，一般在几百米范围。而承压含水层一般都有隔水顶板，与潜水层相互隔离，其透水性很差，因此对承压水层产生影响的可能性很小。</w:t>
      </w:r>
    </w:p>
    <w:p w14:paraId="62D31E15">
      <w:pPr>
        <w:pStyle w:val="129"/>
        <w:spacing w:line="440" w:lineRule="exact"/>
        <w:ind w:firstLine="0" w:firstLineChars="0"/>
        <w:jc w:val="both"/>
        <w:outlineLvl w:val="3"/>
        <w:rPr>
          <w:rFonts w:ascii="Times New Roman" w:hAnsi="Times New Roman" w:eastAsiaTheme="minorEastAsia"/>
          <w:b/>
          <w:color w:val="000000" w:themeColor="text1"/>
          <w:w w:val="99"/>
          <w:sz w:val="24"/>
          <w:szCs w:val="24"/>
          <w:lang w:val="en-US"/>
          <w14:textFill>
            <w14:solidFill>
              <w14:schemeClr w14:val="tx1"/>
            </w14:solidFill>
          </w14:textFill>
        </w:rPr>
      </w:pPr>
      <w:r>
        <w:rPr>
          <w:rFonts w:ascii="Times New Roman" w:hAnsi="Times New Roman" w:eastAsiaTheme="minorEastAsia"/>
          <w:b/>
          <w:color w:val="000000" w:themeColor="text1"/>
          <w:w w:val="99"/>
          <w:sz w:val="24"/>
          <w:szCs w:val="24"/>
          <w:lang w:val="en-US"/>
          <w14:textFill>
            <w14:solidFill>
              <w14:schemeClr w14:val="tx1"/>
            </w14:solidFill>
          </w14:textFill>
        </w:rPr>
        <w:t>5.8.3.4 对土壤环境的影响</w:t>
      </w:r>
    </w:p>
    <w:p w14:paraId="5835EAC9">
      <w:pPr>
        <w:spacing w:before="91" w:line="328" w:lineRule="auto"/>
        <w:ind w:right="83"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原油及含油污水泄漏渗入土壤孔隙，会降低土壤的通透性，抑制土壤中酶活性，使土壤生物减少。一般而言，原油集中于土壤表层0~30cm的范围内，使得根系分布于此深度的植物不能生长。石油类对土壤的污染，可使土地肥力下降，改变土壤的理化性质，影响局部区域土壤正常的结构</w:t>
      </w:r>
      <w:bookmarkStart w:id="520" w:name="_bookmark55"/>
      <w:bookmarkEnd w:id="520"/>
      <w:bookmarkStart w:id="521" w:name="_bookmark57"/>
      <w:bookmarkEnd w:id="521"/>
      <w:r>
        <w:rPr>
          <w:rFonts w:ascii="Times New Roman" w:hAnsi="Times New Roman" w:cs="Times New Roman" w:eastAsiaTheme="minorEastAsia"/>
          <w:color w:val="000000" w:themeColor="text1"/>
          <w:w w:val="99"/>
          <w:sz w:val="24"/>
          <w:szCs w:val="24"/>
          <w14:textFill>
            <w14:solidFill>
              <w14:schemeClr w14:val="tx1"/>
            </w14:solidFill>
          </w14:textFill>
        </w:rPr>
        <w:t>和功能。</w:t>
      </w:r>
    </w:p>
    <w:p w14:paraId="277D1516">
      <w:pPr>
        <w:pStyle w:val="129"/>
        <w:spacing w:line="440" w:lineRule="exact"/>
        <w:ind w:firstLine="0" w:firstLineChars="0"/>
        <w:jc w:val="both"/>
        <w:outlineLvl w:val="3"/>
        <w:rPr>
          <w:rFonts w:ascii="Times New Roman" w:hAnsi="Times New Roman" w:eastAsiaTheme="minorEastAsia"/>
          <w:b/>
          <w:color w:val="000000" w:themeColor="text1"/>
          <w:w w:val="99"/>
          <w:sz w:val="24"/>
          <w:szCs w:val="24"/>
          <w:lang w:val="en-US"/>
          <w14:textFill>
            <w14:solidFill>
              <w14:schemeClr w14:val="tx1"/>
            </w14:solidFill>
          </w14:textFill>
        </w:rPr>
      </w:pPr>
      <w:r>
        <w:rPr>
          <w:rFonts w:ascii="Times New Roman" w:hAnsi="Times New Roman" w:eastAsiaTheme="minorEastAsia"/>
          <w:b/>
          <w:color w:val="000000" w:themeColor="text1"/>
          <w:w w:val="99"/>
          <w:sz w:val="24"/>
          <w:szCs w:val="24"/>
          <w:lang w:val="en-US"/>
          <w14:textFill>
            <w14:solidFill>
              <w14:schemeClr w14:val="tx1"/>
            </w14:solidFill>
          </w14:textFill>
        </w:rPr>
        <w:t>5.8.3.4 对生态环境的影响</w:t>
      </w:r>
    </w:p>
    <w:p w14:paraId="049EAE55">
      <w:pPr>
        <w:spacing w:before="91" w:line="328" w:lineRule="auto"/>
        <w:ind w:right="83"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原油及含油污水泄漏可影响农田的生态环境，减少农作物产量，危害植物生长。其危害最显著的表现为植物，原油黏附于枝叶，阻止植物进行光合作用，可使植物枯萎死亡；在土壤中粘附于植物根系，可阻止植物吸收水分和矿物质而死亡。所以，原油泄漏可引起原生植被生态系统退化，次生植被生态系统的演替，含油污水相对而言危害较小。</w:t>
      </w:r>
    </w:p>
    <w:p w14:paraId="22E0D952">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22" w:name="_Toc117794621"/>
      <w:r>
        <w:rPr>
          <w:rFonts w:ascii="Times New Roman" w:hAnsi="Times New Roman" w:cs="Times New Roman" w:eastAsiaTheme="minorEastAsia"/>
          <w:color w:val="000000" w:themeColor="text1"/>
          <w:w w:val="99"/>
          <w:kern w:val="2"/>
          <w:lang w:val="en-US" w:bidi="ar-SA"/>
          <w14:textFill>
            <w14:solidFill>
              <w14:schemeClr w14:val="tx1"/>
            </w14:solidFill>
          </w14:textFill>
        </w:rPr>
        <w:t>5.8.6 分析结论</w:t>
      </w:r>
      <w:bookmarkEnd w:id="522"/>
    </w:p>
    <w:p w14:paraId="26FDEF30">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通过对本工程产能建设工程的环境风险分析可知，本工程的主要环境风险是泄露、火灾和爆炸，对区域内的水环境、土壤环境和空气环境有潜在危害性。在工程采取一系列风险防范措施、应急措施和建立环境风险防控体系后，火灾爆炸等事故影响可控，可以降低事故的发生率和事故情况下对周围环境的影响。但建设单位应加强员工的环保教育和培训，完善项目的事故应急预案，增加事故应急监测及事故评估等规定内容并定期演习，避免重大污染事故发生。</w:t>
      </w:r>
    </w:p>
    <w:p w14:paraId="76CDDA74">
      <w:pPr>
        <w:pStyle w:val="31"/>
        <w:spacing w:line="440" w:lineRule="exact"/>
        <w:ind w:firstLine="440" w:firstLineChars="200"/>
        <w:jc w:val="both"/>
        <w:rPr>
          <w:rFonts w:ascii="Times New Roman" w:hAnsi="Times New Roman" w:cs="Times New Roman" w:eastAsiaTheme="minorEastAsia"/>
          <w:b/>
          <w:bCs/>
          <w:color w:val="000000" w:themeColor="text1"/>
          <w:spacing w:val="-9"/>
          <w:w w:val="99"/>
          <w:sz w:val="24"/>
          <w:szCs w:val="24"/>
          <w:lang w:val="en-US"/>
          <w14:textFill>
            <w14:solidFill>
              <w14:schemeClr w14:val="tx1"/>
            </w14:solidFill>
          </w14:textFill>
        </w:rPr>
      </w:pPr>
      <w:r>
        <w:rPr>
          <w:rFonts w:ascii="Times New Roman" w:hAnsi="Times New Roman" w:cs="Times New Roman" w:eastAsiaTheme="minorEastAsia"/>
          <w:b/>
          <w:bCs/>
          <w:color w:val="000000" w:themeColor="text1"/>
          <w:spacing w:val="-9"/>
          <w:w w:val="99"/>
          <w:sz w:val="24"/>
          <w:szCs w:val="24"/>
          <w14:textFill>
            <w14:solidFill>
              <w14:schemeClr w14:val="tx1"/>
            </w14:solidFill>
          </w14:textFill>
        </w:rPr>
        <w:t>表</w:t>
      </w:r>
      <w:r>
        <w:rPr>
          <w:rFonts w:ascii="Times New Roman" w:hAnsi="Times New Roman" w:cs="Times New Roman" w:eastAsiaTheme="minorEastAsia"/>
          <w:b/>
          <w:bCs/>
          <w:color w:val="000000" w:themeColor="text1"/>
          <w:spacing w:val="-9"/>
          <w:w w:val="99"/>
          <w:sz w:val="24"/>
          <w:szCs w:val="24"/>
          <w:lang w:val="en-US"/>
          <w14:textFill>
            <w14:solidFill>
              <w14:schemeClr w14:val="tx1"/>
            </w14:solidFill>
          </w14:textFill>
        </w:rPr>
        <w:t>5.8-5      建设项目环境风险简单分析内容表</w:t>
      </w:r>
    </w:p>
    <w:tbl>
      <w:tblPr>
        <w:tblStyle w:val="8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2"/>
        <w:gridCol w:w="1694"/>
        <w:gridCol w:w="2164"/>
        <w:gridCol w:w="1096"/>
        <w:gridCol w:w="1559"/>
        <w:gridCol w:w="1211"/>
      </w:tblGrid>
      <w:tr w14:paraId="5E2DF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Borders>
              <w:tl2br w:val="nil"/>
              <w:tr2bl w:val="nil"/>
            </w:tcBorders>
            <w:vAlign w:val="center"/>
          </w:tcPr>
          <w:p w14:paraId="5242820F">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建设项目名称</w:t>
            </w:r>
          </w:p>
        </w:tc>
        <w:tc>
          <w:tcPr>
            <w:tcW w:w="7724" w:type="dxa"/>
            <w:gridSpan w:val="5"/>
            <w:tcBorders>
              <w:tl2br w:val="nil"/>
              <w:tr2bl w:val="nil"/>
            </w:tcBorders>
            <w:vAlign w:val="center"/>
          </w:tcPr>
          <w:p w14:paraId="5C846545">
            <w:pPr>
              <w:autoSpaceDE/>
              <w:autoSpaceDN/>
              <w:adjustRightInd w:val="0"/>
              <w:snapToGrid w:val="0"/>
              <w:spacing w:line="360" w:lineRule="exact"/>
              <w:jc w:val="center"/>
              <w:rPr>
                <w:rFonts w:hint="eastAsia" w:ascii="Times New Roman" w:hAnsi="Times New Roman" w:cs="Times New Roman" w:eastAsiaTheme="minorEastAsia"/>
                <w:color w:val="000000" w:themeColor="text1"/>
                <w:w w:val="99"/>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eastAsia="zh-CN" w:bidi="ar-SA"/>
                <w14:textFill>
                  <w14:solidFill>
                    <w14:schemeClr w14:val="tx1"/>
                  </w14:solidFill>
                </w14:textFill>
              </w:rPr>
              <w:t>第五采油厂杏南二转油站及站外系统改造工程项目</w:t>
            </w:r>
          </w:p>
        </w:tc>
      </w:tr>
      <w:tr w14:paraId="055DE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Borders>
              <w:tl2br w:val="nil"/>
              <w:tr2bl w:val="nil"/>
            </w:tcBorders>
            <w:vAlign w:val="center"/>
          </w:tcPr>
          <w:p w14:paraId="2370D9BD">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建设地点</w:t>
            </w:r>
          </w:p>
        </w:tc>
        <w:tc>
          <w:tcPr>
            <w:tcW w:w="1694" w:type="dxa"/>
            <w:tcBorders>
              <w:tl2br w:val="nil"/>
              <w:tr2bl w:val="nil"/>
            </w:tcBorders>
            <w:vAlign w:val="center"/>
          </w:tcPr>
          <w:p w14:paraId="3B5DDCB6">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（黑龙江）省</w:t>
            </w:r>
          </w:p>
        </w:tc>
        <w:tc>
          <w:tcPr>
            <w:tcW w:w="2164" w:type="dxa"/>
            <w:tcBorders>
              <w:tl2br w:val="nil"/>
              <w:tr2bl w:val="nil"/>
            </w:tcBorders>
            <w:vAlign w:val="center"/>
          </w:tcPr>
          <w:p w14:paraId="1AE8FCAC">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（大庆）市</w:t>
            </w:r>
          </w:p>
        </w:tc>
        <w:tc>
          <w:tcPr>
            <w:tcW w:w="1096" w:type="dxa"/>
            <w:tcBorders>
              <w:tl2br w:val="nil"/>
              <w:tr2bl w:val="nil"/>
            </w:tcBorders>
            <w:vAlign w:val="center"/>
          </w:tcPr>
          <w:p w14:paraId="7732220E">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（）区</w:t>
            </w:r>
          </w:p>
        </w:tc>
        <w:tc>
          <w:tcPr>
            <w:tcW w:w="1559" w:type="dxa"/>
            <w:tcBorders>
              <w:tl2br w:val="nil"/>
              <w:tr2bl w:val="nil"/>
            </w:tcBorders>
            <w:vAlign w:val="center"/>
          </w:tcPr>
          <w:p w14:paraId="59516F8A">
            <w:pPr>
              <w:autoSpaceDE/>
              <w:autoSpaceDN/>
              <w:adjustRightInd w:val="0"/>
              <w:snapToGrid w:val="0"/>
              <w:spacing w:line="360" w:lineRule="exact"/>
              <w:jc w:val="center"/>
              <w:rPr>
                <w:rFonts w:hint="eastAsia" w:ascii="Times New Roman" w:hAnsi="Times New Roman" w:cs="Times New Roman" w:eastAsiaTheme="minorEastAsia"/>
                <w:color w:val="000000" w:themeColor="text1"/>
                <w:w w:val="99"/>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eastAsia="zh-CN" w:bidi="ar-SA"/>
                <w14:textFill>
                  <w14:solidFill>
                    <w14:schemeClr w14:val="tx1"/>
                  </w14:solidFill>
                </w14:textFill>
              </w:rPr>
              <w:t>红岗区杏树岗镇</w:t>
            </w:r>
          </w:p>
        </w:tc>
        <w:tc>
          <w:tcPr>
            <w:tcW w:w="1211" w:type="dxa"/>
            <w:tcBorders>
              <w:tl2br w:val="nil"/>
              <w:tr2bl w:val="nil"/>
            </w:tcBorders>
            <w:vAlign w:val="center"/>
          </w:tcPr>
          <w:p w14:paraId="2430F619">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）园区</w:t>
            </w:r>
          </w:p>
        </w:tc>
      </w:tr>
      <w:tr w14:paraId="6DC82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Borders>
              <w:tl2br w:val="nil"/>
              <w:tr2bl w:val="nil"/>
            </w:tcBorders>
            <w:vAlign w:val="center"/>
          </w:tcPr>
          <w:p w14:paraId="7E330BCB">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地理坐标</w:t>
            </w:r>
          </w:p>
        </w:tc>
        <w:tc>
          <w:tcPr>
            <w:tcW w:w="1694" w:type="dxa"/>
            <w:tcBorders>
              <w:tl2br w:val="nil"/>
              <w:tr2bl w:val="nil"/>
            </w:tcBorders>
            <w:vAlign w:val="center"/>
          </w:tcPr>
          <w:p w14:paraId="075873DE">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经度</w:t>
            </w:r>
          </w:p>
        </w:tc>
        <w:tc>
          <w:tcPr>
            <w:tcW w:w="2164" w:type="dxa"/>
            <w:tcBorders>
              <w:tl2br w:val="nil"/>
              <w:tr2bl w:val="nil"/>
            </w:tcBorders>
            <w:vAlign w:val="center"/>
          </w:tcPr>
          <w:p w14:paraId="6761CEB5">
            <w:pPr>
              <w:adjustRightInd w:val="0"/>
              <w:snapToGrid w:val="0"/>
              <w:spacing w:line="36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r>
              <w:rPr>
                <w:rFonts w:ascii="Times New Roman" w:hAnsi="Times New Roman" w:cs="Times New Roman" w:eastAsiaTheme="minorEastAsia"/>
                <w:bCs/>
                <w:color w:val="000000" w:themeColor="text1"/>
                <w:w w:val="99"/>
                <w:sz w:val="21"/>
                <w:szCs w:val="24"/>
                <w:lang w:val="en-US" w:bidi="ar-SA"/>
                <w14:textFill>
                  <w14:solidFill>
                    <w14:schemeClr w14:val="tx1"/>
                  </w14:solidFill>
                </w14:textFill>
              </w:rPr>
              <w:t>东经124°23′49.75″~124°26′51.88″</w:t>
            </w:r>
          </w:p>
        </w:tc>
        <w:tc>
          <w:tcPr>
            <w:tcW w:w="1096" w:type="dxa"/>
            <w:tcBorders>
              <w:tl2br w:val="nil"/>
              <w:tr2bl w:val="nil"/>
            </w:tcBorders>
            <w:vAlign w:val="center"/>
          </w:tcPr>
          <w:p w14:paraId="2E43E566">
            <w:pPr>
              <w:adjustRightInd w:val="0"/>
              <w:snapToGrid w:val="0"/>
              <w:spacing w:line="36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r>
              <w:rPr>
                <w:rFonts w:ascii="Times New Roman" w:hAnsi="Times New Roman" w:cs="Times New Roman" w:eastAsiaTheme="minorEastAsia"/>
                <w:color w:val="000000" w:themeColor="text1"/>
                <w:w w:val="99"/>
                <w:sz w:val="21"/>
                <w:szCs w:val="21"/>
                <w:lang w:bidi="ar-SA"/>
                <w14:textFill>
                  <w14:solidFill>
                    <w14:schemeClr w14:val="tx1"/>
                  </w14:solidFill>
                </w14:textFill>
              </w:rPr>
              <w:t>纬度</w:t>
            </w:r>
          </w:p>
        </w:tc>
        <w:tc>
          <w:tcPr>
            <w:tcW w:w="2770" w:type="dxa"/>
            <w:gridSpan w:val="2"/>
            <w:tcBorders>
              <w:tl2br w:val="nil"/>
              <w:tr2bl w:val="nil"/>
            </w:tcBorders>
            <w:vAlign w:val="center"/>
          </w:tcPr>
          <w:p w14:paraId="7DC44641">
            <w:pPr>
              <w:adjustRightInd w:val="0"/>
              <w:snapToGrid w:val="0"/>
              <w:spacing w:line="360" w:lineRule="exact"/>
              <w:jc w:val="center"/>
              <w:rPr>
                <w:rFonts w:ascii="Times New Roman" w:hAnsi="Times New Roman" w:cs="Times New Roman" w:eastAsiaTheme="minorEastAsia"/>
                <w:color w:val="000000" w:themeColor="text1"/>
                <w:w w:val="99"/>
                <w:sz w:val="21"/>
                <w:szCs w:val="21"/>
                <w:lang w:bidi="ar-SA"/>
                <w14:textFill>
                  <w14:solidFill>
                    <w14:schemeClr w14:val="tx1"/>
                  </w14:solidFill>
                </w14:textFill>
              </w:rPr>
            </w:pPr>
            <w:r>
              <w:rPr>
                <w:rFonts w:ascii="Times New Roman" w:hAnsi="Times New Roman" w:cs="Times New Roman" w:eastAsiaTheme="minorEastAsia"/>
                <w:bCs/>
                <w:color w:val="000000" w:themeColor="text1"/>
                <w:w w:val="99"/>
                <w:sz w:val="21"/>
                <w:szCs w:val="24"/>
                <w:lang w:val="en-US" w:bidi="ar-SA"/>
                <w14:textFill>
                  <w14:solidFill>
                    <w14:schemeClr w14:val="tx1"/>
                  </w14:solidFill>
                </w14:textFill>
              </w:rPr>
              <w:t>北纬46°17′2.68″~46°21′46.95″</w:t>
            </w:r>
          </w:p>
        </w:tc>
      </w:tr>
      <w:tr w14:paraId="7C27B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Borders>
              <w:tl2br w:val="nil"/>
              <w:tr2bl w:val="nil"/>
            </w:tcBorders>
            <w:vAlign w:val="center"/>
          </w:tcPr>
          <w:p w14:paraId="31B63493">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主要危险物质分布</w:t>
            </w:r>
          </w:p>
        </w:tc>
        <w:tc>
          <w:tcPr>
            <w:tcW w:w="7724" w:type="dxa"/>
            <w:gridSpan w:val="5"/>
            <w:tcBorders>
              <w:tl2br w:val="nil"/>
              <w:tr2bl w:val="nil"/>
            </w:tcBorders>
            <w:vAlign w:val="center"/>
          </w:tcPr>
          <w:p w14:paraId="360BC23F">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原油、天然气；</w:t>
            </w:r>
          </w:p>
        </w:tc>
      </w:tr>
      <w:tr w14:paraId="778B0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Borders>
              <w:tl2br w:val="nil"/>
              <w:tr2bl w:val="nil"/>
            </w:tcBorders>
            <w:vAlign w:val="center"/>
          </w:tcPr>
          <w:p w14:paraId="19F2A4EE">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环境影响途径及危害后果</w:t>
            </w:r>
          </w:p>
        </w:tc>
        <w:tc>
          <w:tcPr>
            <w:tcW w:w="7724" w:type="dxa"/>
            <w:gridSpan w:val="5"/>
            <w:tcBorders>
              <w:tl2br w:val="nil"/>
              <w:tr2bl w:val="nil"/>
            </w:tcBorders>
            <w:vAlign w:val="center"/>
          </w:tcPr>
          <w:p w14:paraId="0CADFDC7">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火灾、爆炸影响空气环境，但不会对最近村屯造成危害影响。</w:t>
            </w:r>
          </w:p>
          <w:p w14:paraId="09ED816E">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更换管线和集油管道泄漏影响地下水环境，但影响范围有限，及时回收后影响程度低，周围环境敏感目标产生污染影响的可能性小，环境影响可接受</w:t>
            </w:r>
          </w:p>
        </w:tc>
      </w:tr>
      <w:tr w14:paraId="026E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Borders>
              <w:tl2br w:val="nil"/>
              <w:tr2bl w:val="nil"/>
            </w:tcBorders>
            <w:vAlign w:val="center"/>
          </w:tcPr>
          <w:p w14:paraId="2C7FF554">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风险防范措施要求</w:t>
            </w:r>
          </w:p>
        </w:tc>
        <w:tc>
          <w:tcPr>
            <w:tcW w:w="7724" w:type="dxa"/>
            <w:gridSpan w:val="5"/>
            <w:tcBorders>
              <w:tl2br w:val="nil"/>
              <w:tr2bl w:val="nil"/>
            </w:tcBorders>
            <w:vAlign w:val="center"/>
          </w:tcPr>
          <w:p w14:paraId="43F35016">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防火、防爆，油泥不落地措施，管理措施。</w:t>
            </w:r>
          </w:p>
          <w:p w14:paraId="68543B26">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管道密闭输送、防腐、试压，运行期制定操作规程、巡线、检测、应急等管理措施</w:t>
            </w:r>
          </w:p>
        </w:tc>
      </w:tr>
      <w:tr w14:paraId="0E6F3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Borders>
              <w:tl2br w:val="nil"/>
              <w:tr2bl w:val="nil"/>
            </w:tcBorders>
            <w:vAlign w:val="center"/>
          </w:tcPr>
          <w:p w14:paraId="54237059">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填表说明</w:t>
            </w:r>
          </w:p>
        </w:tc>
        <w:tc>
          <w:tcPr>
            <w:tcW w:w="7724" w:type="dxa"/>
            <w:gridSpan w:val="5"/>
            <w:tcBorders>
              <w:tl2br w:val="nil"/>
              <w:tr2bl w:val="nil"/>
            </w:tcBorders>
            <w:vAlign w:val="center"/>
          </w:tcPr>
          <w:p w14:paraId="6E99EF28">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根据《建设项目环境风险评价技术导则》（HJ169-2018），建设项目为简单分析。</w:t>
            </w:r>
          </w:p>
          <w:p w14:paraId="2278C6CC">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本工程的主要环境风险是油气水泄漏和火灾爆炸，对区域内的大气环境、地下水环境和土壤植被等危害性不大。在工程采取一系列风险防范措施和应急措施后，可以控制和降低工程发生事故情况下对周围环境的影响。但建设单位应加强员工的环保教育和培训，避免污染事故的发生</w:t>
            </w:r>
          </w:p>
        </w:tc>
      </w:tr>
    </w:tbl>
    <w:p w14:paraId="62BCF44F">
      <w:pPr>
        <w:rPr>
          <w:rFonts w:ascii="Times New Roman" w:hAnsi="Times New Roman" w:cs="Times New Roman" w:eastAsiaTheme="minorEastAsia"/>
          <w:color w:val="000000" w:themeColor="text1"/>
          <w:w w:val="99"/>
          <w14:textFill>
            <w14:solidFill>
              <w14:schemeClr w14:val="tx1"/>
            </w14:solidFill>
          </w14:textFill>
        </w:rPr>
      </w:pPr>
    </w:p>
    <w:p w14:paraId="05F55F09">
      <w:pPr>
        <w:spacing w:line="440" w:lineRule="exact"/>
        <w:ind w:firstLine="474" w:firstLineChars="200"/>
        <w:jc w:val="both"/>
        <w:rPr>
          <w:rFonts w:ascii="Times New Roman" w:hAnsi="Times New Roman" w:cs="Times New Roman" w:eastAsiaTheme="minorEastAsia"/>
          <w:color w:val="000000" w:themeColor="text1"/>
          <w:w w:val="99"/>
          <w:sz w:val="21"/>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 xml:space="preserve">                      </w:t>
      </w:r>
    </w:p>
    <w:p w14:paraId="60A7CEF4">
      <w:pPr>
        <w:pStyle w:val="3"/>
        <w:autoSpaceDE/>
        <w:autoSpaceDN/>
        <w:spacing w:before="180" w:after="180" w:line="440" w:lineRule="exact"/>
        <w:ind w:left="0" w:firstLine="0"/>
        <w:rPr>
          <w:rFonts w:ascii="Times New Roman" w:hAnsi="Times New Roman" w:cs="Times New Roman" w:eastAsiaTheme="minorEastAsia"/>
          <w:b/>
          <w:snapToGrid w:val="0"/>
          <w:color w:val="000000" w:themeColor="text1"/>
          <w:w w:val="99"/>
          <w:kern w:val="2"/>
          <w:sz w:val="30"/>
          <w:szCs w:val="30"/>
          <w:lang w:val="en-US" w:bidi="ar-SA"/>
          <w14:textFill>
            <w14:solidFill>
              <w14:schemeClr w14:val="tx1"/>
            </w14:solidFill>
          </w14:textFill>
        </w:rPr>
        <w:sectPr>
          <w:footerReference r:id="rId8" w:type="default"/>
          <w:type w:val="nextColumn"/>
          <w:pgSz w:w="11906" w:h="16838"/>
          <w:pgMar w:top="1418" w:right="1418" w:bottom="1418" w:left="1418" w:header="0" w:footer="1201" w:gutter="0"/>
          <w:cols w:space="720" w:num="1"/>
          <w:docGrid w:linePitch="299" w:charSpace="0"/>
        </w:sectPr>
      </w:pPr>
    </w:p>
    <w:p w14:paraId="1969DF20">
      <w:pPr>
        <w:pStyle w:val="3"/>
        <w:autoSpaceDE/>
        <w:autoSpaceDN/>
        <w:spacing w:before="180" w:after="180" w:line="440" w:lineRule="exact"/>
        <w:ind w:left="0" w:firstLine="0"/>
        <w:rPr>
          <w:rFonts w:ascii="Times New Roman" w:hAnsi="Times New Roman" w:cs="Times New Roman" w:eastAsiaTheme="minorEastAsia"/>
          <w:b/>
          <w:snapToGrid w:val="0"/>
          <w:color w:val="000000" w:themeColor="text1"/>
          <w:w w:val="99"/>
          <w:kern w:val="2"/>
          <w:sz w:val="30"/>
          <w:szCs w:val="30"/>
          <w:lang w:val="en-US" w:bidi="ar-SA"/>
          <w14:textFill>
            <w14:solidFill>
              <w14:schemeClr w14:val="tx1"/>
            </w14:solidFill>
          </w14:textFill>
        </w:rPr>
      </w:pPr>
      <w:bookmarkStart w:id="523" w:name="_Toc117794622"/>
      <w:r>
        <w:rPr>
          <w:rFonts w:ascii="Times New Roman" w:hAnsi="Times New Roman" w:cs="Times New Roman" w:eastAsiaTheme="minorEastAsia"/>
          <w:b/>
          <w:snapToGrid w:val="0"/>
          <w:color w:val="000000" w:themeColor="text1"/>
          <w:w w:val="99"/>
          <w:kern w:val="2"/>
          <w:sz w:val="30"/>
          <w:szCs w:val="30"/>
          <w:lang w:val="en-US" w:bidi="ar-SA"/>
          <w14:textFill>
            <w14:solidFill>
              <w14:schemeClr w14:val="tx1"/>
            </w14:solidFill>
          </w14:textFill>
        </w:rPr>
        <w:t>6 环境保护措施及可行性论证</w:t>
      </w:r>
      <w:bookmarkEnd w:id="523"/>
    </w:p>
    <w:p w14:paraId="0DA17C09">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524" w:name="_Toc117794623"/>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6.1 大气污染防治措施</w:t>
      </w:r>
      <w:bookmarkEnd w:id="524"/>
    </w:p>
    <w:p w14:paraId="10C3BC6D">
      <w:pPr>
        <w:autoSpaceDE/>
        <w:autoSpaceDN/>
        <w:spacing w:before="60" w:after="60" w:line="440" w:lineRule="exact"/>
        <w:jc w:val="both"/>
        <w:outlineLvl w:val="2"/>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pPr>
      <w:r>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t>6.1.1</w:t>
      </w:r>
      <w:r>
        <w:rPr>
          <w:rFonts w:hint="eastAsia" w:ascii="Times New Roman" w:hAnsi="Times New Roman" w:cs="Times New Roman" w:eastAsiaTheme="minorEastAsia"/>
          <w:b/>
          <w:bCs/>
          <w:color w:val="000000" w:themeColor="text1"/>
          <w:w w:val="99"/>
          <w:kern w:val="2"/>
          <w:sz w:val="24"/>
          <w:szCs w:val="24"/>
          <w:lang w:val="en-US" w:bidi="ar-SA"/>
          <w14:textFill>
            <w14:solidFill>
              <w14:schemeClr w14:val="tx1"/>
            </w14:solidFill>
          </w14:textFill>
        </w:rPr>
        <w:t>施工期</w:t>
      </w:r>
    </w:p>
    <w:p w14:paraId="07201B99">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本工程大气污染措施主要为减少施工期管线施工时产生的扬尘，管线工程运行期无大气污染物排放。</w:t>
      </w:r>
    </w:p>
    <w:p w14:paraId="75CF6424">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（1）风速四级以上易产生扬尘时，应暂停开挖；</w:t>
      </w:r>
    </w:p>
    <w:p w14:paraId="3041B5AF">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（2）管道施工完毕后，及时覆土回填；</w:t>
      </w:r>
    </w:p>
    <w:p w14:paraId="63E3D71C">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bookmarkStart w:id="525" w:name="_bookmark54"/>
      <w:bookmarkEnd w:id="525"/>
      <w:bookmarkStart w:id="526" w:name="_bookmark56"/>
      <w:bookmarkEnd w:id="526"/>
      <w:r>
        <w:rPr>
          <w:rFonts w:ascii="Times New Roman" w:hAnsi="Times New Roman" w:cs="Times New Roman" w:eastAsiaTheme="minorEastAsia"/>
          <w:color w:val="000000" w:themeColor="text1"/>
          <w:w w:val="99"/>
          <w:sz w:val="24"/>
          <w:szCs w:val="24"/>
          <w14:textFill>
            <w14:solidFill>
              <w14:schemeClr w14:val="tx1"/>
            </w14:solidFill>
          </w14:textFill>
        </w:rPr>
        <w:t>（3）施工场地干燥时适当洒水抑尘，建材堆放应定位定点，并采取防尘、抑尘措施，如设置挡风板、上覆遮盖材料等，防止对周围村屯环境空气产生影响；</w:t>
      </w:r>
    </w:p>
    <w:p w14:paraId="36C03386">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（4）施工管材运输过程中，选择对周围环境影响较小的运输路线，并进行材料遮盖，防止材料的洒落、风刮起的粉尘；</w:t>
      </w:r>
    </w:p>
    <w:p w14:paraId="06857A2B">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（5）在敏感点处采取减慢车速，控制运输车辆的扬尘污染；</w:t>
      </w:r>
    </w:p>
    <w:p w14:paraId="2ACFAA89">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hint="eastAsia" w:ascii="Times New Roman" w:hAnsi="Times New Roman" w:cs="Times New Roman" w:eastAsiaTheme="minorEastAsia"/>
          <w:color w:val="000000" w:themeColor="text1"/>
          <w:w w:val="99"/>
          <w:sz w:val="24"/>
          <w:szCs w:val="24"/>
          <w14:textFill>
            <w14:solidFill>
              <w14:schemeClr w14:val="tx1"/>
            </w14:solidFill>
          </w14:textFill>
        </w:rPr>
        <w:t>（6）本项目拉油点</w:t>
      </w:r>
      <w:r>
        <w:rPr>
          <w:rFonts w:ascii="Times New Roman" w:hAnsi="Times New Roman" w:cs="Times New Roman" w:eastAsiaTheme="minorEastAsia"/>
          <w:color w:val="000000" w:themeColor="text1"/>
          <w:w w:val="99"/>
          <w:sz w:val="24"/>
          <w:szCs w:val="24"/>
          <w14:textFill>
            <w14:solidFill>
              <w14:schemeClr w14:val="tx1"/>
            </w14:solidFill>
          </w14:textFill>
        </w:rPr>
        <w:t>九合一装置清淤和拆除过程中会有</w:t>
      </w:r>
      <w:r>
        <w:rPr>
          <w:rFonts w:hint="eastAsia" w:ascii="Times New Roman" w:hAnsi="Times New Roman" w:cs="Times New Roman" w:eastAsiaTheme="minorEastAsia"/>
          <w:color w:val="000000" w:themeColor="text1"/>
          <w:w w:val="99"/>
          <w:sz w:val="24"/>
          <w:szCs w:val="24"/>
          <w14:textFill>
            <w14:solidFill>
              <w14:schemeClr w14:val="tx1"/>
            </w14:solidFill>
          </w14:textFill>
        </w:rPr>
        <w:t>残留</w:t>
      </w:r>
      <w:r>
        <w:rPr>
          <w:rFonts w:ascii="Times New Roman" w:hAnsi="Times New Roman" w:cs="Times New Roman" w:eastAsiaTheme="minorEastAsia"/>
          <w:color w:val="000000" w:themeColor="text1"/>
          <w:w w:val="99"/>
          <w:sz w:val="24"/>
          <w:szCs w:val="24"/>
          <w14:textFill>
            <w14:solidFill>
              <w14:schemeClr w14:val="tx1"/>
            </w14:solidFill>
          </w14:textFill>
        </w:rPr>
        <w:t>的无组织非甲烷总烃挥发，九合一装置计划拆除前，生产小队提前</w:t>
      </w:r>
      <w:r>
        <w:rPr>
          <w:rFonts w:hint="eastAsia" w:ascii="Times New Roman" w:hAnsi="Times New Roman" w:cs="Times New Roman" w:eastAsiaTheme="minorEastAsia"/>
          <w:color w:val="000000" w:themeColor="text1"/>
          <w:w w:val="99"/>
          <w:sz w:val="24"/>
          <w:szCs w:val="24"/>
          <w14:textFill>
            <w14:solidFill>
              <w14:schemeClr w14:val="tx1"/>
            </w14:solidFill>
          </w14:textFill>
        </w:rPr>
        <w:t>停</w:t>
      </w:r>
      <w:r>
        <w:rPr>
          <w:rFonts w:ascii="Times New Roman" w:hAnsi="Times New Roman" w:cs="Times New Roman" w:eastAsiaTheme="minorEastAsia"/>
          <w:color w:val="000000" w:themeColor="text1"/>
          <w:w w:val="99"/>
          <w:sz w:val="24"/>
          <w:szCs w:val="24"/>
          <w14:textFill>
            <w14:solidFill>
              <w14:schemeClr w14:val="tx1"/>
            </w14:solidFill>
          </w14:textFill>
        </w:rPr>
        <w:t>井停产，转移产液，装置内余气已基本自耗，减小</w:t>
      </w:r>
      <w:r>
        <w:rPr>
          <w:rFonts w:hint="eastAsia" w:ascii="Times New Roman" w:hAnsi="Times New Roman" w:cs="Times New Roman" w:eastAsiaTheme="minorEastAsia"/>
          <w:color w:val="000000" w:themeColor="text1"/>
          <w:w w:val="99"/>
          <w:sz w:val="24"/>
          <w:szCs w:val="24"/>
          <w14:textFill>
            <w14:solidFill>
              <w14:schemeClr w14:val="tx1"/>
            </w14:solidFill>
          </w14:textFill>
        </w:rPr>
        <w:t>拆除环节非甲烷总烃无组织排放，</w:t>
      </w:r>
      <w:r>
        <w:rPr>
          <w:rFonts w:ascii="Times New Roman" w:hAnsi="Times New Roman" w:cs="Times New Roman" w:eastAsiaTheme="minorEastAsia"/>
          <w:color w:val="000000" w:themeColor="text1"/>
          <w:w w:val="99"/>
          <w:sz w:val="24"/>
          <w:szCs w:val="24"/>
          <w14:textFill>
            <w14:solidFill>
              <w14:schemeClr w14:val="tx1"/>
            </w14:solidFill>
          </w14:textFill>
        </w:rPr>
        <w:t>防止对大气环境造成污染</w:t>
      </w:r>
      <w:r>
        <w:rPr>
          <w:rFonts w:hint="eastAsia" w:ascii="Times New Roman" w:hAnsi="Times New Roman" w:cs="Times New Roman" w:eastAsiaTheme="minorEastAsia"/>
          <w:color w:val="000000" w:themeColor="text1"/>
          <w:w w:val="99"/>
          <w:sz w:val="24"/>
          <w:szCs w:val="24"/>
          <w14:textFill>
            <w14:solidFill>
              <w14:schemeClr w14:val="tx1"/>
            </w14:solidFill>
          </w14:textFill>
        </w:rPr>
        <w:t>；</w:t>
      </w:r>
    </w:p>
    <w:p w14:paraId="784492F7">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hint="eastAsia" w:ascii="Times New Roman" w:hAnsi="Times New Roman" w:cs="Times New Roman" w:eastAsiaTheme="minorEastAsia"/>
          <w:color w:val="000000" w:themeColor="text1"/>
          <w:w w:val="99"/>
          <w:sz w:val="24"/>
          <w:szCs w:val="24"/>
          <w14:textFill>
            <w14:solidFill>
              <w14:schemeClr w14:val="tx1"/>
            </w14:solidFill>
          </w14:textFill>
        </w:rPr>
        <w:t>（7）</w:t>
      </w:r>
      <w:r>
        <w:rPr>
          <w:rFonts w:ascii="Times New Roman" w:hAnsi="Times New Roman" w:cs="Times New Roman" w:eastAsiaTheme="minorEastAsia"/>
          <w:color w:val="000000" w:themeColor="text1"/>
          <w:w w:val="99"/>
          <w:sz w:val="24"/>
          <w:szCs w:val="24"/>
          <w14:textFill>
            <w14:solidFill>
              <w14:schemeClr w14:val="tx1"/>
            </w14:solidFill>
          </w14:textFill>
        </w:rPr>
        <w:t>项目管道</w:t>
      </w:r>
      <w:r>
        <w:rPr>
          <w:rFonts w:hint="eastAsia" w:ascii="Times New Roman" w:hAnsi="Times New Roman" w:cs="Times New Roman" w:eastAsiaTheme="minorEastAsia"/>
          <w:color w:val="000000" w:themeColor="text1"/>
          <w:w w:val="99"/>
          <w:sz w:val="24"/>
          <w:szCs w:val="24"/>
          <w14:textFill>
            <w14:solidFill>
              <w14:schemeClr w14:val="tx1"/>
            </w14:solidFill>
          </w14:textFill>
        </w:rPr>
        <w:t>接口</w:t>
      </w:r>
      <w:r>
        <w:rPr>
          <w:rFonts w:ascii="Times New Roman" w:hAnsi="Times New Roman" w:cs="Times New Roman" w:eastAsiaTheme="minorEastAsia"/>
          <w:color w:val="000000" w:themeColor="text1"/>
          <w:w w:val="99"/>
          <w:sz w:val="24"/>
          <w:szCs w:val="24"/>
          <w14:textFill>
            <w14:solidFill>
              <w14:schemeClr w14:val="tx1"/>
            </w14:solidFill>
          </w14:textFill>
        </w:rPr>
        <w:t>焊接过程中产生少量焊接烟尘量较小，且项目位于室外，空气扩散条件较好，对大气环境影响较小</w:t>
      </w:r>
      <w:r>
        <w:rPr>
          <w:rFonts w:hint="eastAsia" w:ascii="Times New Roman" w:hAnsi="Times New Roman" w:cs="Times New Roman" w:eastAsiaTheme="minorEastAsia"/>
          <w:color w:val="000000" w:themeColor="text1"/>
          <w:w w:val="99"/>
          <w:sz w:val="24"/>
          <w:szCs w:val="24"/>
          <w14:textFill>
            <w14:solidFill>
              <w14:schemeClr w14:val="tx1"/>
            </w14:solidFill>
          </w14:textFill>
        </w:rPr>
        <w:t>。</w:t>
      </w:r>
    </w:p>
    <w:p w14:paraId="49AC78F8">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通过采取上述措施，能够确保施工场界颗粒物浓度满足《大气污染物综合排放标准》(GB16297-1996)中表2无组织排放监控浓度限值1.0mg/m</w:t>
      </w:r>
      <w:r>
        <w:rPr>
          <w:rFonts w:ascii="Times New Roman" w:hAnsi="Times New Roman" w:cs="Times New Roman" w:eastAsiaTheme="minorEastAsia"/>
          <w:color w:val="000000" w:themeColor="text1"/>
          <w:w w:val="99"/>
          <w:sz w:val="24"/>
          <w:szCs w:val="24"/>
          <w:vertAlign w:val="superscript"/>
          <w14:textFill>
            <w14:solidFill>
              <w14:schemeClr w14:val="tx1"/>
            </w14:solidFill>
          </w14:textFill>
        </w:rPr>
        <w:t>3</w:t>
      </w:r>
      <w:r>
        <w:rPr>
          <w:rFonts w:ascii="Times New Roman" w:hAnsi="Times New Roman" w:cs="Times New Roman" w:eastAsiaTheme="minorEastAsia"/>
          <w:color w:val="000000" w:themeColor="text1"/>
          <w:w w:val="99"/>
          <w:sz w:val="24"/>
          <w:szCs w:val="24"/>
          <w14:textFill>
            <w14:solidFill>
              <w14:schemeClr w14:val="tx1"/>
            </w14:solidFill>
          </w14:textFill>
        </w:rPr>
        <w:t>要求，不会对大气环境产生较大影响，大气污染防治措施可行。</w:t>
      </w:r>
    </w:p>
    <w:p w14:paraId="39AA1A72">
      <w:pPr>
        <w:autoSpaceDE/>
        <w:autoSpaceDN/>
        <w:spacing w:before="60" w:after="60" w:line="440" w:lineRule="exact"/>
        <w:jc w:val="both"/>
        <w:outlineLvl w:val="2"/>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pPr>
      <w:bookmarkStart w:id="527" w:name="_Toc117794624"/>
      <w:r>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t>6.1.2</w:t>
      </w:r>
      <w:r>
        <w:rPr>
          <w:rFonts w:hint="eastAsia" w:ascii="Times New Roman" w:hAnsi="Times New Roman" w:cs="Times New Roman" w:eastAsiaTheme="minorEastAsia"/>
          <w:b/>
          <w:bCs/>
          <w:color w:val="000000" w:themeColor="text1"/>
          <w:w w:val="99"/>
          <w:kern w:val="2"/>
          <w:sz w:val="24"/>
          <w:szCs w:val="24"/>
          <w:lang w:val="en-US" w:bidi="ar-SA"/>
          <w14:textFill>
            <w14:solidFill>
              <w14:schemeClr w14:val="tx1"/>
            </w14:solidFill>
          </w14:textFill>
        </w:rPr>
        <w:t>运营期</w:t>
      </w:r>
    </w:p>
    <w:p w14:paraId="623F22AD">
      <w:pPr>
        <w:autoSpaceDE/>
        <w:autoSpaceDN/>
        <w:spacing w:line="440" w:lineRule="exact"/>
        <w:ind w:firstLine="474" w:firstLineChars="200"/>
        <w:jc w:val="both"/>
        <w:rPr>
          <w:rFonts w:ascii="Times New Roman" w:hAnsi="Times New Roman" w:cs="Times New Roman"/>
          <w:color w:val="000000" w:themeColor="text1"/>
          <w:w w:val="99"/>
          <w:kern w:val="2"/>
          <w:sz w:val="24"/>
          <w:szCs w:val="24"/>
          <w:lang w:val="en-US" w:bidi="ar-SA"/>
          <w14:textFill>
            <w14:solidFill>
              <w14:schemeClr w14:val="tx1"/>
            </w14:solidFill>
          </w14:textFill>
        </w:rPr>
      </w:pPr>
      <w:r>
        <w:rPr>
          <w:rFonts w:ascii="Times New Roman" w:hAnsi="Times New Roman" w:cs="Times New Roman"/>
          <w:color w:val="000000" w:themeColor="text1"/>
          <w:w w:val="99"/>
          <w:kern w:val="2"/>
          <w:sz w:val="24"/>
          <w:szCs w:val="24"/>
          <w:lang w:val="en-US" w:bidi="ar-SA"/>
          <w14:textFill>
            <w14:solidFill>
              <w14:schemeClr w14:val="tx1"/>
            </w14:solidFill>
          </w14:textFill>
        </w:rPr>
        <w:t>本工程运行期的大气污染源主要来自混输阀组间阀门、泵等密封点无组织挥发的烃类气体，针对无组织挥发的烃类气体采取以下措施。</w:t>
      </w:r>
    </w:p>
    <w:p w14:paraId="5766B072">
      <w:pPr>
        <w:autoSpaceDE/>
        <w:autoSpaceDN/>
        <w:spacing w:line="440" w:lineRule="exact"/>
        <w:ind w:firstLine="474" w:firstLineChars="200"/>
        <w:jc w:val="both"/>
        <w:rPr>
          <w:rFonts w:ascii="Times New Roman" w:hAnsi="Times New Roman" w:cs="Times New Roman"/>
          <w:color w:val="000000" w:themeColor="text1"/>
          <w:w w:val="99"/>
          <w:kern w:val="2"/>
          <w:sz w:val="24"/>
          <w:szCs w:val="24"/>
          <w:lang w:val="en-US" w:bidi="ar-SA"/>
          <w14:textFill>
            <w14:solidFill>
              <w14:schemeClr w14:val="tx1"/>
            </w14:solidFill>
          </w14:textFill>
        </w:rPr>
      </w:pPr>
      <w:r>
        <w:rPr>
          <w:rFonts w:hint="eastAsia"/>
          <w:color w:val="000000" w:themeColor="text1"/>
          <w:w w:val="99"/>
          <w:kern w:val="2"/>
          <w:sz w:val="24"/>
          <w:szCs w:val="24"/>
          <w:lang w:val="en-US" w:bidi="ar-SA"/>
          <w14:textFill>
            <w14:solidFill>
              <w14:schemeClr w14:val="tx1"/>
            </w14:solidFill>
          </w14:textFill>
        </w:rPr>
        <w:t>（1）</w:t>
      </w:r>
      <w:r>
        <w:rPr>
          <w:rFonts w:ascii="Times New Roman" w:hAnsi="Times New Roman" w:cs="Times New Roman"/>
          <w:color w:val="000000" w:themeColor="text1"/>
          <w:w w:val="99"/>
          <w:kern w:val="2"/>
          <w:sz w:val="24"/>
          <w:szCs w:val="24"/>
          <w:lang w:val="en-US" w:bidi="ar-SA"/>
          <w14:textFill>
            <w14:solidFill>
              <w14:schemeClr w14:val="tx1"/>
            </w14:solidFill>
          </w14:textFill>
        </w:rPr>
        <w:t>采用合理工艺，选用优质材料，管道及设备在设计时充分考虑抗震，保证正常生产无泄露</w:t>
      </w:r>
      <w:r>
        <w:rPr>
          <w:rFonts w:hint="eastAsia" w:ascii="Times New Roman" w:hAnsi="Times New Roman" w:cs="Times New Roman"/>
          <w:color w:val="000000" w:themeColor="text1"/>
          <w:w w:val="99"/>
          <w:kern w:val="2"/>
          <w:sz w:val="24"/>
          <w:szCs w:val="24"/>
          <w:lang w:val="en-US" w:bidi="ar-SA"/>
          <w14:textFill>
            <w14:solidFill>
              <w14:schemeClr w14:val="tx1"/>
            </w14:solidFill>
          </w14:textFill>
        </w:rPr>
        <w:t>。</w:t>
      </w:r>
    </w:p>
    <w:p w14:paraId="198BE014">
      <w:pPr>
        <w:autoSpaceDE/>
        <w:autoSpaceDN/>
        <w:spacing w:line="440" w:lineRule="exact"/>
        <w:ind w:firstLine="474" w:firstLineChars="200"/>
        <w:jc w:val="both"/>
        <w:rPr>
          <w:rFonts w:ascii="Times New Roman" w:hAnsi="Times New Roman" w:cs="Times New Roman"/>
          <w:color w:val="000000" w:themeColor="text1"/>
          <w:w w:val="99"/>
          <w:kern w:val="2"/>
          <w:sz w:val="24"/>
          <w:szCs w:val="24"/>
          <w:lang w:val="en-US" w:bidi="ar-SA"/>
          <w14:textFill>
            <w14:solidFill>
              <w14:schemeClr w14:val="tx1"/>
            </w14:solidFill>
          </w14:textFill>
        </w:rPr>
      </w:pPr>
      <w:r>
        <w:rPr>
          <w:rFonts w:hint="eastAsia"/>
          <w:color w:val="000000" w:themeColor="text1"/>
          <w:w w:val="99"/>
          <w:kern w:val="2"/>
          <w:sz w:val="24"/>
          <w:szCs w:val="24"/>
          <w:lang w:val="en-US" w:bidi="ar-SA"/>
          <w14:textFill>
            <w14:solidFill>
              <w14:schemeClr w14:val="tx1"/>
            </w14:solidFill>
          </w14:textFill>
        </w:rPr>
        <w:t>（2）</w:t>
      </w:r>
      <w:r>
        <w:rPr>
          <w:rFonts w:ascii="Times New Roman" w:hAnsi="Times New Roman" w:cs="Times New Roman"/>
          <w:color w:val="000000" w:themeColor="text1"/>
          <w:w w:val="99"/>
          <w:kern w:val="2"/>
          <w:sz w:val="24"/>
          <w:szCs w:val="24"/>
          <w:lang w:val="en-US"/>
          <w14:textFill>
            <w14:solidFill>
              <w14:schemeClr w14:val="tx1"/>
            </w14:solidFill>
          </w14:textFill>
        </w:rPr>
        <w:t>阀门、泵等</w:t>
      </w:r>
      <w:r>
        <w:rPr>
          <w:rFonts w:ascii="Times New Roman" w:hAnsi="Times New Roman" w:cs="Times New Roman"/>
          <w:color w:val="000000" w:themeColor="text1"/>
          <w:w w:val="99"/>
          <w:kern w:val="2"/>
          <w:sz w:val="24"/>
          <w:szCs w:val="24"/>
          <w:lang w:val="en-US" w:bidi="ar-SA"/>
          <w14:textFill>
            <w14:solidFill>
              <w14:schemeClr w14:val="tx1"/>
            </w14:solidFill>
          </w14:textFill>
        </w:rPr>
        <w:t>安装密封垫，集输管线采用密闭管道，最大限度降低烃类气体的挥发</w:t>
      </w:r>
      <w:r>
        <w:rPr>
          <w:rFonts w:hint="eastAsia" w:ascii="Times New Roman" w:hAnsi="Times New Roman" w:cs="Times New Roman"/>
          <w:color w:val="000000" w:themeColor="text1"/>
          <w:w w:val="99"/>
          <w:kern w:val="2"/>
          <w:sz w:val="24"/>
          <w:szCs w:val="24"/>
          <w:lang w:val="en-US" w:bidi="ar-SA"/>
          <w14:textFill>
            <w14:solidFill>
              <w14:schemeClr w14:val="tx1"/>
            </w14:solidFill>
          </w14:textFill>
        </w:rPr>
        <w:t>。</w:t>
      </w:r>
    </w:p>
    <w:p w14:paraId="262030DD">
      <w:pPr>
        <w:autoSpaceDE/>
        <w:autoSpaceDN/>
        <w:spacing w:line="440" w:lineRule="exact"/>
        <w:ind w:firstLine="474" w:firstLineChars="200"/>
        <w:jc w:val="both"/>
        <w:rPr>
          <w:rFonts w:ascii="Times New Roman" w:hAnsi="Times New Roman" w:cs="Times New Roman"/>
          <w:color w:val="000000" w:themeColor="text1"/>
          <w:w w:val="99"/>
          <w:kern w:val="2"/>
          <w:sz w:val="24"/>
          <w:szCs w:val="24"/>
          <w:lang w:val="en-US" w:bidi="ar-SA"/>
          <w14:textFill>
            <w14:solidFill>
              <w14:schemeClr w14:val="tx1"/>
            </w14:solidFill>
          </w14:textFill>
        </w:rPr>
      </w:pPr>
      <w:r>
        <w:rPr>
          <w:rFonts w:hint="eastAsia"/>
          <w:color w:val="000000" w:themeColor="text1"/>
          <w:w w:val="99"/>
          <w:kern w:val="2"/>
          <w:sz w:val="24"/>
          <w:szCs w:val="24"/>
          <w:lang w:val="en-US" w:bidi="ar-SA"/>
          <w14:textFill>
            <w14:solidFill>
              <w14:schemeClr w14:val="tx1"/>
            </w14:solidFill>
          </w14:textFill>
        </w:rPr>
        <w:t>（3）</w:t>
      </w:r>
      <w:r>
        <w:rPr>
          <w:rFonts w:ascii="Times New Roman" w:hAnsi="Times New Roman" w:cs="Times New Roman"/>
          <w:color w:val="000000" w:themeColor="text1"/>
          <w:w w:val="99"/>
          <w:kern w:val="2"/>
          <w:sz w:val="24"/>
          <w:szCs w:val="24"/>
          <w:lang w:val="en-US" w:bidi="ar-SA"/>
          <w14:textFill>
            <w14:solidFill>
              <w14:schemeClr w14:val="tx1"/>
            </w14:solidFill>
          </w14:textFill>
        </w:rPr>
        <w:t>精细化管理，减少“跑、冒、滴、漏”现象，加强设备设施的日常管理，严格执行操作规程</w:t>
      </w:r>
      <w:r>
        <w:rPr>
          <w:rFonts w:hint="eastAsia" w:ascii="Times New Roman" w:hAnsi="Times New Roman" w:cs="Times New Roman"/>
          <w:color w:val="000000" w:themeColor="text1"/>
          <w:w w:val="99"/>
          <w:kern w:val="2"/>
          <w:sz w:val="24"/>
          <w:szCs w:val="24"/>
          <w:lang w:val="en-US" w:bidi="ar-SA"/>
          <w14:textFill>
            <w14:solidFill>
              <w14:schemeClr w14:val="tx1"/>
            </w14:solidFill>
          </w14:textFill>
        </w:rPr>
        <w:t>。</w:t>
      </w:r>
    </w:p>
    <w:p w14:paraId="3BFF60B5">
      <w:pPr>
        <w:autoSpaceDE/>
        <w:autoSpaceDN/>
        <w:spacing w:line="440" w:lineRule="exact"/>
        <w:ind w:firstLine="474" w:firstLineChars="200"/>
        <w:jc w:val="both"/>
        <w:rPr>
          <w:rFonts w:ascii="Times New Roman" w:hAnsi="Times New Roman" w:cs="Times New Roman"/>
          <w:color w:val="000000" w:themeColor="text1"/>
          <w:w w:val="99"/>
          <w:kern w:val="2"/>
          <w:sz w:val="24"/>
          <w:szCs w:val="24"/>
          <w:lang w:val="en-US" w:bidi="ar-SA"/>
          <w14:textFill>
            <w14:solidFill>
              <w14:schemeClr w14:val="tx1"/>
            </w14:solidFill>
          </w14:textFill>
        </w:rPr>
      </w:pPr>
      <w:r>
        <w:rPr>
          <w:rFonts w:hint="eastAsia"/>
          <w:color w:val="000000" w:themeColor="text1"/>
          <w:w w:val="99"/>
          <w:kern w:val="2"/>
          <w:sz w:val="24"/>
          <w:szCs w:val="24"/>
          <w:lang w:val="en-US" w:bidi="ar-SA"/>
          <w14:textFill>
            <w14:solidFill>
              <w14:schemeClr w14:val="tx1"/>
            </w14:solidFill>
          </w14:textFill>
        </w:rPr>
        <w:t>（4）</w:t>
      </w:r>
      <w:r>
        <w:rPr>
          <w:rFonts w:ascii="Times New Roman" w:hAnsi="Times New Roman" w:cs="Times New Roman"/>
          <w:color w:val="000000" w:themeColor="text1"/>
          <w:w w:val="99"/>
          <w:kern w:val="2"/>
          <w:sz w:val="24"/>
          <w:szCs w:val="24"/>
          <w:lang w:val="en-US" w:bidi="ar-SA"/>
          <w14:textFill>
            <w14:solidFill>
              <w14:schemeClr w14:val="tx1"/>
            </w14:solidFill>
          </w14:textFill>
        </w:rPr>
        <w:t>定期对设备和管道进行维修保养，保证油气处理设施的平稳运行，控制烃类气体的无组织挥发，确保</w:t>
      </w:r>
      <w:r>
        <w:rPr>
          <w:rFonts w:ascii="Times New Roman" w:hAnsi="Times New Roman" w:cs="Times New Roman"/>
          <w:color w:val="000000" w:themeColor="text1"/>
          <w:w w:val="99"/>
          <w:kern w:val="2"/>
          <w:sz w:val="24"/>
          <w:szCs w:val="24"/>
          <w:lang w:val="en-US"/>
          <w14:textFill>
            <w14:solidFill>
              <w14:schemeClr w14:val="tx1"/>
            </w14:solidFill>
          </w14:textFill>
        </w:rPr>
        <w:t>混输阀组间</w:t>
      </w:r>
      <w:r>
        <w:rPr>
          <w:rFonts w:ascii="Times New Roman" w:hAnsi="Times New Roman" w:cs="Times New Roman"/>
          <w:bCs/>
          <w:color w:val="000000" w:themeColor="text1"/>
          <w:w w:val="99"/>
          <w:kern w:val="2"/>
          <w:sz w:val="24"/>
          <w:szCs w:val="24"/>
          <w:lang w:val="en-US" w:bidi="ar-SA"/>
          <w14:textFill>
            <w14:solidFill>
              <w14:schemeClr w14:val="tx1"/>
            </w14:solidFill>
          </w14:textFill>
        </w:rPr>
        <w:t>排放的非甲烷总烃边界可以</w:t>
      </w:r>
      <w:r>
        <w:rPr>
          <w:rFonts w:ascii="Times New Roman" w:hAnsi="Times New Roman" w:cs="Times New Roman"/>
          <w:color w:val="000000" w:themeColor="text1"/>
          <w:w w:val="99"/>
          <w:kern w:val="2"/>
          <w:sz w:val="24"/>
          <w:szCs w:val="24"/>
          <w:lang w:val="en-US" w:bidi="ar-SA"/>
          <w14:textFill>
            <w14:solidFill>
              <w14:schemeClr w14:val="tx1"/>
            </w14:solidFill>
          </w14:textFill>
        </w:rPr>
        <w:t>满足</w:t>
      </w:r>
      <w:r>
        <w:rPr>
          <w:rFonts w:ascii="Times New Roman" w:hAnsi="Times New Roman" w:cs="Times New Roman"/>
          <w:bCs/>
          <w:color w:val="000000" w:themeColor="text1"/>
          <w:w w:val="99"/>
          <w:kern w:val="2"/>
          <w:sz w:val="24"/>
          <w:szCs w:val="24"/>
          <w:lang w:val="en-US" w:bidi="ar-SA"/>
          <w14:textFill>
            <w14:solidFill>
              <w14:schemeClr w14:val="tx1"/>
            </w14:solidFill>
          </w14:textFill>
        </w:rPr>
        <w:t>《陆上石油天然气开采工业大气污染物排放标准》（GB39728-2020）5.9中规定要求，</w:t>
      </w:r>
      <w:r>
        <w:rPr>
          <w:rFonts w:ascii="Times New Roman" w:hAnsi="Times New Roman" w:cs="Times New Roman"/>
          <w:color w:val="000000" w:themeColor="text1"/>
          <w:w w:val="99"/>
          <w:kern w:val="2"/>
          <w:sz w:val="24"/>
          <w:szCs w:val="24"/>
          <w:lang w:val="en-US"/>
          <w14:textFill>
            <w14:solidFill>
              <w14:schemeClr w14:val="tx1"/>
            </w14:solidFill>
          </w14:textFill>
        </w:rPr>
        <w:t>厂区内可以满足《挥发性有机物无组织排放控制标准》（GB 37822-2019）附录A 中VOCs 无组织排放一般限值要求。</w:t>
      </w:r>
    </w:p>
    <w:p w14:paraId="4F2DD219">
      <w:pPr>
        <w:autoSpaceDE/>
        <w:autoSpaceDN/>
        <w:spacing w:line="440" w:lineRule="exact"/>
        <w:ind w:firstLine="474" w:firstLineChars="200"/>
        <w:jc w:val="both"/>
        <w:rPr>
          <w:rFonts w:ascii="Times New Roman" w:hAnsi="Times New Roman" w:cs="Times New Roman"/>
          <w:color w:val="000000" w:themeColor="text1"/>
          <w:w w:val="99"/>
          <w:kern w:val="2"/>
          <w:sz w:val="24"/>
          <w:szCs w:val="24"/>
          <w:lang w:val="en-US" w:bidi="ar-SA"/>
          <w14:textFill>
            <w14:solidFill>
              <w14:schemeClr w14:val="tx1"/>
            </w14:solidFill>
          </w14:textFill>
        </w:rPr>
      </w:pPr>
      <w:r>
        <w:rPr>
          <w:rFonts w:hint="eastAsia"/>
          <w:color w:val="000000" w:themeColor="text1"/>
          <w:w w:val="99"/>
          <w:kern w:val="2"/>
          <w:sz w:val="24"/>
          <w:szCs w:val="24"/>
          <w:lang w:val="en-US" w:bidi="ar-SA"/>
          <w14:textFill>
            <w14:solidFill>
              <w14:schemeClr w14:val="tx1"/>
            </w14:solidFill>
          </w14:textFill>
        </w:rPr>
        <w:t>（5）</w:t>
      </w:r>
      <w:r>
        <w:rPr>
          <w:rFonts w:ascii="Times New Roman" w:hAnsi="Times New Roman" w:cs="Times New Roman"/>
          <w:color w:val="000000" w:themeColor="text1"/>
          <w:w w:val="99"/>
          <w:kern w:val="2"/>
          <w:sz w:val="24"/>
          <w:szCs w:val="24"/>
          <w:lang w:val="en-US" w:bidi="ar-SA"/>
          <w14:textFill>
            <w14:solidFill>
              <w14:schemeClr w14:val="tx1"/>
            </w14:solidFill>
          </w14:textFill>
        </w:rPr>
        <w:t>建立“泄漏检测与修复”管理制度，定期开展泄漏检测与修复，对易泄漏环节制定针对性改进措施，通过源头控制减少挥发性有机物泄漏排放。</w:t>
      </w:r>
    </w:p>
    <w:p w14:paraId="0BF7E415">
      <w:pPr>
        <w:autoSpaceDE/>
        <w:autoSpaceDN/>
        <w:spacing w:line="440" w:lineRule="exact"/>
        <w:ind w:firstLine="474" w:firstLineChars="200"/>
        <w:jc w:val="both"/>
        <w:rPr>
          <w:rFonts w:ascii="Times New Roman" w:hAnsi="Times New Roman" w:eastAsia="黑体" w:cs="Times New Roman"/>
          <w:b/>
          <w:bCs/>
          <w:color w:val="000000" w:themeColor="text1"/>
          <w:w w:val="99"/>
          <w:kern w:val="2"/>
          <w:sz w:val="24"/>
          <w:szCs w:val="24"/>
          <w:lang w:val="en-US" w:bidi="ar-SA"/>
          <w14:textFill>
            <w14:solidFill>
              <w14:schemeClr w14:val="tx1"/>
            </w14:solidFill>
          </w14:textFill>
        </w:rPr>
      </w:pPr>
      <w:r>
        <w:rPr>
          <w:rFonts w:ascii="Times New Roman" w:hAnsi="Times New Roman" w:cs="Times New Roman"/>
          <w:color w:val="000000" w:themeColor="text1"/>
          <w:w w:val="99"/>
          <w:kern w:val="2"/>
          <w:sz w:val="24"/>
          <w:szCs w:val="24"/>
          <w:lang w:val="en-US" w:bidi="ar-SA"/>
          <w14:textFill>
            <w14:solidFill>
              <w14:schemeClr w14:val="tx1"/>
            </w14:solidFill>
          </w14:textFill>
        </w:rPr>
        <w:t>以上措施可从源头降低废气产生，技术可行，可以将项目建设对大气环境的影响减小到最小程度，使其对周围大气环境的影响大大降低，保持在环境可接受的范围之内。</w:t>
      </w:r>
    </w:p>
    <w:p w14:paraId="78A9A885">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6.2 水污染防治措施</w:t>
      </w:r>
      <w:bookmarkEnd w:id="527"/>
    </w:p>
    <w:p w14:paraId="0CBA75F9">
      <w:pPr>
        <w:autoSpaceDE/>
        <w:autoSpaceDN/>
        <w:spacing w:before="60" w:after="60" w:line="440" w:lineRule="exact"/>
        <w:jc w:val="both"/>
        <w:outlineLvl w:val="2"/>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pPr>
      <w:bookmarkStart w:id="528" w:name="_Toc117794625"/>
      <w:r>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t>6.2.1</w:t>
      </w:r>
      <w:r>
        <w:rPr>
          <w:rFonts w:ascii="Times New Roman" w:hAnsi="Times New Roman" w:cs="Times New Roman" w:eastAsiaTheme="minorEastAsia"/>
          <w:b/>
          <w:bCs/>
          <w:color w:val="000000" w:themeColor="text1"/>
          <w:w w:val="99"/>
          <w:kern w:val="2"/>
          <w:sz w:val="24"/>
          <w:szCs w:val="24"/>
          <w:lang w:val="en-US" w:bidi="ar-SA"/>
          <w14:textFill>
            <w14:solidFill>
              <w14:schemeClr w14:val="tx1"/>
            </w14:solidFill>
          </w14:textFill>
        </w:rPr>
        <w:t>废水处理措施及其可行性论证</w:t>
      </w:r>
      <w:bookmarkEnd w:id="528"/>
    </w:p>
    <w:p w14:paraId="6A144B00">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lang w:val="zh-CN"/>
          <w14:textFill>
            <w14:solidFill>
              <w14:schemeClr w14:val="tx1"/>
            </w14:solidFill>
          </w14:textFill>
        </w:rPr>
      </w:pPr>
      <w:r>
        <w:rPr>
          <w:rFonts w:ascii="Times New Roman" w:hAnsi="Times New Roman" w:cs="Times New Roman" w:eastAsiaTheme="minorEastAsia"/>
          <w:color w:val="000000" w:themeColor="text1"/>
          <w:w w:val="99"/>
          <w:sz w:val="24"/>
          <w:szCs w:val="24"/>
          <w:lang w:val="zh-CN"/>
          <w14:textFill>
            <w14:solidFill>
              <w14:schemeClr w14:val="tx1"/>
            </w14:solidFill>
          </w14:textFill>
        </w:rPr>
        <w:t>（1）废水处理措施</w:t>
      </w:r>
    </w:p>
    <w:p w14:paraId="1FB2DBC6">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本工程水污染防治措施主要针对施工期管线施工时产生的废水进行处理，运行期不产生废水。</w:t>
      </w:r>
    </w:p>
    <w:p w14:paraId="425F3AB5">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施工人员的生活污水排入拉油点已建防渗旱厕，定期清掏外运堆肥处理</w:t>
      </w:r>
      <w:r>
        <w:rPr>
          <w:rFonts w:ascii="Times New Roman" w:hAnsi="Times New Roman" w:cs="Times New Roman" w:eastAsiaTheme="minorEastAsia"/>
          <w:color w:val="000000" w:themeColor="text1"/>
          <w:w w:val="99"/>
          <w:sz w:val="24"/>
          <w:szCs w:val="24"/>
          <w14:textFill>
            <w14:solidFill>
              <w14:schemeClr w14:val="tx1"/>
            </w14:solidFill>
          </w14:textFill>
        </w:rPr>
        <w:t>，不外排；管道试压废水统一由罐车收集运送至龙一联含油污水处理站处理满足《大庆油田地面工程建设设计规定》(Q/SYDQ0639-2015)“含油量≤8mg/L，悬浮固体≤3mg/L”标准后回注油层。</w:t>
      </w:r>
    </w:p>
    <w:p w14:paraId="1521FB54">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（2）废水处理可行性论证</w:t>
      </w:r>
    </w:p>
    <w:p w14:paraId="3FA66194">
      <w:pPr>
        <w:spacing w:line="440" w:lineRule="exact"/>
        <w:ind w:firstLine="474" w:firstLineChars="200"/>
        <w:jc w:val="both"/>
        <w:rPr>
          <w:rFonts w:ascii="Times New Roman" w:hAnsi="Times New Roman" w:cs="Times New Roman" w:eastAsiaTheme="minorEastAsia"/>
          <w:color w:val="000000" w:themeColor="text1"/>
          <w:w w:val="99"/>
          <w:kern w:val="21"/>
          <w:sz w:val="24"/>
          <w:szCs w:val="24"/>
          <w14:textFill>
            <w14:solidFill>
              <w14:schemeClr w14:val="tx1"/>
            </w14:solidFill>
          </w14:textFill>
        </w:rPr>
      </w:pPr>
      <w:r>
        <w:rPr>
          <w:rFonts w:hint="eastAsia"/>
          <w:color w:val="000000" w:themeColor="text1"/>
          <w:w w:val="99"/>
          <w:kern w:val="21"/>
          <w:sz w:val="24"/>
          <w:szCs w:val="24"/>
          <w14:textFill>
            <w14:solidFill>
              <w14:schemeClr w14:val="tx1"/>
            </w14:solidFill>
          </w14:textFill>
        </w:rPr>
        <w:t>②</w:t>
      </w:r>
      <w:r>
        <w:rPr>
          <w:rFonts w:ascii="Times New Roman" w:hAnsi="Times New Roman" w:cs="Times New Roman" w:eastAsiaTheme="minorEastAsia"/>
          <w:color w:val="000000" w:themeColor="text1"/>
          <w:w w:val="99"/>
          <w:kern w:val="21"/>
          <w:sz w:val="24"/>
          <w:szCs w:val="24"/>
          <w14:textFill>
            <w14:solidFill>
              <w14:schemeClr w14:val="tx1"/>
            </w14:solidFill>
          </w14:textFill>
        </w:rPr>
        <w:t>处理工艺可行性分析</w:t>
      </w:r>
    </w:p>
    <w:p w14:paraId="6CFA3DDC">
      <w:pPr>
        <w:spacing w:line="440" w:lineRule="exact"/>
        <w:ind w:firstLine="474" w:firstLineChars="200"/>
        <w:jc w:val="both"/>
        <w:rPr>
          <w:rFonts w:ascii="Times New Roman" w:hAnsi="Times New Roman" w:cs="Times New Roman" w:eastAsiaTheme="minorEastAsia"/>
          <w:color w:val="000000" w:themeColor="text1"/>
          <w:w w:val="99"/>
          <w:kern w:val="21"/>
          <w:sz w:val="24"/>
          <w:szCs w:val="24"/>
          <w14:textFill>
            <w14:solidFill>
              <w14:schemeClr w14:val="tx1"/>
            </w14:solidFill>
          </w14:textFill>
        </w:rPr>
      </w:pPr>
      <w:r>
        <w:rPr>
          <w:rFonts w:ascii="Times New Roman" w:hAnsi="Times New Roman" w:cs="Times New Roman" w:eastAsiaTheme="minorEastAsia"/>
          <w:color w:val="000000" w:themeColor="text1"/>
          <w:w w:val="99"/>
          <w:kern w:val="21"/>
          <w:sz w:val="24"/>
          <w:szCs w:val="24"/>
          <w14:textFill>
            <w14:solidFill>
              <w14:schemeClr w14:val="tx1"/>
            </w14:solidFill>
          </w14:textFill>
        </w:rPr>
        <w:t>本项目管道试压废水依托龙一联含油污水处理站处理，该站采用</w:t>
      </w:r>
      <w:r>
        <w:rPr>
          <w:rFonts w:ascii="Times New Roman" w:hAnsi="Times New Roman" w:cs="Times New Roman" w:eastAsiaTheme="minorEastAsia"/>
          <w:bCs/>
          <w:color w:val="000000" w:themeColor="text1"/>
          <w:w w:val="99"/>
          <w:kern w:val="2"/>
          <w:sz w:val="24"/>
          <w:szCs w:val="24"/>
          <w:lang w:val="de-DE"/>
          <w14:textFill>
            <w14:solidFill>
              <w14:schemeClr w14:val="tx1"/>
            </w14:solidFill>
          </w14:textFill>
        </w:rPr>
        <w:t>自然沉降、混凝沉降、两级压力过滤处理工艺</w:t>
      </w:r>
      <w:r>
        <w:rPr>
          <w:rFonts w:ascii="Times New Roman" w:hAnsi="Times New Roman" w:cs="Times New Roman" w:eastAsiaTheme="minorEastAsia"/>
          <w:color w:val="000000" w:themeColor="text1"/>
          <w:w w:val="99"/>
          <w:kern w:val="21"/>
          <w:sz w:val="24"/>
          <w:szCs w:val="24"/>
          <w14:textFill>
            <w14:solidFill>
              <w14:schemeClr w14:val="tx1"/>
            </w14:solidFill>
          </w14:textFill>
        </w:rPr>
        <w:t>，污水首先进入自然沉降除油罐，沉降处理后浮于上层的污油由收油泵回收，下层的污水进入混凝除油罐进行二次除油处理，加入混凝剂充分混合后，上层污油由收油泵回收，下层污水进入两级压力过滤罐进行深度压滤处理</w:t>
      </w:r>
      <w:r>
        <w:rPr>
          <w:rFonts w:ascii="Times New Roman" w:hAnsi="Times New Roman" w:cs="Times New Roman" w:eastAsiaTheme="minorEastAsia"/>
          <w:color w:val="000000" w:themeColor="text1"/>
          <w:w w:val="99"/>
          <w:kern w:val="2"/>
          <w:sz w:val="24"/>
          <w:szCs w:val="24"/>
          <w:lang w:val="de-DE"/>
          <w14:textFill>
            <w14:solidFill>
              <w14:schemeClr w14:val="tx1"/>
            </w14:solidFill>
          </w14:textFill>
        </w:rPr>
        <w:t>，设计出水水质指标为</w:t>
      </w:r>
      <w:r>
        <w:rPr>
          <w:rFonts w:hint="eastAsia" w:ascii="Times New Roman" w:hAnsi="Times New Roman" w:cs="Times New Roman" w:eastAsiaTheme="minorEastAsia"/>
          <w:color w:val="000000" w:themeColor="text1"/>
          <w:w w:val="99"/>
          <w:kern w:val="2"/>
          <w:sz w:val="24"/>
          <w:szCs w:val="24"/>
          <w:lang w:val="de-DE"/>
          <w14:textFill>
            <w14:solidFill>
              <w14:schemeClr w14:val="tx1"/>
            </w14:solidFill>
          </w14:textFill>
        </w:rPr>
        <w:t>《大庆油田地面工程建设设计规定》（</w:t>
      </w:r>
      <w:r>
        <w:rPr>
          <w:rFonts w:ascii="Times New Roman" w:hAnsi="Times New Roman" w:cs="Times New Roman" w:eastAsiaTheme="minorEastAsia"/>
          <w:color w:val="000000" w:themeColor="text1"/>
          <w:w w:val="99"/>
          <w:kern w:val="2"/>
          <w:sz w:val="24"/>
          <w:szCs w:val="24"/>
          <w:lang w:val="de-DE"/>
          <w14:textFill>
            <w14:solidFill>
              <w14:schemeClr w14:val="tx1"/>
            </w14:solidFill>
          </w14:textFill>
        </w:rPr>
        <w:t>Q/SYDQ0639-2015）表3中的“含油量≤8mg/L、悬浮固体≤3mg/L、粒径中值≤2μm”规定</w:t>
      </w:r>
      <w:r>
        <w:rPr>
          <w:rFonts w:ascii="Times New Roman" w:hAnsi="Times New Roman" w:cs="Times New Roman" w:eastAsiaTheme="minorEastAsia"/>
          <w:color w:val="000000" w:themeColor="text1"/>
          <w:w w:val="99"/>
          <w:kern w:val="21"/>
          <w:sz w:val="24"/>
          <w:szCs w:val="24"/>
          <w14:textFill>
            <w14:solidFill>
              <w14:schemeClr w14:val="tx1"/>
            </w14:solidFill>
          </w14:textFill>
        </w:rPr>
        <w:t>。</w:t>
      </w:r>
    </w:p>
    <w:p w14:paraId="57240B9E">
      <w:pPr>
        <w:spacing w:line="440" w:lineRule="exact"/>
        <w:ind w:firstLine="474" w:firstLineChars="200"/>
        <w:jc w:val="both"/>
        <w:rPr>
          <w:rFonts w:ascii="Times New Roman" w:hAnsi="Times New Roman" w:cs="Times New Roman" w:eastAsiaTheme="minorEastAsia"/>
          <w:color w:val="000000" w:themeColor="text1"/>
          <w:w w:val="99"/>
          <w:kern w:val="21"/>
          <w:sz w:val="24"/>
          <w:szCs w:val="24"/>
          <w14:textFill>
            <w14:solidFill>
              <w14:schemeClr w14:val="tx1"/>
            </w14:solidFill>
          </w14:textFill>
        </w:rPr>
      </w:pPr>
      <w:r>
        <w:rPr>
          <w:rFonts w:hint="eastAsia"/>
          <w:color w:val="000000" w:themeColor="text1"/>
          <w:w w:val="99"/>
          <w:kern w:val="21"/>
          <w:sz w:val="24"/>
          <w:szCs w:val="24"/>
          <w14:textFill>
            <w14:solidFill>
              <w14:schemeClr w14:val="tx1"/>
            </w14:solidFill>
          </w14:textFill>
        </w:rPr>
        <w:t>③</w:t>
      </w:r>
      <w:r>
        <w:rPr>
          <w:rFonts w:ascii="Times New Roman" w:hAnsi="Times New Roman" w:cs="Times New Roman" w:eastAsiaTheme="minorEastAsia"/>
          <w:color w:val="000000" w:themeColor="text1"/>
          <w:w w:val="99"/>
          <w:kern w:val="21"/>
          <w:sz w:val="24"/>
          <w:szCs w:val="24"/>
          <w14:textFill>
            <w14:solidFill>
              <w14:schemeClr w14:val="tx1"/>
            </w14:solidFill>
          </w14:textFill>
        </w:rPr>
        <w:t>处理工艺达标可行性分析</w:t>
      </w:r>
    </w:p>
    <w:p w14:paraId="1CDE9F6A">
      <w:pPr>
        <w:spacing w:line="440" w:lineRule="exact"/>
        <w:ind w:firstLine="474" w:firstLineChars="200"/>
        <w:jc w:val="both"/>
        <w:rPr>
          <w:rFonts w:ascii="Times New Roman" w:hAnsi="Times New Roman" w:cs="Times New Roman" w:eastAsiaTheme="minorEastAsia"/>
          <w:color w:val="000000" w:themeColor="text1"/>
          <w:w w:val="99"/>
          <w:kern w:val="21"/>
          <w:sz w:val="24"/>
          <w:szCs w:val="24"/>
          <w14:textFill>
            <w14:solidFill>
              <w14:schemeClr w14:val="tx1"/>
            </w14:solidFill>
          </w14:textFill>
        </w:rPr>
      </w:pPr>
      <w:r>
        <w:rPr>
          <w:rFonts w:ascii="Times New Roman" w:hAnsi="Times New Roman" w:cs="Times New Roman" w:eastAsiaTheme="minorEastAsia"/>
          <w:color w:val="000000" w:themeColor="text1"/>
          <w:w w:val="99"/>
          <w:kern w:val="21"/>
          <w:sz w:val="24"/>
          <w:szCs w:val="24"/>
          <w14:textFill>
            <w14:solidFill>
              <w14:schemeClr w14:val="tx1"/>
            </w14:solidFill>
          </w14:textFill>
        </w:rPr>
        <w:t>龙一联含油污水处理站设计出水指标为《大庆油田地面工程建设设计规定》（Q/SYDQ0639-2015）限值要求“含油量≤8.0mg/L、悬浮固体含量≤3.0mg/L、粒径中值≤2μm”。</w:t>
      </w:r>
      <w:r>
        <w:rPr>
          <w:rFonts w:ascii="Times New Roman" w:hAnsi="Times New Roman" w:cs="Times New Roman" w:eastAsiaTheme="minorEastAsia"/>
          <w:bCs/>
          <w:color w:val="000000" w:themeColor="text1"/>
          <w:w w:val="99"/>
          <w:kern w:val="21"/>
          <w:sz w:val="24"/>
          <w:szCs w:val="24"/>
          <w:lang w:val="en-US"/>
          <w14:textFill>
            <w14:solidFill>
              <w14:schemeClr w14:val="tx1"/>
            </w14:solidFill>
          </w14:textFill>
        </w:rPr>
        <w:t>根据《龙一联污水处理系统改造工程竣工环境保护验收监测报告表》中对龙一联含油污水处理站的监测结果可知（验收意见见附件</w:t>
      </w:r>
      <w:r>
        <w:rPr>
          <w:rFonts w:hint="eastAsia" w:ascii="Times New Roman" w:hAnsi="Times New Roman" w:cs="Times New Roman" w:eastAsiaTheme="minorEastAsia"/>
          <w:bCs/>
          <w:color w:val="000000" w:themeColor="text1"/>
          <w:w w:val="99"/>
          <w:kern w:val="21"/>
          <w:sz w:val="24"/>
          <w:szCs w:val="24"/>
          <w:lang w:val="en-US"/>
          <w14:textFill>
            <w14:solidFill>
              <w14:schemeClr w14:val="tx1"/>
            </w14:solidFill>
          </w14:textFill>
        </w:rPr>
        <w:t>3</w:t>
      </w:r>
      <w:r>
        <w:rPr>
          <w:rFonts w:ascii="Times New Roman" w:hAnsi="Times New Roman" w:cs="Times New Roman" w:eastAsiaTheme="minorEastAsia"/>
          <w:bCs/>
          <w:color w:val="000000" w:themeColor="text1"/>
          <w:w w:val="99"/>
          <w:kern w:val="21"/>
          <w:sz w:val="24"/>
          <w:szCs w:val="24"/>
          <w:lang w:val="en-US"/>
          <w14:textFill>
            <w14:solidFill>
              <w14:schemeClr w14:val="tx1"/>
            </w14:solidFill>
          </w14:textFill>
        </w:rPr>
        <w:t>），处理后的污水中石油类1.24-2.22mg/L、悬浮固体2-3mg/L，满足《大庆油田地面工程建设设计规定》（Q/SYDQ0639-2015）中“含油量≤8mg/L、悬浮固体含量≤3mg/L、粒径中值≤2μm”限值要求</w:t>
      </w:r>
      <w:r>
        <w:rPr>
          <w:rFonts w:ascii="Times New Roman" w:hAnsi="Times New Roman" w:cs="Times New Roman" w:eastAsiaTheme="minorEastAsia"/>
          <w:color w:val="000000" w:themeColor="text1"/>
          <w:w w:val="99"/>
          <w:kern w:val="21"/>
          <w:sz w:val="24"/>
          <w:szCs w:val="24"/>
          <w14:textFill>
            <w14:solidFill>
              <w14:schemeClr w14:val="tx1"/>
            </w14:solidFill>
          </w14:textFill>
        </w:rPr>
        <w:t>。</w:t>
      </w:r>
    </w:p>
    <w:p w14:paraId="23967861">
      <w:pPr>
        <w:spacing w:line="440" w:lineRule="exact"/>
        <w:ind w:firstLine="474" w:firstLineChars="200"/>
        <w:jc w:val="both"/>
        <w:rPr>
          <w:rFonts w:ascii="Times New Roman" w:hAnsi="Times New Roman" w:cs="Times New Roman" w:eastAsiaTheme="minorEastAsia"/>
          <w:color w:val="000000" w:themeColor="text1"/>
          <w:w w:val="99"/>
          <w:kern w:val="21"/>
          <w:sz w:val="24"/>
          <w:szCs w:val="24"/>
          <w14:textFill>
            <w14:solidFill>
              <w14:schemeClr w14:val="tx1"/>
            </w14:solidFill>
          </w14:textFill>
        </w:rPr>
      </w:pPr>
      <w:r>
        <w:rPr>
          <w:rFonts w:hint="eastAsia"/>
          <w:color w:val="000000" w:themeColor="text1"/>
          <w:w w:val="99"/>
          <w:kern w:val="21"/>
          <w:sz w:val="24"/>
          <w:szCs w:val="24"/>
          <w14:textFill>
            <w14:solidFill>
              <w14:schemeClr w14:val="tx1"/>
            </w14:solidFill>
          </w14:textFill>
        </w:rPr>
        <w:t>④</w:t>
      </w:r>
      <w:r>
        <w:rPr>
          <w:rFonts w:ascii="Times New Roman" w:hAnsi="Times New Roman" w:cs="Times New Roman" w:eastAsiaTheme="minorEastAsia"/>
          <w:color w:val="000000" w:themeColor="text1"/>
          <w:w w:val="99"/>
          <w:kern w:val="21"/>
          <w:sz w:val="24"/>
          <w:szCs w:val="24"/>
          <w14:textFill>
            <w14:solidFill>
              <w14:schemeClr w14:val="tx1"/>
            </w14:solidFill>
          </w14:textFill>
        </w:rPr>
        <w:t>处理规模的可行性分析</w:t>
      </w:r>
    </w:p>
    <w:p w14:paraId="5E94F708">
      <w:pPr>
        <w:spacing w:line="440" w:lineRule="exact"/>
        <w:ind w:firstLine="474" w:firstLineChars="200"/>
        <w:jc w:val="both"/>
        <w:rPr>
          <w:rFonts w:ascii="Times New Roman" w:hAnsi="Times New Roman" w:cs="Times New Roman" w:eastAsiaTheme="minorEastAsia"/>
          <w:color w:val="000000" w:themeColor="text1"/>
          <w:w w:val="99"/>
          <w:kern w:val="21"/>
          <w:sz w:val="24"/>
          <w:szCs w:val="24"/>
          <w14:textFill>
            <w14:solidFill>
              <w14:schemeClr w14:val="tx1"/>
            </w14:solidFill>
          </w14:textFill>
        </w:rPr>
      </w:pPr>
      <w:r>
        <w:rPr>
          <w:rFonts w:ascii="Times New Roman" w:hAnsi="Times New Roman" w:cs="Times New Roman" w:eastAsiaTheme="minorEastAsia"/>
          <w:color w:val="000000" w:themeColor="text1"/>
          <w:w w:val="99"/>
          <w:kern w:val="2"/>
          <w:sz w:val="24"/>
          <w:szCs w:val="24"/>
          <w14:textFill>
            <w14:solidFill>
              <w14:schemeClr w14:val="tx1"/>
            </w14:solidFill>
          </w14:textFill>
        </w:rPr>
        <w:t>龙一联含油污水处理站</w:t>
      </w:r>
      <w:r>
        <w:rPr>
          <w:rFonts w:ascii="Times New Roman" w:hAnsi="Times New Roman" w:cs="Times New Roman" w:eastAsiaTheme="minorEastAsia"/>
          <w:bCs/>
          <w:color w:val="000000" w:themeColor="text1"/>
          <w:w w:val="99"/>
          <w:kern w:val="2"/>
          <w:sz w:val="24"/>
          <w:szCs w:val="24"/>
          <w:lang w:val="de-DE"/>
          <w14:textFill>
            <w14:solidFill>
              <w14:schemeClr w14:val="tx1"/>
            </w14:solidFill>
          </w14:textFill>
        </w:rPr>
        <w:t>设计污水处理量为</w:t>
      </w:r>
      <w:r>
        <w:rPr>
          <w:rFonts w:ascii="Times New Roman" w:hAnsi="Times New Roman" w:cs="Times New Roman" w:eastAsiaTheme="minorEastAsia"/>
          <w:bCs/>
          <w:color w:val="000000" w:themeColor="text1"/>
          <w:w w:val="99"/>
          <w:kern w:val="2"/>
          <w:sz w:val="24"/>
          <w:szCs w:val="24"/>
          <w:lang w:val="en-US"/>
          <w14:textFill>
            <w14:solidFill>
              <w14:schemeClr w14:val="tx1"/>
            </w14:solidFill>
          </w14:textFill>
        </w:rPr>
        <w:t>7500m</w:t>
      </w:r>
      <w:r>
        <w:rPr>
          <w:rFonts w:ascii="Times New Roman" w:hAnsi="Times New Roman" w:cs="Times New Roman" w:eastAsiaTheme="minorEastAsia"/>
          <w:bCs/>
          <w:color w:val="000000" w:themeColor="text1"/>
          <w:w w:val="99"/>
          <w:kern w:val="2"/>
          <w:sz w:val="24"/>
          <w:szCs w:val="24"/>
          <w:vertAlign w:val="superscript"/>
          <w:lang w:val="en-US"/>
          <w14:textFill>
            <w14:solidFill>
              <w14:schemeClr w14:val="tx1"/>
            </w14:solidFill>
          </w14:textFill>
        </w:rPr>
        <w:t>3</w:t>
      </w:r>
      <w:r>
        <w:rPr>
          <w:rFonts w:ascii="Times New Roman" w:hAnsi="Times New Roman" w:cs="Times New Roman" w:eastAsiaTheme="minorEastAsia"/>
          <w:bCs/>
          <w:color w:val="000000" w:themeColor="text1"/>
          <w:w w:val="99"/>
          <w:kern w:val="2"/>
          <w:sz w:val="24"/>
          <w:szCs w:val="24"/>
          <w:lang w:val="en-US"/>
          <w14:textFill>
            <w14:solidFill>
              <w14:schemeClr w14:val="tx1"/>
            </w14:solidFill>
          </w14:textFill>
        </w:rPr>
        <w:t>/d。</w:t>
      </w:r>
      <w:r>
        <w:rPr>
          <w:rFonts w:ascii="Times New Roman" w:hAnsi="Times New Roman" w:cs="Times New Roman" w:eastAsiaTheme="minorEastAsia"/>
          <w:bCs/>
          <w:color w:val="000000" w:themeColor="text1"/>
          <w:w w:val="99"/>
          <w:kern w:val="2"/>
          <w:sz w:val="24"/>
          <w:szCs w:val="24"/>
          <w:lang w:val="de-DE"/>
          <w14:textFill>
            <w14:solidFill>
              <w14:schemeClr w14:val="tx1"/>
            </w14:solidFill>
          </w14:textFill>
        </w:rPr>
        <w:t>目前实际污水处理量为</w:t>
      </w:r>
      <w:r>
        <w:rPr>
          <w:rFonts w:ascii="Times New Roman" w:hAnsi="Times New Roman" w:cs="Times New Roman" w:eastAsiaTheme="minorEastAsia"/>
          <w:bCs/>
          <w:color w:val="000000" w:themeColor="text1"/>
          <w:w w:val="99"/>
          <w:kern w:val="2"/>
          <w:sz w:val="24"/>
          <w:szCs w:val="24"/>
          <w:lang w:val="en-US"/>
          <w14:textFill>
            <w14:solidFill>
              <w14:schemeClr w14:val="tx1"/>
            </w14:solidFill>
          </w14:textFill>
        </w:rPr>
        <w:t>5970</w:t>
      </w:r>
      <w:r>
        <w:rPr>
          <w:rFonts w:ascii="Times New Roman" w:hAnsi="Times New Roman" w:cs="Times New Roman" w:eastAsiaTheme="minorEastAsia"/>
          <w:bCs/>
          <w:color w:val="000000" w:themeColor="text1"/>
          <w:w w:val="99"/>
          <w:kern w:val="2"/>
          <w:sz w:val="24"/>
          <w:szCs w:val="24"/>
          <w:lang w:val="de-DE"/>
          <w14:textFill>
            <w14:solidFill>
              <w14:schemeClr w14:val="tx1"/>
            </w14:solidFill>
          </w14:textFill>
        </w:rPr>
        <w:t>m</w:t>
      </w:r>
      <w:r>
        <w:rPr>
          <w:rFonts w:ascii="Times New Roman" w:hAnsi="Times New Roman" w:cs="Times New Roman" w:eastAsiaTheme="minorEastAsia"/>
          <w:bCs/>
          <w:color w:val="000000" w:themeColor="text1"/>
          <w:w w:val="99"/>
          <w:kern w:val="2"/>
          <w:sz w:val="24"/>
          <w:szCs w:val="24"/>
          <w:vertAlign w:val="superscript"/>
          <w:lang w:val="de-DE"/>
          <w14:textFill>
            <w14:solidFill>
              <w14:schemeClr w14:val="tx1"/>
            </w14:solidFill>
          </w14:textFill>
        </w:rPr>
        <w:t>3</w:t>
      </w:r>
      <w:r>
        <w:rPr>
          <w:rFonts w:ascii="Times New Roman" w:hAnsi="Times New Roman" w:cs="Times New Roman" w:eastAsiaTheme="minorEastAsia"/>
          <w:bCs/>
          <w:color w:val="000000" w:themeColor="text1"/>
          <w:w w:val="99"/>
          <w:kern w:val="2"/>
          <w:sz w:val="24"/>
          <w:szCs w:val="24"/>
          <w:lang w:val="de-DE"/>
          <w14:textFill>
            <w14:solidFill>
              <w14:schemeClr w14:val="tx1"/>
            </w14:solidFill>
          </w14:textFill>
        </w:rPr>
        <w:t>/d，本项目</w:t>
      </w:r>
      <w:r>
        <w:rPr>
          <w:rFonts w:ascii="Times New Roman" w:hAnsi="Times New Roman" w:cs="Times New Roman" w:eastAsiaTheme="minorEastAsia"/>
          <w:bCs/>
          <w:color w:val="000000" w:themeColor="text1"/>
          <w:w w:val="99"/>
          <w:kern w:val="2"/>
          <w:sz w:val="24"/>
          <w:szCs w:val="24"/>
          <w:lang w:val="en-US"/>
          <w14:textFill>
            <w14:solidFill>
              <w14:schemeClr w14:val="tx1"/>
            </w14:solidFill>
          </w14:textFill>
        </w:rPr>
        <w:t>试压废水产生</w:t>
      </w:r>
      <w:r>
        <w:rPr>
          <w:rFonts w:ascii="Times New Roman" w:hAnsi="Times New Roman" w:cs="Times New Roman" w:eastAsiaTheme="minorEastAsia"/>
          <w:bCs/>
          <w:color w:val="000000" w:themeColor="text1"/>
          <w:w w:val="99"/>
          <w:kern w:val="2"/>
          <w:sz w:val="24"/>
          <w:szCs w:val="24"/>
          <w:lang w:val="de-DE"/>
          <w14:textFill>
            <w14:solidFill>
              <w14:schemeClr w14:val="tx1"/>
            </w14:solidFill>
          </w14:textFill>
        </w:rPr>
        <w:t>量为225.5</w:t>
      </w:r>
      <w:r>
        <w:rPr>
          <w:rFonts w:ascii="Times New Roman" w:hAnsi="Times New Roman" w:cs="Times New Roman" w:eastAsiaTheme="minorEastAsia"/>
          <w:bCs/>
          <w:color w:val="000000" w:themeColor="text1"/>
          <w:w w:val="99"/>
          <w:kern w:val="2"/>
          <w:sz w:val="24"/>
          <w:szCs w:val="24"/>
          <w:lang w:val="en-US"/>
          <w14:textFill>
            <w14:solidFill>
              <w14:schemeClr w14:val="tx1"/>
            </w14:solidFill>
          </w14:textFill>
        </w:rPr>
        <w:t>m</w:t>
      </w:r>
      <w:r>
        <w:rPr>
          <w:rFonts w:ascii="Times New Roman" w:hAnsi="Times New Roman" w:cs="Times New Roman" w:eastAsiaTheme="minorEastAsia"/>
          <w:bCs/>
          <w:color w:val="000000" w:themeColor="text1"/>
          <w:w w:val="99"/>
          <w:kern w:val="2"/>
          <w:sz w:val="24"/>
          <w:szCs w:val="24"/>
          <w:vertAlign w:val="superscript"/>
          <w:lang w:val="en-US"/>
          <w14:textFill>
            <w14:solidFill>
              <w14:schemeClr w14:val="tx1"/>
            </w14:solidFill>
          </w14:textFill>
        </w:rPr>
        <w:t>3</w:t>
      </w:r>
      <w:r>
        <w:rPr>
          <w:rFonts w:ascii="Times New Roman" w:hAnsi="Times New Roman" w:cs="Times New Roman" w:eastAsiaTheme="minorEastAsia"/>
          <w:bCs/>
          <w:color w:val="000000" w:themeColor="text1"/>
          <w:w w:val="99"/>
          <w:kern w:val="2"/>
          <w:sz w:val="24"/>
          <w:szCs w:val="24"/>
          <w:lang w:val="de-DE"/>
          <w14:textFill>
            <w14:solidFill>
              <w14:schemeClr w14:val="tx1"/>
            </w14:solidFill>
          </w14:textFill>
        </w:rPr>
        <w:t>，增加本项目废水后，该站负荷率为</w:t>
      </w:r>
      <w:r>
        <w:rPr>
          <w:rFonts w:ascii="Times New Roman" w:hAnsi="Times New Roman" w:cs="Times New Roman" w:eastAsiaTheme="minorEastAsia"/>
          <w:bCs/>
          <w:color w:val="000000" w:themeColor="text1"/>
          <w:w w:val="99"/>
          <w:kern w:val="2"/>
          <w:sz w:val="24"/>
          <w:szCs w:val="24"/>
          <w:lang w:val="en-US"/>
          <w14:textFill>
            <w14:solidFill>
              <w14:schemeClr w14:val="tx1"/>
            </w14:solidFill>
          </w14:textFill>
        </w:rPr>
        <w:t>82.6</w:t>
      </w:r>
      <w:r>
        <w:rPr>
          <w:rFonts w:ascii="Times New Roman" w:hAnsi="Times New Roman" w:cs="Times New Roman" w:eastAsiaTheme="minorEastAsia"/>
          <w:bCs/>
          <w:color w:val="000000" w:themeColor="text1"/>
          <w:w w:val="99"/>
          <w:kern w:val="2"/>
          <w:sz w:val="24"/>
          <w:szCs w:val="24"/>
          <w:lang w:val="de-DE"/>
          <w14:textFill>
            <w14:solidFill>
              <w14:schemeClr w14:val="tx1"/>
            </w14:solidFill>
          </w14:textFill>
        </w:rPr>
        <w:t>%，满足本项目需求</w:t>
      </w:r>
      <w:r>
        <w:rPr>
          <w:rFonts w:ascii="Times New Roman" w:hAnsi="Times New Roman" w:cs="Times New Roman" w:eastAsiaTheme="minorEastAsia"/>
          <w:color w:val="000000" w:themeColor="text1"/>
          <w:w w:val="99"/>
          <w:kern w:val="21"/>
          <w:sz w:val="24"/>
          <w:szCs w:val="24"/>
          <w14:textFill>
            <w14:solidFill>
              <w14:schemeClr w14:val="tx1"/>
            </w14:solidFill>
          </w14:textFill>
        </w:rPr>
        <w:t>。</w:t>
      </w:r>
    </w:p>
    <w:p w14:paraId="13D5C6ED">
      <w:pPr>
        <w:spacing w:line="440" w:lineRule="exact"/>
        <w:ind w:firstLine="474" w:firstLineChars="200"/>
        <w:jc w:val="both"/>
        <w:rPr>
          <w:rFonts w:ascii="Times New Roman" w:hAnsi="Times New Roman" w:cs="Times New Roman" w:eastAsiaTheme="minorEastAsia"/>
          <w:color w:val="000000" w:themeColor="text1"/>
          <w:w w:val="99"/>
          <w:kern w:val="21"/>
          <w:sz w:val="24"/>
          <w:szCs w:val="24"/>
          <w14:textFill>
            <w14:solidFill>
              <w14:schemeClr w14:val="tx1"/>
            </w14:solidFill>
          </w14:textFill>
        </w:rPr>
      </w:pPr>
      <w:r>
        <w:rPr>
          <w:rFonts w:ascii="Times New Roman" w:hAnsi="Times New Roman" w:cs="Times New Roman" w:eastAsiaTheme="minorEastAsia"/>
          <w:color w:val="000000" w:themeColor="text1"/>
          <w:w w:val="99"/>
          <w:kern w:val="21"/>
          <w:sz w:val="24"/>
          <w:szCs w:val="24"/>
          <w14:textFill>
            <w14:solidFill>
              <w14:schemeClr w14:val="tx1"/>
            </w14:solidFill>
          </w14:textFill>
        </w:rPr>
        <w:t>本项目拉运污水要建设拉运视频监控装置，并接入市局监控平台，废水拉运前向市局申报，明确拉运量、拉运时间，并接受视频监管。采取以上措施后，本项目废水均不外排，对环境影响较小。</w:t>
      </w:r>
    </w:p>
    <w:p w14:paraId="4F38A1CA">
      <w:pPr>
        <w:autoSpaceDE/>
        <w:autoSpaceDN/>
        <w:spacing w:before="60" w:after="60" w:line="440" w:lineRule="exact"/>
        <w:jc w:val="both"/>
        <w:outlineLvl w:val="2"/>
        <w:rPr>
          <w:rFonts w:ascii="Times New Roman" w:hAnsi="Times New Roman" w:cs="Times New Roman" w:eastAsiaTheme="minorEastAsia"/>
          <w:b/>
          <w:bCs/>
          <w:color w:val="000000" w:themeColor="text1"/>
          <w:w w:val="99"/>
          <w:kern w:val="2"/>
          <w:sz w:val="24"/>
          <w:szCs w:val="24"/>
          <w:lang w:val="zh-CN"/>
          <w14:textFill>
            <w14:solidFill>
              <w14:schemeClr w14:val="tx1"/>
            </w14:solidFill>
          </w14:textFill>
        </w:rPr>
      </w:pPr>
      <w:bookmarkStart w:id="529" w:name="_Toc117794626"/>
      <w:r>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t>6.2.2</w:t>
      </w:r>
      <w:r>
        <w:rPr>
          <w:rFonts w:ascii="Times New Roman" w:hAnsi="Times New Roman" w:cs="Times New Roman" w:eastAsiaTheme="minorEastAsia"/>
          <w:b/>
          <w:bCs/>
          <w:color w:val="000000" w:themeColor="text1"/>
          <w:w w:val="99"/>
          <w:kern w:val="2"/>
          <w:sz w:val="24"/>
          <w:szCs w:val="24"/>
          <w:lang w:val="zh-CN"/>
          <w14:textFill>
            <w14:solidFill>
              <w14:schemeClr w14:val="tx1"/>
            </w14:solidFill>
          </w14:textFill>
        </w:rPr>
        <w:t>地下水污染防治措施</w:t>
      </w:r>
      <w:bookmarkEnd w:id="529"/>
    </w:p>
    <w:p w14:paraId="6C9489A6">
      <w:pPr>
        <w:autoSpaceDE/>
        <w:autoSpaceDN/>
        <w:spacing w:line="500" w:lineRule="exact"/>
        <w:ind w:firstLine="474" w:firstLineChars="200"/>
        <w:jc w:val="both"/>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（1）源头控制措施</w:t>
      </w:r>
    </w:p>
    <w:p w14:paraId="1971940D">
      <w:pPr>
        <w:autoSpaceDE/>
        <w:autoSpaceDN/>
        <w:spacing w:line="500" w:lineRule="exact"/>
        <w:ind w:firstLine="474" w:firstLineChars="200"/>
        <w:jc w:val="both"/>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pPr>
      <w:r>
        <w:rPr>
          <w:rFonts w:hint="eastAsia"/>
          <w:color w:val="000000" w:themeColor="text1"/>
          <w:w w:val="99"/>
          <w:kern w:val="21"/>
          <w:sz w:val="24"/>
          <w:szCs w:val="24"/>
          <w:lang w:val="en-US" w:bidi="ar-SA"/>
          <w14:textFill>
            <w14:solidFill>
              <w14:schemeClr w14:val="tx1"/>
            </w14:solidFill>
          </w14:textFill>
        </w:rPr>
        <w:t>①</w:t>
      </w: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管线采用热熔式焊接和挤压式焊接，在施焊前进行检查。</w:t>
      </w:r>
    </w:p>
    <w:p w14:paraId="35497C2F">
      <w:pPr>
        <w:autoSpaceDE/>
        <w:autoSpaceDN/>
        <w:spacing w:line="500" w:lineRule="exact"/>
        <w:ind w:firstLine="474" w:firstLineChars="200"/>
        <w:jc w:val="both"/>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pPr>
      <w:r>
        <w:rPr>
          <w:rFonts w:hint="eastAsia"/>
          <w:color w:val="000000" w:themeColor="text1"/>
          <w:w w:val="99"/>
          <w:kern w:val="21"/>
          <w:sz w:val="24"/>
          <w:szCs w:val="24"/>
          <w:lang w:val="en-US" w:bidi="ar-SA"/>
          <w14:textFill>
            <w14:solidFill>
              <w14:schemeClr w14:val="tx1"/>
            </w14:solidFill>
          </w14:textFill>
        </w:rPr>
        <w:t>②</w:t>
      </w: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管道采用无缝钢管，内外进行防腐保温。</w:t>
      </w:r>
    </w:p>
    <w:p w14:paraId="5F2DD929">
      <w:pPr>
        <w:autoSpaceDE/>
        <w:autoSpaceDN/>
        <w:spacing w:line="500" w:lineRule="exact"/>
        <w:ind w:firstLine="473"/>
        <w:jc w:val="both"/>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pPr>
      <w:r>
        <w:rPr>
          <w:rFonts w:hint="eastAsia"/>
          <w:color w:val="000000" w:themeColor="text1"/>
          <w:w w:val="99"/>
          <w:kern w:val="21"/>
          <w:sz w:val="24"/>
          <w:szCs w:val="24"/>
          <w:lang w:val="en-US" w:bidi="ar-SA"/>
          <w14:textFill>
            <w14:solidFill>
              <w14:schemeClr w14:val="tx1"/>
            </w14:solidFill>
          </w14:textFill>
        </w:rPr>
        <w:t>③</w:t>
      </w:r>
      <w:r>
        <w:rPr>
          <w:rFonts w:ascii="Times New Roman" w:hAnsi="Times New Roman" w:cs="Times New Roman" w:eastAsiaTheme="minorEastAsia"/>
          <w:color w:val="000000" w:themeColor="text1"/>
          <w:w w:val="99"/>
          <w:kern w:val="21"/>
          <w:sz w:val="24"/>
          <w:szCs w:val="24"/>
          <w14:textFill>
            <w14:solidFill>
              <w14:schemeClr w14:val="tx1"/>
            </w14:solidFill>
          </w14:textFill>
        </w:rPr>
        <w:t>管道补口采用配套的补口带，补口层与原防腐层搭接宽度应不小于100mm。</w:t>
      </w:r>
    </w:p>
    <w:p w14:paraId="7CF0DBAC">
      <w:pPr>
        <w:autoSpaceDE/>
        <w:autoSpaceDN/>
        <w:spacing w:line="500" w:lineRule="exact"/>
        <w:ind w:firstLine="474" w:firstLineChars="200"/>
        <w:jc w:val="both"/>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pPr>
      <w:r>
        <w:rPr>
          <w:rFonts w:hint="eastAsia"/>
          <w:color w:val="000000" w:themeColor="text1"/>
          <w:w w:val="99"/>
          <w:kern w:val="21"/>
          <w:sz w:val="24"/>
          <w:szCs w:val="24"/>
          <w:lang w:val="en-US" w:bidi="ar-SA"/>
          <w14:textFill>
            <w14:solidFill>
              <w14:schemeClr w14:val="tx1"/>
            </w14:solidFill>
          </w14:textFill>
        </w:rPr>
        <w:t>④</w:t>
      </w: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运行期定期检查、维修项目所有管道、机泵等，确保各部分的使用性能。尤其在雨季更要认真检查，清除隐患。</w:t>
      </w:r>
    </w:p>
    <w:p w14:paraId="3F285743">
      <w:pPr>
        <w:autoSpaceDE/>
        <w:autoSpaceDN/>
        <w:spacing w:line="500" w:lineRule="exact"/>
        <w:ind w:firstLine="474" w:firstLineChars="200"/>
        <w:jc w:val="both"/>
        <w:rPr>
          <w:rFonts w:ascii="Times New Roman" w:hAnsi="Times New Roman" w:cs="Times New Roman" w:eastAsiaTheme="minorEastAsia"/>
          <w:color w:val="000000" w:themeColor="text1"/>
          <w:w w:val="99"/>
          <w:kern w:val="21"/>
          <w:sz w:val="24"/>
          <w:szCs w:val="24"/>
          <w14:textFill>
            <w14:solidFill>
              <w14:schemeClr w14:val="tx1"/>
            </w14:solidFill>
          </w14:textFill>
        </w:rPr>
      </w:pPr>
      <w:r>
        <w:rPr>
          <w:rFonts w:hint="eastAsia"/>
          <w:color w:val="000000" w:themeColor="text1"/>
          <w:w w:val="99"/>
          <w:kern w:val="21"/>
          <w:sz w:val="24"/>
          <w:szCs w:val="24"/>
          <w14:textFill>
            <w14:solidFill>
              <w14:schemeClr w14:val="tx1"/>
            </w14:solidFill>
          </w14:textFill>
        </w:rPr>
        <w:t>⑤</w:t>
      </w: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巡检过程一旦发现管道泄漏，应立即采取应急措施，关闭机泵，清理泄漏的原油。</w:t>
      </w:r>
    </w:p>
    <w:p w14:paraId="3A3AFC4C">
      <w:pPr>
        <w:autoSpaceDE/>
        <w:autoSpaceDN/>
        <w:spacing w:line="500" w:lineRule="exact"/>
        <w:ind w:firstLine="474" w:firstLineChars="200"/>
        <w:jc w:val="both"/>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（2）分区防渗措施</w:t>
      </w:r>
    </w:p>
    <w:p w14:paraId="03EDBE23">
      <w:pPr>
        <w:autoSpaceDE/>
        <w:autoSpaceDN/>
        <w:spacing w:line="500" w:lineRule="exact"/>
        <w:ind w:firstLine="474" w:firstLineChars="200"/>
        <w:jc w:val="both"/>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项目分区防渗具体见表6.2-1，项目分区防渗图见图附图17。</w:t>
      </w:r>
    </w:p>
    <w:p w14:paraId="52A405FA">
      <w:pPr>
        <w:autoSpaceDE/>
        <w:autoSpaceDN/>
        <w:spacing w:line="500" w:lineRule="exact"/>
        <w:ind w:firstLine="476" w:firstLineChars="200"/>
        <w:jc w:val="both"/>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1"/>
          <w:sz w:val="24"/>
          <w:szCs w:val="24"/>
          <w:lang w:val="en-US" w:bidi="ar-SA"/>
          <w14:textFill>
            <w14:solidFill>
              <w14:schemeClr w14:val="tx1"/>
            </w14:solidFill>
          </w14:textFill>
        </w:rPr>
        <w:t>表6.2-1</w:t>
      </w:r>
      <w:r>
        <w:rPr>
          <w:rFonts w:ascii="Times New Roman" w:hAnsi="Times New Roman" w:cs="Times New Roman" w:eastAsiaTheme="minorEastAsia"/>
          <w:b/>
          <w:color w:val="000000" w:themeColor="text1"/>
          <w:w w:val="99"/>
          <w:sz w:val="24"/>
          <w:szCs w:val="24"/>
          <w:lang w:val="en-US" w:bidi="ar-SA"/>
          <w14:textFill>
            <w14:solidFill>
              <w14:schemeClr w14:val="tx1"/>
            </w14:solidFill>
          </w14:textFill>
        </w:rPr>
        <w:t xml:space="preserve">    项目污染防渗区划分</w:t>
      </w:r>
    </w:p>
    <w:tbl>
      <w:tblPr>
        <w:tblStyle w:val="8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7"/>
        <w:gridCol w:w="1248"/>
        <w:gridCol w:w="3243"/>
        <w:gridCol w:w="3868"/>
      </w:tblGrid>
      <w:tr w14:paraId="63813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vAlign w:val="center"/>
          </w:tcPr>
          <w:p w14:paraId="798629AC">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类别</w:t>
            </w:r>
          </w:p>
        </w:tc>
        <w:tc>
          <w:tcPr>
            <w:tcW w:w="672" w:type="pct"/>
            <w:vAlign w:val="center"/>
          </w:tcPr>
          <w:p w14:paraId="2AF9B43B">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项目涉及区域</w:t>
            </w:r>
          </w:p>
        </w:tc>
        <w:tc>
          <w:tcPr>
            <w:tcW w:w="1746" w:type="pct"/>
            <w:vAlign w:val="center"/>
          </w:tcPr>
          <w:p w14:paraId="488401F1">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防渗措施</w:t>
            </w:r>
          </w:p>
        </w:tc>
        <w:tc>
          <w:tcPr>
            <w:tcW w:w="2082" w:type="pct"/>
            <w:vAlign w:val="center"/>
          </w:tcPr>
          <w:p w14:paraId="0B4B5179">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防渗要求</w:t>
            </w:r>
          </w:p>
        </w:tc>
      </w:tr>
      <w:tr w14:paraId="30D0A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vAlign w:val="center"/>
          </w:tcPr>
          <w:p w14:paraId="6F2981A7">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重点防渗区</w:t>
            </w:r>
          </w:p>
        </w:tc>
        <w:tc>
          <w:tcPr>
            <w:tcW w:w="672" w:type="pct"/>
            <w:vAlign w:val="center"/>
          </w:tcPr>
          <w:p w14:paraId="265FC9A6">
            <w:pPr>
              <w:autoSpaceDE/>
              <w:autoSpaceDN/>
              <w:snapToGrid w:val="0"/>
              <w:spacing w:line="360" w:lineRule="exact"/>
              <w:jc w:val="both"/>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集油管道</w:t>
            </w:r>
          </w:p>
        </w:tc>
        <w:tc>
          <w:tcPr>
            <w:tcW w:w="1746" w:type="pct"/>
            <w:vAlign w:val="center"/>
          </w:tcPr>
          <w:p w14:paraId="43C7A106">
            <w:pPr>
              <w:widowControl/>
              <w:autoSpaceDE/>
              <w:autoSpaceDN/>
              <w:adjustRightInd w:val="0"/>
              <w:snapToGrid w:val="0"/>
              <w:jc w:val="both"/>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管道采用无缝钢管、管道设计采用管道内防腐、管道的外防腐等级采用特加强级、管道的连接方式采用焊接</w:t>
            </w:r>
          </w:p>
        </w:tc>
        <w:tc>
          <w:tcPr>
            <w:tcW w:w="2082" w:type="pct"/>
            <w:vAlign w:val="center"/>
          </w:tcPr>
          <w:p w14:paraId="5C79341A">
            <w:pPr>
              <w:widowControl/>
              <w:autoSpaceDE/>
              <w:autoSpaceDN/>
              <w:adjustRightInd w:val="0"/>
              <w:snapToGrid w:val="0"/>
              <w:jc w:val="both"/>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满足《环境影响评价技术导则 地下水环境》（HJ610-2016）中关于重点防渗区等效黏土防渗层Mb≥6.0m，K≤1×10</w:t>
            </w:r>
            <w:r>
              <w:rPr>
                <w:rFonts w:ascii="Times New Roman" w:hAnsi="Times New Roman" w:cs="Times New Roman" w:eastAsiaTheme="minorEastAsia"/>
                <w:bCs/>
                <w:color w:val="000000" w:themeColor="text1"/>
                <w:w w:val="99"/>
                <w:kern w:val="2"/>
                <w:sz w:val="21"/>
                <w:szCs w:val="21"/>
                <w:vertAlign w:val="superscript"/>
                <w:lang w:val="en-US" w:bidi="ar-SA"/>
                <w14:textFill>
                  <w14:solidFill>
                    <w14:schemeClr w14:val="tx1"/>
                  </w14:solidFill>
                </w14:textFill>
              </w:rPr>
              <w:t>-7</w:t>
            </w: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cm/s防渗技术要求</w:t>
            </w:r>
          </w:p>
        </w:tc>
      </w:tr>
      <w:tr w14:paraId="2E31B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9" w:type="pct"/>
            <w:vAlign w:val="center"/>
          </w:tcPr>
          <w:p w14:paraId="5011EDCF">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一般防渗区</w:t>
            </w:r>
          </w:p>
        </w:tc>
        <w:tc>
          <w:tcPr>
            <w:tcW w:w="672" w:type="pct"/>
            <w:vAlign w:val="center"/>
          </w:tcPr>
          <w:p w14:paraId="5ADD0C91">
            <w:pPr>
              <w:autoSpaceDE/>
              <w:autoSpaceDN/>
              <w:snapToGrid w:val="0"/>
              <w:spacing w:line="360" w:lineRule="exact"/>
              <w:jc w:val="both"/>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混输阀组间</w:t>
            </w:r>
          </w:p>
        </w:tc>
        <w:tc>
          <w:tcPr>
            <w:tcW w:w="1746" w:type="pct"/>
            <w:vAlign w:val="center"/>
          </w:tcPr>
          <w:p w14:paraId="6D3805DE">
            <w:pPr>
              <w:widowControl/>
              <w:autoSpaceDE/>
              <w:autoSpaceDN/>
              <w:adjustRightInd w:val="0"/>
              <w:snapToGrid w:val="0"/>
              <w:jc w:val="both"/>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14:textFill>
                  <w14:solidFill>
                    <w14:schemeClr w14:val="tx1"/>
                  </w14:solidFill>
                </w14:textFill>
              </w:rPr>
              <w:t>采用基底层压实+土工布+抗渗混凝土层进行防渗</w:t>
            </w:r>
          </w:p>
        </w:tc>
        <w:tc>
          <w:tcPr>
            <w:tcW w:w="2082" w:type="pct"/>
            <w:vAlign w:val="center"/>
          </w:tcPr>
          <w:p w14:paraId="194604C5">
            <w:pPr>
              <w:widowControl/>
              <w:autoSpaceDE/>
              <w:autoSpaceDN/>
              <w:adjustRightInd w:val="0"/>
              <w:snapToGrid w:val="0"/>
              <w:jc w:val="both"/>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14:textFill>
                  <w14:solidFill>
                    <w14:schemeClr w14:val="tx1"/>
                  </w14:solidFill>
                </w14:textFill>
              </w:rPr>
              <w:t>满足《环境影响评价技术导则 地下水环境》（HJ610-2016）中关于一般防渗区等效黏土防渗层Mb≥1.5m，K≤1×10</w:t>
            </w:r>
            <w:r>
              <w:rPr>
                <w:rFonts w:ascii="Times New Roman" w:hAnsi="Times New Roman" w:cs="Times New Roman" w:eastAsiaTheme="minorEastAsia"/>
                <w:bCs/>
                <w:color w:val="000000" w:themeColor="text1"/>
                <w:w w:val="99"/>
                <w:kern w:val="2"/>
                <w:sz w:val="21"/>
                <w:szCs w:val="21"/>
                <w:vertAlign w:val="superscript"/>
                <w14:textFill>
                  <w14:solidFill>
                    <w14:schemeClr w14:val="tx1"/>
                  </w14:solidFill>
                </w14:textFill>
              </w:rPr>
              <w:t>-7</w:t>
            </w:r>
            <w:r>
              <w:rPr>
                <w:rFonts w:ascii="Times New Roman" w:hAnsi="Times New Roman" w:cs="Times New Roman" w:eastAsiaTheme="minorEastAsia"/>
                <w:bCs/>
                <w:color w:val="000000" w:themeColor="text1"/>
                <w:w w:val="99"/>
                <w:kern w:val="2"/>
                <w:sz w:val="21"/>
                <w:szCs w:val="21"/>
                <w14:textFill>
                  <w14:solidFill>
                    <w14:schemeClr w14:val="tx1"/>
                  </w14:solidFill>
                </w14:textFill>
              </w:rPr>
              <w:t>cm/s防渗技术要求</w:t>
            </w:r>
          </w:p>
        </w:tc>
      </w:tr>
    </w:tbl>
    <w:p w14:paraId="058CFC21">
      <w:pPr>
        <w:autoSpaceDE/>
        <w:autoSpaceDN/>
        <w:spacing w:line="500" w:lineRule="exact"/>
        <w:ind w:firstLine="474" w:firstLineChars="200"/>
        <w:jc w:val="both"/>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（3）地下水环境跟踪监测</w:t>
      </w:r>
    </w:p>
    <w:p w14:paraId="0AEAD340">
      <w:pPr>
        <w:autoSpaceDE/>
        <w:autoSpaceDN/>
        <w:spacing w:line="500" w:lineRule="exact"/>
        <w:ind w:firstLine="474" w:firstLineChars="200"/>
        <w:jc w:val="both"/>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定期对地下水环境进行监测，结合《排污单位自行监测技术指南 陆上石油天然气开采工业》（HJ1248-2022）制定本项目运行期监测计划，监测委托具有资质的单位进行，存档包括建设项目所在地及其影响区地下水环境跟踪监测数据，各管线及污染防控措施等设施的运行状况、维护记录，同时对监测结果进行信息公开。</w:t>
      </w:r>
    </w:p>
    <w:p w14:paraId="05560D50">
      <w:pPr>
        <w:autoSpaceDE/>
        <w:autoSpaceDN/>
        <w:spacing w:line="500" w:lineRule="exact"/>
        <w:ind w:firstLine="474" w:firstLineChars="200"/>
        <w:jc w:val="both"/>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项目区域潜水流向为从西北向东南，根据项目工程的分布情况，在上游的设1个潜水背景监测点，在建设项目区域及区域下游设2个潜水跟踪监测点，具体设置情况见表6.2-2。地下水跟踪监测布点图附图18。</w:t>
      </w:r>
    </w:p>
    <w:p w14:paraId="514956BB">
      <w:pPr>
        <w:autoSpaceDE/>
        <w:autoSpaceDN/>
        <w:spacing w:line="500" w:lineRule="exact"/>
        <w:ind w:firstLine="476" w:firstLineChars="200"/>
        <w:jc w:val="both"/>
        <w:rPr>
          <w:rFonts w:ascii="Times New Roman" w:hAnsi="Times New Roman" w:cs="Times New Roman" w:eastAsiaTheme="minorEastAsia"/>
          <w:b/>
          <w:bCs/>
          <w:color w:val="000000" w:themeColor="text1"/>
          <w:w w:val="99"/>
          <w:kern w:val="21"/>
          <w:sz w:val="24"/>
          <w:szCs w:val="20"/>
          <w:lang w:val="en-US" w:bidi="ar-SA"/>
          <w14:textFill>
            <w14:solidFill>
              <w14:schemeClr w14:val="tx1"/>
            </w14:solidFill>
          </w14:textFill>
        </w:rPr>
      </w:pPr>
      <w:r>
        <w:rPr>
          <w:rFonts w:ascii="Times New Roman" w:hAnsi="Times New Roman" w:cs="Times New Roman" w:eastAsiaTheme="minorEastAsia"/>
          <w:b/>
          <w:color w:val="000000" w:themeColor="text1"/>
          <w:w w:val="99"/>
          <w:kern w:val="21"/>
          <w:sz w:val="24"/>
          <w:szCs w:val="24"/>
          <w:lang w:val="en-US" w:bidi="ar-SA"/>
          <w14:textFill>
            <w14:solidFill>
              <w14:schemeClr w14:val="tx1"/>
            </w14:solidFill>
          </w14:textFill>
        </w:rPr>
        <w:t>表6.2-2</w:t>
      </w:r>
      <w:r>
        <w:rPr>
          <w:rFonts w:ascii="Times New Roman" w:hAnsi="Times New Roman" w:cs="Times New Roman" w:eastAsiaTheme="minorEastAsia"/>
          <w:b/>
          <w:bCs/>
          <w:color w:val="000000" w:themeColor="text1"/>
          <w:w w:val="99"/>
          <w:kern w:val="21"/>
          <w:sz w:val="24"/>
          <w:szCs w:val="20"/>
          <w:lang w:val="en-US" w:bidi="ar-SA"/>
          <w14:textFill>
            <w14:solidFill>
              <w14:schemeClr w14:val="tx1"/>
            </w14:solidFill>
          </w14:textFill>
        </w:rPr>
        <w:t xml:space="preserve">      地下水环境监测计划表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701"/>
        <w:gridCol w:w="1436"/>
        <w:gridCol w:w="1842"/>
        <w:gridCol w:w="2002"/>
        <w:gridCol w:w="691"/>
        <w:gridCol w:w="704"/>
        <w:gridCol w:w="819"/>
      </w:tblGrid>
      <w:tr w14:paraId="706DA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7" w:type="pct"/>
            <w:vAlign w:val="center"/>
          </w:tcPr>
          <w:p w14:paraId="05912545">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点位</w:t>
            </w:r>
          </w:p>
        </w:tc>
        <w:tc>
          <w:tcPr>
            <w:tcW w:w="377" w:type="pct"/>
            <w:vAlign w:val="center"/>
          </w:tcPr>
          <w:p w14:paraId="2C4F79AC">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功能</w:t>
            </w:r>
          </w:p>
        </w:tc>
        <w:tc>
          <w:tcPr>
            <w:tcW w:w="773" w:type="pct"/>
            <w:vAlign w:val="center"/>
          </w:tcPr>
          <w:p w14:paraId="7FFB7866">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监测因子</w:t>
            </w:r>
          </w:p>
        </w:tc>
        <w:tc>
          <w:tcPr>
            <w:tcW w:w="992" w:type="pct"/>
            <w:vAlign w:val="center"/>
          </w:tcPr>
          <w:p w14:paraId="6D46D4BE">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坐标</w:t>
            </w:r>
          </w:p>
        </w:tc>
        <w:tc>
          <w:tcPr>
            <w:tcW w:w="1078" w:type="pct"/>
            <w:vAlign w:val="center"/>
          </w:tcPr>
          <w:p w14:paraId="515C683F">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位置</w:t>
            </w:r>
          </w:p>
        </w:tc>
        <w:tc>
          <w:tcPr>
            <w:tcW w:w="372" w:type="pct"/>
            <w:vAlign w:val="center"/>
          </w:tcPr>
          <w:p w14:paraId="61181007">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监测层位</w:t>
            </w:r>
          </w:p>
        </w:tc>
        <w:tc>
          <w:tcPr>
            <w:tcW w:w="379" w:type="pct"/>
            <w:vAlign w:val="center"/>
          </w:tcPr>
          <w:p w14:paraId="732BBFE5">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监测频次</w:t>
            </w:r>
          </w:p>
        </w:tc>
        <w:tc>
          <w:tcPr>
            <w:tcW w:w="441" w:type="pct"/>
          </w:tcPr>
          <w:p w14:paraId="0B3B0EF8">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备注</w:t>
            </w:r>
          </w:p>
        </w:tc>
      </w:tr>
      <w:tr w14:paraId="60A56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7" w:type="pct"/>
            <w:vAlign w:val="center"/>
          </w:tcPr>
          <w:p w14:paraId="3AD9A202">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好尔陶牧场苏家水井</w:t>
            </w:r>
          </w:p>
        </w:tc>
        <w:tc>
          <w:tcPr>
            <w:tcW w:w="377" w:type="pct"/>
            <w:vAlign w:val="center"/>
          </w:tcPr>
          <w:p w14:paraId="4A290536">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背景监测点</w:t>
            </w:r>
          </w:p>
        </w:tc>
        <w:tc>
          <w:tcPr>
            <w:tcW w:w="773" w:type="pct"/>
            <w:vMerge w:val="restart"/>
            <w:vAlign w:val="center"/>
          </w:tcPr>
          <w:p w14:paraId="22B9C455">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pH、</w:t>
            </w: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石油类、石油烃（</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C</w:t>
            </w:r>
            <w:r>
              <w:rPr>
                <w:rFonts w:ascii="Times New Roman" w:hAnsi="Times New Roman" w:cs="Times New Roman" w:eastAsiaTheme="minorEastAsia"/>
                <w:color w:val="000000" w:themeColor="text1"/>
                <w:w w:val="99"/>
                <w:kern w:val="2"/>
                <w:sz w:val="21"/>
                <w:szCs w:val="21"/>
                <w:vertAlign w:val="subscript"/>
                <w:lang w:val="en-US" w:bidi="ar-SA"/>
                <w14:textFill>
                  <w14:solidFill>
                    <w14:schemeClr w14:val="tx1"/>
                  </w14:solidFill>
                </w14:textFill>
              </w:rPr>
              <w:t>6</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~C</w:t>
            </w:r>
            <w:r>
              <w:rPr>
                <w:rFonts w:ascii="Times New Roman" w:hAnsi="Times New Roman" w:cs="Times New Roman" w:eastAsiaTheme="minorEastAsia"/>
                <w:color w:val="000000" w:themeColor="text1"/>
                <w:w w:val="99"/>
                <w:kern w:val="2"/>
                <w:sz w:val="21"/>
                <w:szCs w:val="21"/>
                <w:vertAlign w:val="subscript"/>
                <w:lang w:val="en-US" w:bidi="ar-SA"/>
                <w14:textFill>
                  <w14:solidFill>
                    <w14:schemeClr w14:val="tx1"/>
                  </w14:solidFill>
                </w14:textFill>
              </w:rPr>
              <w:t>9</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）、石油烃（C</w:t>
            </w:r>
            <w:r>
              <w:rPr>
                <w:rFonts w:ascii="Times New Roman" w:hAnsi="Times New Roman" w:cs="Times New Roman" w:eastAsiaTheme="minorEastAsia"/>
                <w:color w:val="000000" w:themeColor="text1"/>
                <w:w w:val="99"/>
                <w:kern w:val="2"/>
                <w:sz w:val="21"/>
                <w:szCs w:val="21"/>
                <w:vertAlign w:val="subscript"/>
                <w:lang w:val="en-US" w:bidi="ar-SA"/>
                <w14:textFill>
                  <w14:solidFill>
                    <w14:schemeClr w14:val="tx1"/>
                  </w14:solidFill>
                </w14:textFill>
              </w:rPr>
              <w:t>10</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~C</w:t>
            </w:r>
            <w:r>
              <w:rPr>
                <w:rFonts w:ascii="Times New Roman" w:hAnsi="Times New Roman" w:cs="Times New Roman" w:eastAsiaTheme="minorEastAsia"/>
                <w:color w:val="000000" w:themeColor="text1"/>
                <w:w w:val="99"/>
                <w:kern w:val="2"/>
                <w:sz w:val="21"/>
                <w:szCs w:val="21"/>
                <w:vertAlign w:val="subscript"/>
                <w:lang w:val="en-US" w:bidi="ar-SA"/>
                <w14:textFill>
                  <w14:solidFill>
                    <w14:schemeClr w14:val="tx1"/>
                  </w14:solidFill>
                </w14:textFill>
              </w:rPr>
              <w:t>40</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）、汞、砷、六价铬、</w:t>
            </w: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挥发酚、氨氮、耗氧量</w:t>
            </w:r>
          </w:p>
        </w:tc>
        <w:tc>
          <w:tcPr>
            <w:tcW w:w="992" w:type="pct"/>
            <w:vAlign w:val="center"/>
          </w:tcPr>
          <w:p w14:paraId="4BADB0F1">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东经124°24′25.92″，北纬46°22′57.32″</w:t>
            </w:r>
          </w:p>
        </w:tc>
        <w:tc>
          <w:tcPr>
            <w:tcW w:w="1078" w:type="pct"/>
            <w:vAlign w:val="center"/>
          </w:tcPr>
          <w:p w14:paraId="6169F301">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11号平台至龙一联合站集油管道西北侧2915m</w:t>
            </w:r>
          </w:p>
        </w:tc>
        <w:tc>
          <w:tcPr>
            <w:tcW w:w="372" w:type="pct"/>
            <w:vAlign w:val="center"/>
          </w:tcPr>
          <w:p w14:paraId="389C44F5">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潜水</w:t>
            </w:r>
          </w:p>
        </w:tc>
        <w:tc>
          <w:tcPr>
            <w:tcW w:w="379" w:type="pct"/>
            <w:vMerge w:val="restart"/>
            <w:vAlign w:val="center"/>
          </w:tcPr>
          <w:p w14:paraId="5E0E2B71">
            <w:pPr>
              <w:autoSpaceDE/>
              <w:autoSpaceDN/>
              <w:adjustRightInd w:val="0"/>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1次/半年</w:t>
            </w:r>
          </w:p>
        </w:tc>
        <w:tc>
          <w:tcPr>
            <w:tcW w:w="441" w:type="pct"/>
          </w:tcPr>
          <w:p w14:paraId="4051B33F">
            <w:pPr>
              <w:autoSpaceDE/>
              <w:autoSpaceDN/>
              <w:adjustRightInd w:val="0"/>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依托</w:t>
            </w:r>
          </w:p>
        </w:tc>
      </w:tr>
      <w:tr w14:paraId="472E6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7" w:type="pct"/>
            <w:vAlign w:val="center"/>
          </w:tcPr>
          <w:p w14:paraId="45C5D988">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杏树岗村张家水井</w:t>
            </w:r>
          </w:p>
        </w:tc>
        <w:tc>
          <w:tcPr>
            <w:tcW w:w="377" w:type="pct"/>
            <w:vAlign w:val="center"/>
          </w:tcPr>
          <w:p w14:paraId="52371F15">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跟踪监测点</w:t>
            </w:r>
          </w:p>
        </w:tc>
        <w:tc>
          <w:tcPr>
            <w:tcW w:w="773" w:type="pct"/>
            <w:vMerge w:val="continue"/>
            <w:vAlign w:val="center"/>
          </w:tcPr>
          <w:p w14:paraId="27B038F4">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992" w:type="pct"/>
            <w:vAlign w:val="center"/>
          </w:tcPr>
          <w:p w14:paraId="2E85B7B1">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东经124°25′45.192″，北纬46°19′10.704″</w:t>
            </w:r>
          </w:p>
        </w:tc>
        <w:tc>
          <w:tcPr>
            <w:tcW w:w="1078" w:type="pct"/>
            <w:vAlign w:val="center"/>
          </w:tcPr>
          <w:p w14:paraId="5AE4CCFA">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龙27-斜6拉油点至新建混输阀组间集油管道南侧70m</w:t>
            </w:r>
          </w:p>
        </w:tc>
        <w:tc>
          <w:tcPr>
            <w:tcW w:w="372" w:type="pct"/>
            <w:vAlign w:val="center"/>
          </w:tcPr>
          <w:p w14:paraId="16987E32">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潜水</w:t>
            </w:r>
          </w:p>
        </w:tc>
        <w:tc>
          <w:tcPr>
            <w:tcW w:w="379" w:type="pct"/>
            <w:vMerge w:val="continue"/>
            <w:vAlign w:val="center"/>
          </w:tcPr>
          <w:p w14:paraId="732E02CD">
            <w:pPr>
              <w:autoSpaceDE/>
              <w:autoSpaceDN/>
              <w:adjustRightInd w:val="0"/>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441" w:type="pct"/>
          </w:tcPr>
          <w:p w14:paraId="1D56B798">
            <w:pPr>
              <w:autoSpaceDE/>
              <w:autoSpaceDN/>
              <w:adjustRightInd w:val="0"/>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依托</w:t>
            </w:r>
          </w:p>
        </w:tc>
      </w:tr>
      <w:tr w14:paraId="43A34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7" w:type="pct"/>
            <w:vAlign w:val="center"/>
          </w:tcPr>
          <w:p w14:paraId="5B17B26C">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区块下游跟踪监测井</w:t>
            </w:r>
          </w:p>
        </w:tc>
        <w:tc>
          <w:tcPr>
            <w:tcW w:w="377" w:type="pct"/>
            <w:vAlign w:val="center"/>
          </w:tcPr>
          <w:p w14:paraId="3724BFE3">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跟踪监测点</w:t>
            </w:r>
          </w:p>
        </w:tc>
        <w:tc>
          <w:tcPr>
            <w:tcW w:w="773" w:type="pct"/>
            <w:vMerge w:val="continue"/>
            <w:vAlign w:val="center"/>
          </w:tcPr>
          <w:p w14:paraId="17E23B76">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992" w:type="pct"/>
            <w:vAlign w:val="center"/>
          </w:tcPr>
          <w:p w14:paraId="5D0FE918">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东经</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 xml:space="preserve"> 124°24′31.428″，北纬46°17′7.368″</w:t>
            </w:r>
          </w:p>
        </w:tc>
        <w:tc>
          <w:tcPr>
            <w:tcW w:w="1078" w:type="pct"/>
            <w:vAlign w:val="center"/>
          </w:tcPr>
          <w:p w14:paraId="466E25A5">
            <w:pPr>
              <w:autoSpaceDE/>
              <w:autoSpaceDN/>
              <w:snapToGrid w:val="0"/>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
                <w14:textFill>
                  <w14:solidFill>
                    <w14:schemeClr w14:val="tx1"/>
                  </w14:solidFill>
                </w14:textFill>
              </w:rPr>
              <w:t>9号拉油点至汇合点5集油管道</w:t>
            </w:r>
            <w:r>
              <w:rPr>
                <w:rFonts w:ascii="Times New Roman" w:hAnsi="Times New Roman" w:cs="Times New Roman" w:eastAsiaTheme="minorEastAsia"/>
                <w:color w:val="000000" w:themeColor="text1"/>
                <w:w w:val="99"/>
                <w:kern w:val="2"/>
                <w:sz w:val="21"/>
                <w:szCs w:val="21"/>
                <w:lang w:val="en-US" w:bidi="ar"/>
                <w14:textFill>
                  <w14:solidFill>
                    <w14:schemeClr w14:val="tx1"/>
                  </w14:solidFill>
                </w14:textFill>
              </w:rPr>
              <w:t>东南侧165m</w:t>
            </w:r>
          </w:p>
        </w:tc>
        <w:tc>
          <w:tcPr>
            <w:tcW w:w="372" w:type="pct"/>
            <w:vAlign w:val="center"/>
          </w:tcPr>
          <w:p w14:paraId="0AA70250">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潜水</w:t>
            </w:r>
          </w:p>
        </w:tc>
        <w:tc>
          <w:tcPr>
            <w:tcW w:w="379" w:type="pct"/>
            <w:vMerge w:val="continue"/>
            <w:vAlign w:val="center"/>
          </w:tcPr>
          <w:p w14:paraId="44106299">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441" w:type="pct"/>
          </w:tcPr>
          <w:p w14:paraId="5296BC7D">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新建</w:t>
            </w:r>
          </w:p>
        </w:tc>
      </w:tr>
    </w:tbl>
    <w:p w14:paraId="6B2E3CD0">
      <w:pPr>
        <w:autoSpaceDE/>
        <w:autoSpaceDN/>
        <w:spacing w:line="500" w:lineRule="exact"/>
        <w:ind w:firstLine="474" w:firstLineChars="200"/>
        <w:jc w:val="both"/>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综上所述，通过采取以上地下水防治措施，不会对地下水环境产生不良影响，项目的水污染防治措施技术合理可行。</w:t>
      </w:r>
    </w:p>
    <w:p w14:paraId="1A5642AE">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530" w:name="_Toc117794627"/>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6.3 噪声污染控制措施</w:t>
      </w:r>
      <w:bookmarkEnd w:id="530"/>
    </w:p>
    <w:p w14:paraId="5A4E7E7C">
      <w:pPr>
        <w:autoSpaceDE/>
        <w:autoSpaceDN/>
        <w:spacing w:before="60" w:after="60" w:line="440" w:lineRule="exact"/>
        <w:jc w:val="both"/>
        <w:outlineLvl w:val="2"/>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pPr>
      <w:bookmarkStart w:id="531" w:name="_Toc117794628"/>
      <w:r>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t>6.3.1</w:t>
      </w:r>
      <w:r>
        <w:rPr>
          <w:rFonts w:ascii="Times New Roman" w:hAnsi="Times New Roman" w:cs="Times New Roman" w:eastAsiaTheme="minorEastAsia"/>
          <w:b/>
          <w:bCs/>
          <w:color w:val="000000" w:themeColor="text1"/>
          <w:w w:val="99"/>
          <w:kern w:val="2"/>
          <w:sz w:val="24"/>
          <w:szCs w:val="24"/>
          <w:lang w:val="en-US" w:bidi="ar-SA"/>
          <w14:textFill>
            <w14:solidFill>
              <w14:schemeClr w14:val="tx1"/>
            </w14:solidFill>
          </w14:textFill>
        </w:rPr>
        <w:t>施工期</w:t>
      </w:r>
      <w:bookmarkEnd w:id="531"/>
    </w:p>
    <w:p w14:paraId="7A48C70D">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本工程噪声污染控制措施主要为减轻施工期管线施工时产生的噪声，管线工程运行期无噪声污染排放。</w:t>
      </w:r>
    </w:p>
    <w:p w14:paraId="5509469E">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（1）合理安排施工时间制定科学的施工计划，应尽可能避免大量高噪声设备同时使用。此外，噪声大冲击性强并伴有强烈振动的设备的施工时间安排在白天，禁止夜间(22：00至次日6：00施工)。</w:t>
      </w:r>
    </w:p>
    <w:p w14:paraId="5FE6EFD7">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2）合理布局施工现场，对施工线路实行分段施工的组织方式，合理安排施工计划和施工方法，合理布置施工现场，尽量将高噪声机械布置远离环境敏感点一侧，同时，避免在同一地点安排较多的动力机械，造成局部声级过高。</w:t>
      </w:r>
    </w:p>
    <w:p w14:paraId="398C0025">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（3）设备选型上尽量采用低噪声设备，高噪声机械安装消音器等，同时做好机械设备日常维护工作。</w:t>
      </w:r>
    </w:p>
    <w:p w14:paraId="4AEE5AA4">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（4）闲置不用的设备应立即关闭，运输车辆进入现场应减速，并减少鸣笛。</w:t>
      </w:r>
    </w:p>
    <w:p w14:paraId="35181F31">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（5）运输车辆选择避开居民点路线，进入施工现场，车辆速度不超过每小时20km，尽量不鸣笛。</w:t>
      </w:r>
    </w:p>
    <w:p w14:paraId="79717DED">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通过采取上述措施，能够确保施工场界噪声满足《建筑施工场界环境噪声排放标准》(GB12523-2011)要求，不会对声环境产生较大影响，施工期噪声治理措施可行。</w:t>
      </w:r>
    </w:p>
    <w:p w14:paraId="4D1230DB">
      <w:pPr>
        <w:autoSpaceDE/>
        <w:autoSpaceDN/>
        <w:spacing w:before="60" w:after="60" w:line="440" w:lineRule="exact"/>
        <w:jc w:val="both"/>
        <w:outlineLvl w:val="2"/>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pPr>
      <w:bookmarkStart w:id="532" w:name="_Toc117794629"/>
      <w:r>
        <w:rPr>
          <w:rFonts w:ascii="Times New Roman" w:hAnsi="Times New Roman" w:cs="Times New Roman" w:eastAsiaTheme="minorEastAsia"/>
          <w:b/>
          <w:bCs/>
          <w:color w:val="000000" w:themeColor="text1"/>
          <w:w w:val="99"/>
          <w:kern w:val="2"/>
          <w:sz w:val="24"/>
          <w:szCs w:val="24"/>
          <w:lang w:val="zh-CN" w:eastAsia="zh-CN" w:bidi="ar-SA"/>
          <w14:textFill>
            <w14:solidFill>
              <w14:schemeClr w14:val="tx1"/>
            </w14:solidFill>
          </w14:textFill>
        </w:rPr>
        <w:t>6.3.2</w:t>
      </w:r>
      <w:r>
        <w:rPr>
          <w:rFonts w:ascii="Times New Roman" w:hAnsi="Times New Roman" w:cs="Times New Roman" w:eastAsiaTheme="minorEastAsia"/>
          <w:b/>
          <w:bCs/>
          <w:color w:val="000000" w:themeColor="text1"/>
          <w:w w:val="99"/>
          <w:kern w:val="2"/>
          <w:sz w:val="24"/>
          <w:szCs w:val="24"/>
          <w:lang w:val="en-US" w:bidi="ar-SA"/>
          <w14:textFill>
            <w14:solidFill>
              <w14:schemeClr w14:val="tx1"/>
            </w14:solidFill>
          </w14:textFill>
        </w:rPr>
        <w:t>运营期</w:t>
      </w:r>
      <w:bookmarkEnd w:id="532"/>
    </w:p>
    <w:p w14:paraId="2197F5A0">
      <w:pPr>
        <w:autoSpaceDE/>
        <w:autoSpaceDN/>
        <w:spacing w:line="440" w:lineRule="exact"/>
        <w:ind w:firstLine="474" w:firstLineChars="200"/>
        <w:jc w:val="both"/>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pPr>
      <w:bookmarkStart w:id="533" w:name="_Hlk80771741"/>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（1）混输泵尽可能选用低噪声</w:t>
      </w:r>
      <w:r>
        <w:rPr>
          <w:rFonts w:ascii="Times New Roman" w:hAnsi="Times New Roman" w:cs="Times New Roman" w:eastAsiaTheme="minorEastAsia"/>
          <w:color w:val="000000" w:themeColor="text1"/>
          <w:w w:val="99"/>
          <w:kern w:val="21"/>
          <w:sz w:val="24"/>
          <w:szCs w:val="24"/>
          <w:lang w:val="en-US"/>
          <w14:textFill>
            <w14:solidFill>
              <w14:schemeClr w14:val="tx1"/>
            </w14:solidFill>
          </w14:textFill>
        </w:rPr>
        <w:t>、低能耗的生产设备</w:t>
      </w: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w:t>
      </w:r>
    </w:p>
    <w:p w14:paraId="5DB6ACBA">
      <w:pPr>
        <w:autoSpaceDE/>
        <w:autoSpaceDN/>
        <w:spacing w:line="440" w:lineRule="exact"/>
        <w:ind w:firstLine="474" w:firstLineChars="200"/>
        <w:jc w:val="both"/>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（2）对混输泵采取相应的减振、隔声等降噪措施</w:t>
      </w:r>
      <w:r>
        <w:rPr>
          <w:rFonts w:hint="eastAsia" w:ascii="Times New Roman" w:hAnsi="Times New Roman" w:cs="Times New Roman" w:eastAsiaTheme="minorEastAsia"/>
          <w:color w:val="000000" w:themeColor="text1"/>
          <w:w w:val="99"/>
          <w:kern w:val="21"/>
          <w:sz w:val="24"/>
          <w:szCs w:val="24"/>
          <w:lang w:val="en-US" w:bidi="ar-SA"/>
          <w14:textFill>
            <w14:solidFill>
              <w14:schemeClr w14:val="tx1"/>
            </w14:solidFill>
          </w14:textFill>
        </w:rPr>
        <w:t>，</w:t>
      </w: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确保混输阀组间厂界噪声满足《工业企业厂界环境噪声排放标准》（GB12348-2008）2类标准要求；</w:t>
      </w:r>
    </w:p>
    <w:p w14:paraId="440D3EDA">
      <w:pPr>
        <w:autoSpaceDE/>
        <w:autoSpaceDN/>
        <w:spacing w:line="440" w:lineRule="exact"/>
        <w:ind w:firstLine="474" w:firstLineChars="200"/>
        <w:jc w:val="both"/>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（3）注意对设备的维护保养，保证设备保持在最佳运行状态，降低噪声源强度。</w:t>
      </w:r>
    </w:p>
    <w:p w14:paraId="31A11F8A">
      <w:pPr>
        <w:autoSpaceDE/>
        <w:autoSpaceDN/>
        <w:spacing w:line="440" w:lineRule="exact"/>
        <w:ind w:firstLine="474" w:firstLineChars="200"/>
        <w:jc w:val="both"/>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根据预测分析，</w:t>
      </w:r>
      <w:r>
        <w:rPr>
          <w:rFonts w:ascii="Times New Roman" w:hAnsi="Times New Roman" w:cs="Times New Roman" w:eastAsiaTheme="minorEastAsia"/>
          <w:bCs/>
          <w:color w:val="000000" w:themeColor="text1"/>
          <w:w w:val="99"/>
          <w:kern w:val="21"/>
          <w:sz w:val="24"/>
          <w:szCs w:val="24"/>
          <w:lang w:val="en-US" w:bidi="ar-SA"/>
          <w14:textFill>
            <w14:solidFill>
              <w14:schemeClr w14:val="tx1"/>
            </w14:solidFill>
          </w14:textFill>
        </w:rPr>
        <w:t>在采取</w:t>
      </w: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减振、隔声等降噪措施后通，能够确保混输阀组间厂界噪声满足《工业企业厂界环境噪声排放标准》（GB12348-2008）2类标准要求，不会对周围声环境产生较大影响，运行期噪声治理措施可行。</w:t>
      </w:r>
    </w:p>
    <w:p w14:paraId="0D43C834">
      <w:pPr>
        <w:autoSpaceDE/>
        <w:autoSpaceDN/>
        <w:spacing w:line="440" w:lineRule="exact"/>
        <w:ind w:firstLine="474" w:firstLineChars="200"/>
        <w:jc w:val="both"/>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本项目具体噪声防治措施见表表6.3-1。</w:t>
      </w:r>
    </w:p>
    <w:p w14:paraId="7C6428E9">
      <w:pPr>
        <w:autoSpaceDE/>
        <w:autoSpaceDN/>
        <w:spacing w:line="440" w:lineRule="exact"/>
        <w:ind w:firstLine="476" w:firstLineChars="200"/>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表6.3-1    本项目具体噪声防治措施表</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2050"/>
        <w:gridCol w:w="2468"/>
        <w:gridCol w:w="2470"/>
        <w:gridCol w:w="1592"/>
      </w:tblGrid>
      <w:tr w14:paraId="60618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Align w:val="center"/>
          </w:tcPr>
          <w:p w14:paraId="2982716D">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序号</w:t>
            </w:r>
          </w:p>
        </w:tc>
        <w:tc>
          <w:tcPr>
            <w:tcW w:w="1104" w:type="pct"/>
            <w:vAlign w:val="center"/>
          </w:tcPr>
          <w:p w14:paraId="0C4622F7">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噪声防治措施位置</w:t>
            </w:r>
          </w:p>
        </w:tc>
        <w:tc>
          <w:tcPr>
            <w:tcW w:w="1329" w:type="pct"/>
            <w:vAlign w:val="center"/>
          </w:tcPr>
          <w:p w14:paraId="79B81254">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类型及规模</w:t>
            </w:r>
          </w:p>
        </w:tc>
        <w:tc>
          <w:tcPr>
            <w:tcW w:w="1330" w:type="pct"/>
            <w:vAlign w:val="center"/>
          </w:tcPr>
          <w:p w14:paraId="25A40DFD">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实施效果</w:t>
            </w:r>
          </w:p>
        </w:tc>
        <w:tc>
          <w:tcPr>
            <w:tcW w:w="857" w:type="pct"/>
            <w:vAlign w:val="center"/>
          </w:tcPr>
          <w:p w14:paraId="21B964ED">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责任主体</w:t>
            </w:r>
          </w:p>
        </w:tc>
      </w:tr>
      <w:tr w14:paraId="3E2D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Align w:val="center"/>
          </w:tcPr>
          <w:p w14:paraId="1959B665">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w:t>
            </w:r>
          </w:p>
        </w:tc>
        <w:tc>
          <w:tcPr>
            <w:tcW w:w="1104" w:type="pct"/>
            <w:vAlign w:val="center"/>
          </w:tcPr>
          <w:p w14:paraId="21B70ADF">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混输泵</w:t>
            </w:r>
          </w:p>
        </w:tc>
        <w:tc>
          <w:tcPr>
            <w:tcW w:w="1329" w:type="pct"/>
            <w:vAlign w:val="center"/>
          </w:tcPr>
          <w:p w14:paraId="0628E01C">
            <w:pPr>
              <w:autoSpaceDE/>
              <w:autoSpaceDN/>
              <w:snapToGrid w:val="0"/>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减震基础，厂房隔声</w:t>
            </w:r>
          </w:p>
        </w:tc>
        <w:tc>
          <w:tcPr>
            <w:tcW w:w="1330" w:type="pct"/>
            <w:vAlign w:val="center"/>
          </w:tcPr>
          <w:p w14:paraId="692A5681">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厂界满足《工业企业厂界环境噪声排放标准》（GB12348-2008）2类标准要求</w:t>
            </w:r>
          </w:p>
        </w:tc>
        <w:tc>
          <w:tcPr>
            <w:tcW w:w="857" w:type="pct"/>
            <w:vAlign w:val="center"/>
          </w:tcPr>
          <w:p w14:paraId="184585E2">
            <w:pPr>
              <w:autoSpaceDE/>
              <w:autoSpaceDN/>
              <w:adjustRightInd w:val="0"/>
              <w:snapToGrid w:val="0"/>
              <w:spacing w:line="360" w:lineRule="exact"/>
              <w:jc w:val="center"/>
              <w:rPr>
                <w:rFonts w:hint="eastAsia" w:ascii="Times New Roman" w:hAnsi="Times New Roman" w:cs="Times New Roman" w:eastAsiaTheme="minorEastAsia"/>
                <w:color w:val="000000" w:themeColor="text1"/>
                <w:w w:val="99"/>
                <w:kern w:val="2"/>
                <w:sz w:val="21"/>
                <w:szCs w:val="21"/>
                <w:lang w:val="en-US" w:eastAsia="zh-CN" w:bidi="ar"/>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
                <w14:textFill>
                  <w14:solidFill>
                    <w14:schemeClr w14:val="tx1"/>
                  </w14:solidFill>
                </w14:textFill>
              </w:rPr>
              <w:t>大庆油田有限责任公司</w:t>
            </w:r>
            <w:r>
              <w:rPr>
                <w:rFonts w:hint="eastAsia" w:ascii="Times New Roman" w:hAnsi="Times New Roman" w:cs="Times New Roman" w:eastAsiaTheme="minorEastAsia"/>
                <w:color w:val="000000" w:themeColor="text1"/>
                <w:w w:val="99"/>
                <w:kern w:val="2"/>
                <w:sz w:val="21"/>
                <w:szCs w:val="21"/>
                <w:lang w:val="en-US" w:eastAsia="zh-CN" w:bidi="ar"/>
                <w14:textFill>
                  <w14:solidFill>
                    <w14:schemeClr w14:val="tx1"/>
                  </w14:solidFill>
                </w14:textFill>
              </w:rPr>
              <w:t>第五采油厂</w:t>
            </w:r>
          </w:p>
        </w:tc>
      </w:tr>
      <w:bookmarkEnd w:id="533"/>
    </w:tbl>
    <w:p w14:paraId="11F8F937">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534" w:name="_Toc117794630"/>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6.4 固体废物污染防治措施</w:t>
      </w:r>
      <w:bookmarkEnd w:id="534"/>
    </w:p>
    <w:p w14:paraId="2A0175D2">
      <w:pPr>
        <w:pStyle w:val="105"/>
        <w:spacing w:beforeLines="0" w:line="440" w:lineRule="exact"/>
        <w:ind w:firstLine="498" w:firstLineChars="200"/>
        <w:jc w:val="both"/>
        <w:rPr>
          <w:rFonts w:ascii="Times New Roman" w:hAnsi="Times New Roman" w:cs="Times New Roman" w:eastAsiaTheme="minorEastAsia"/>
          <w:color w:val="000000" w:themeColor="text1"/>
          <w:spacing w:val="6"/>
          <w:w w:val="99"/>
          <w:sz w:val="24"/>
          <w:szCs w:val="24"/>
          <w14:textFill>
            <w14:solidFill>
              <w14:schemeClr w14:val="tx1"/>
            </w14:solidFill>
          </w14:textFill>
        </w:rPr>
      </w:pPr>
      <w:r>
        <w:rPr>
          <w:rFonts w:ascii="Times New Roman" w:hAnsi="Times New Roman" w:cs="Times New Roman" w:eastAsiaTheme="minorEastAsia"/>
          <w:color w:val="000000" w:themeColor="text1"/>
          <w:spacing w:val="6"/>
          <w:w w:val="99"/>
          <w:sz w:val="24"/>
          <w:szCs w:val="24"/>
          <w14:textFill>
            <w14:solidFill>
              <w14:schemeClr w14:val="tx1"/>
            </w14:solidFill>
          </w14:textFill>
        </w:rPr>
        <w:t>本项目运营期不产生固体废物。施工期</w:t>
      </w:r>
      <w:r>
        <w:rPr>
          <w:rFonts w:ascii="Times New Roman" w:hAnsi="Times New Roman" w:cs="Times New Roman" w:eastAsiaTheme="minorEastAsia"/>
          <w:bCs/>
          <w:color w:val="000000" w:themeColor="text1"/>
          <w:spacing w:val="6"/>
          <w:w w:val="99"/>
          <w:sz w:val="24"/>
          <w:szCs w:val="24"/>
          <w14:textFill>
            <w14:solidFill>
              <w14:schemeClr w14:val="tx1"/>
            </w14:solidFill>
          </w14:textFill>
        </w:rPr>
        <w:t>施工废料最大限度回收利用后，剩余废料拉运至</w:t>
      </w:r>
      <w:r>
        <w:rPr>
          <w:rFonts w:ascii="Times New Roman" w:hAnsi="Times New Roman" w:cs="Times New Roman" w:eastAsiaTheme="minorEastAsia"/>
          <w:bCs/>
          <w:color w:val="000000" w:themeColor="text1"/>
          <w:spacing w:val="6"/>
          <w:w w:val="99"/>
          <w:sz w:val="24"/>
          <w:szCs w:val="24"/>
          <w:lang w:val="en-US"/>
          <w14:textFill>
            <w14:solidFill>
              <w14:schemeClr w14:val="tx1"/>
            </w14:solidFill>
          </w14:textFill>
        </w:rPr>
        <w:t>第八采油厂工业固废填埋场</w:t>
      </w:r>
      <w:r>
        <w:rPr>
          <w:rFonts w:ascii="Times New Roman" w:hAnsi="Times New Roman" w:cs="Times New Roman" w:eastAsiaTheme="minorEastAsia"/>
          <w:bCs/>
          <w:color w:val="000000" w:themeColor="text1"/>
          <w:spacing w:val="6"/>
          <w:w w:val="99"/>
          <w:sz w:val="24"/>
          <w:szCs w:val="24"/>
          <w14:textFill>
            <w14:solidFill>
              <w14:schemeClr w14:val="tx1"/>
            </w14:solidFill>
          </w14:textFill>
        </w:rPr>
        <w:t>处理；建筑垃圾全部由施工单位拉运至大庆市</w:t>
      </w:r>
      <w:r>
        <w:rPr>
          <w:rFonts w:hint="eastAsia" w:ascii="Times New Roman" w:hAnsi="Times New Roman" w:cs="Times New Roman" w:eastAsiaTheme="minorEastAsia"/>
          <w:bCs/>
          <w:color w:val="000000" w:themeColor="text1"/>
          <w:spacing w:val="6"/>
          <w:w w:val="99"/>
          <w:sz w:val="24"/>
          <w:szCs w:val="24"/>
          <w:lang w:eastAsia="zh-CN"/>
          <w14:textFill>
            <w14:solidFill>
              <w14:schemeClr w14:val="tx1"/>
            </w14:solidFill>
          </w14:textFill>
        </w:rPr>
        <w:t>红岗区杏树岗镇</w:t>
      </w:r>
      <w:r>
        <w:rPr>
          <w:rFonts w:ascii="Times New Roman" w:hAnsi="Times New Roman" w:cs="Times New Roman" w:eastAsiaTheme="minorEastAsia"/>
          <w:bCs/>
          <w:color w:val="000000" w:themeColor="text1"/>
          <w:spacing w:val="6"/>
          <w:w w:val="99"/>
          <w:sz w:val="24"/>
          <w:szCs w:val="24"/>
          <w14:textFill>
            <w14:solidFill>
              <w14:schemeClr w14:val="tx1"/>
            </w14:solidFill>
          </w14:textFill>
        </w:rPr>
        <w:t>建筑垃圾消纳场处理；废旧设备全部回收至</w:t>
      </w:r>
      <w:r>
        <w:rPr>
          <w:rFonts w:hint="eastAsia" w:ascii="Times New Roman" w:hAnsi="Times New Roman" w:cs="Times New Roman" w:eastAsiaTheme="minorEastAsia"/>
          <w:bCs/>
          <w:color w:val="000000" w:themeColor="text1"/>
          <w:spacing w:val="6"/>
          <w:w w:val="99"/>
          <w:sz w:val="24"/>
          <w:szCs w:val="24"/>
          <w:lang w:eastAsia="zh-CN"/>
          <w14:textFill>
            <w14:solidFill>
              <w14:schemeClr w14:val="tx1"/>
            </w14:solidFill>
          </w14:textFill>
        </w:rPr>
        <w:t>第五采油厂</w:t>
      </w:r>
      <w:r>
        <w:rPr>
          <w:rFonts w:ascii="Times New Roman" w:hAnsi="Times New Roman" w:cs="Times New Roman" w:eastAsiaTheme="minorEastAsia"/>
          <w:bCs/>
          <w:color w:val="000000" w:themeColor="text1"/>
          <w:spacing w:val="6"/>
          <w:w w:val="99"/>
          <w:sz w:val="24"/>
          <w:szCs w:val="24"/>
          <w14:textFill>
            <w14:solidFill>
              <w14:schemeClr w14:val="tx1"/>
            </w14:solidFill>
          </w14:textFill>
        </w:rPr>
        <w:t>物资库再利用。生活垃圾统一收集后拉运至大庆龙清生物科技有限公司处理。</w:t>
      </w:r>
    </w:p>
    <w:p w14:paraId="33621A4F">
      <w:pPr>
        <w:pStyle w:val="46"/>
        <w:spacing w:after="0" w:line="440" w:lineRule="exact"/>
        <w:ind w:left="0" w:leftChars="0" w:firstLine="474" w:firstLineChars="200"/>
        <w:rPr>
          <w:rFonts w:eastAsiaTheme="minorEastAsia"/>
          <w:bCs/>
          <w:color w:val="000000" w:themeColor="text1"/>
          <w:w w:val="99"/>
          <w:sz w:val="24"/>
          <w14:textFill>
            <w14:solidFill>
              <w14:schemeClr w14:val="tx1"/>
            </w14:solidFill>
          </w14:textFill>
        </w:rPr>
      </w:pPr>
      <w:r>
        <w:rPr>
          <w:rFonts w:eastAsiaTheme="minorEastAsia"/>
          <w:bCs/>
          <w:color w:val="000000" w:themeColor="text1"/>
          <w:w w:val="99"/>
          <w:sz w:val="24"/>
          <w:lang w:val="en-US"/>
          <w14:textFill>
            <w14:solidFill>
              <w14:schemeClr w14:val="tx1"/>
            </w14:solidFill>
          </w14:textFill>
        </w:rPr>
        <w:t>清淤油泥</w:t>
      </w:r>
      <w:r>
        <w:rPr>
          <w:rFonts w:eastAsiaTheme="minorEastAsia"/>
          <w:bCs/>
          <w:color w:val="000000" w:themeColor="text1"/>
          <w:w w:val="99"/>
          <w:sz w:val="24"/>
          <w14:textFill>
            <w14:solidFill>
              <w14:schemeClr w14:val="tx1"/>
            </w14:solidFill>
          </w14:textFill>
        </w:rPr>
        <w:t>含有石油类等有害成份，</w:t>
      </w:r>
      <w:r>
        <w:rPr>
          <w:rFonts w:eastAsiaTheme="minorEastAsia"/>
          <w:bCs/>
          <w:color w:val="000000" w:themeColor="text1"/>
          <w:w w:val="99"/>
          <w:sz w:val="24"/>
          <w:lang w:val="en-US"/>
          <w14:textFill>
            <w14:solidFill>
              <w14:schemeClr w14:val="tx1"/>
            </w14:solidFill>
          </w14:textFill>
        </w:rPr>
        <w:t>根据《国家危险废物名录（2021年）》，清淤油泥属于HW08废矿物油与含矿物油废物，危废代码为071-001-08</w:t>
      </w:r>
      <w:r>
        <w:rPr>
          <w:rFonts w:eastAsiaTheme="minorEastAsia"/>
          <w:bCs/>
          <w:color w:val="000000" w:themeColor="text1"/>
          <w:w w:val="99"/>
          <w:sz w:val="24"/>
          <w14:textFill>
            <w14:solidFill>
              <w14:schemeClr w14:val="tx1"/>
            </w14:solidFill>
          </w14:textFill>
        </w:rPr>
        <w:t>。清淤油泥需</w:t>
      </w:r>
      <w:r>
        <w:rPr>
          <w:rFonts w:eastAsiaTheme="minorEastAsia"/>
          <w:bCs/>
          <w:color w:val="000000" w:themeColor="text1"/>
          <w:w w:val="99"/>
          <w:sz w:val="24"/>
          <w:lang w:val="en-US"/>
          <w14:textFill>
            <w14:solidFill>
              <w14:schemeClr w14:val="tx1"/>
            </w14:solidFill>
          </w14:textFill>
        </w:rPr>
        <w:t>严格执行《危险废物转移管理办法》</w:t>
      </w:r>
      <w:r>
        <w:rPr>
          <w:rFonts w:eastAsiaTheme="minorEastAsia"/>
          <w:bCs/>
          <w:color w:val="000000" w:themeColor="text1"/>
          <w:w w:val="99"/>
          <w:sz w:val="24"/>
          <w14:textFill>
            <w14:solidFill>
              <w14:schemeClr w14:val="tx1"/>
            </w14:solidFill>
          </w14:textFill>
        </w:rPr>
        <w:t>，</w:t>
      </w:r>
      <w:r>
        <w:rPr>
          <w:rFonts w:eastAsiaTheme="minorEastAsia"/>
          <w:bCs/>
          <w:color w:val="000000" w:themeColor="text1"/>
          <w:w w:val="99"/>
          <w:sz w:val="24"/>
          <w:lang w:val="en-US"/>
          <w14:textFill>
            <w14:solidFill>
              <w14:schemeClr w14:val="tx1"/>
            </w14:solidFill>
          </w14:textFill>
        </w:rPr>
        <w:t>由罐车拉运至</w:t>
      </w:r>
      <w:r>
        <w:rPr>
          <w:rFonts w:hint="eastAsia" w:eastAsiaTheme="minorEastAsia"/>
          <w:bCs/>
          <w:color w:val="000000" w:themeColor="text1"/>
          <w:w w:val="99"/>
          <w:sz w:val="24"/>
          <w:lang w:val="en-US" w:eastAsia="zh-CN"/>
          <w14:textFill>
            <w14:solidFill>
              <w14:schemeClr w14:val="tx1"/>
            </w14:solidFill>
          </w14:textFill>
        </w:rPr>
        <w:t>第五采油厂</w:t>
      </w:r>
      <w:r>
        <w:rPr>
          <w:rFonts w:eastAsiaTheme="minorEastAsia"/>
          <w:bCs/>
          <w:color w:val="000000" w:themeColor="text1"/>
          <w:w w:val="99"/>
          <w:sz w:val="24"/>
          <w:lang w:val="en-US"/>
          <w14:textFill>
            <w14:solidFill>
              <w14:schemeClr w14:val="tx1"/>
            </w14:solidFill>
          </w14:textFill>
        </w:rPr>
        <w:t>含油污泥处理站处理满足《油田含油污泥处置与利用污染控制要求》（DB23/T 3104-2022）表1中</w:t>
      </w:r>
      <w:r>
        <w:rPr>
          <w:rFonts w:eastAsiaTheme="minorEastAsia"/>
          <w:bCs/>
          <w:color w:val="000000" w:themeColor="text1"/>
          <w:w w:val="99"/>
          <w:sz w:val="24"/>
          <w14:textFill>
            <w14:solidFill>
              <w14:schemeClr w14:val="tx1"/>
            </w14:solidFill>
          </w14:textFill>
        </w:rPr>
        <w:t>油田含油污泥经处置后泥渣利用污染物控制限值后用作油田垫井场和通井路。</w:t>
      </w:r>
    </w:p>
    <w:p w14:paraId="5D71129D">
      <w:pPr>
        <w:pStyle w:val="46"/>
        <w:spacing w:after="0" w:line="440" w:lineRule="exact"/>
        <w:ind w:left="0" w:leftChars="0" w:firstLine="498" w:firstLineChars="200"/>
        <w:rPr>
          <w:rFonts w:eastAsiaTheme="minorEastAsia"/>
          <w:color w:val="000000" w:themeColor="text1"/>
          <w:spacing w:val="6"/>
          <w:w w:val="99"/>
          <w:sz w:val="24"/>
          <w:szCs w:val="24"/>
          <w14:textFill>
            <w14:solidFill>
              <w14:schemeClr w14:val="tx1"/>
            </w14:solidFill>
          </w14:textFill>
        </w:rPr>
      </w:pPr>
    </w:p>
    <w:p w14:paraId="20A669A4">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535" w:name="_Toc117794631"/>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6.5 土壤污染防治措施</w:t>
      </w:r>
      <w:bookmarkEnd w:id="535"/>
    </w:p>
    <w:p w14:paraId="2B2F6E27">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36" w:name="_Toc117794632"/>
      <w:r>
        <w:rPr>
          <w:rFonts w:ascii="Times New Roman" w:hAnsi="Times New Roman" w:cs="Times New Roman" w:eastAsiaTheme="minorEastAsia"/>
          <w:color w:val="000000" w:themeColor="text1"/>
          <w:w w:val="99"/>
          <w:kern w:val="2"/>
          <w:lang w:val="en-US" w:bidi="ar-SA"/>
          <w14:textFill>
            <w14:solidFill>
              <w14:schemeClr w14:val="tx1"/>
            </w14:solidFill>
          </w14:textFill>
        </w:rPr>
        <w:t>6.5.1 施工期</w:t>
      </w:r>
      <w:bookmarkEnd w:id="536"/>
    </w:p>
    <w:p w14:paraId="55A1A323">
      <w:pPr>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1</w:t>
      </w:r>
      <w:r>
        <w:rPr>
          <w:rFonts w:ascii="Times New Roman" w:hAnsi="Times New Roman" w:cs="Times New Roman" w:eastAsiaTheme="minorEastAsia"/>
          <w:color w:val="000000" w:themeColor="text1"/>
          <w:w w:val="99"/>
          <w:sz w:val="24"/>
          <w:szCs w:val="24"/>
          <w14:textFill>
            <w14:solidFill>
              <w14:schemeClr w14:val="tx1"/>
            </w14:solidFill>
          </w14:textFill>
        </w:rPr>
        <w:t>）加强施工期废水、固废监控管理，杜绝随意倾倒，污染土壤环境。</w:t>
      </w:r>
    </w:p>
    <w:p w14:paraId="34FC4ECE">
      <w:pPr>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2</w:t>
      </w:r>
      <w:r>
        <w:rPr>
          <w:rFonts w:ascii="Times New Roman" w:hAnsi="Times New Roman" w:cs="Times New Roman" w:eastAsiaTheme="minorEastAsia"/>
          <w:color w:val="000000" w:themeColor="text1"/>
          <w:w w:val="99"/>
          <w:sz w:val="24"/>
          <w:szCs w:val="24"/>
          <w14:textFill>
            <w14:solidFill>
              <w14:schemeClr w14:val="tx1"/>
            </w14:solidFill>
          </w14:textFill>
        </w:rPr>
        <w:t>）一旦发现土壤污染事故，立即采取应急措施控制土壤、地下水污染，并使污染得到治理。</w:t>
      </w:r>
    </w:p>
    <w:p w14:paraId="4E680D8D">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37" w:name="_Toc117794633"/>
      <w:r>
        <w:rPr>
          <w:rFonts w:ascii="Times New Roman" w:hAnsi="Times New Roman" w:cs="Times New Roman" w:eastAsiaTheme="minorEastAsia"/>
          <w:color w:val="000000" w:themeColor="text1"/>
          <w:w w:val="99"/>
          <w:kern w:val="2"/>
          <w:lang w:val="en-US" w:bidi="ar-SA"/>
          <w14:textFill>
            <w14:solidFill>
              <w14:schemeClr w14:val="tx1"/>
            </w14:solidFill>
          </w14:textFill>
        </w:rPr>
        <w:t>6.5.2 运行期</w:t>
      </w:r>
      <w:bookmarkEnd w:id="537"/>
    </w:p>
    <w:p w14:paraId="08DCB677">
      <w:pPr>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（1）制定土壤环境跟踪监测措施，包括制定跟踪监测计划，科学、合理地设置土壤监测点位，建立完善的跟踪监测制度，配备必要的取样设备，以便及时发现并有效控制；</w:t>
      </w:r>
    </w:p>
    <w:p w14:paraId="16509759">
      <w:pPr>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（2）制定应急响应措施，一旦发现土壤污染事故，立即采取应急措施控制土壤、地下水污染，并使污染得到治理。</w:t>
      </w:r>
    </w:p>
    <w:p w14:paraId="2CCAF9F0">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38" w:name="_Toc117794634"/>
      <w:r>
        <w:rPr>
          <w:rFonts w:ascii="Times New Roman" w:hAnsi="Times New Roman" w:cs="Times New Roman" w:eastAsiaTheme="minorEastAsia"/>
          <w:color w:val="000000" w:themeColor="text1"/>
          <w:w w:val="99"/>
          <w:kern w:val="2"/>
          <w:lang w:val="en-US" w:bidi="ar-SA"/>
          <w14:textFill>
            <w14:solidFill>
              <w14:schemeClr w14:val="tx1"/>
            </w14:solidFill>
          </w14:textFill>
        </w:rPr>
        <w:t>6.5.3 保护措施及对策</w:t>
      </w:r>
      <w:bookmarkEnd w:id="538"/>
    </w:p>
    <w:p w14:paraId="01E34668">
      <w:pPr>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针对工程可能发生的土壤污染，按照“源头控制、末端防治、污染监控、应急响应”相结合的原则，从污染物的产生、入渗、扩散、应急响应全阶段进行控制。</w:t>
      </w:r>
    </w:p>
    <w:p w14:paraId="0710AB92">
      <w:pPr>
        <w:spacing w:line="440" w:lineRule="exact"/>
        <w:ind w:left="473"/>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hint="eastAsia" w:ascii="Times New Roman" w:hAnsi="Times New Roman" w:cs="Times New Roman" w:eastAsiaTheme="minorEastAsia"/>
          <w:color w:val="000000" w:themeColor="text1"/>
          <w:w w:val="99"/>
          <w:sz w:val="24"/>
          <w:szCs w:val="24"/>
          <w14:textFill>
            <w14:solidFill>
              <w14:schemeClr w14:val="tx1"/>
            </w14:solidFill>
          </w14:textFill>
        </w:rPr>
        <w:t>1</w:t>
      </w:r>
      <w:r>
        <w:rPr>
          <w:rFonts w:ascii="Times New Roman" w:hAnsi="Times New Roman" w:cs="Times New Roman" w:eastAsiaTheme="minorEastAsia"/>
          <w:color w:val="000000" w:themeColor="text1"/>
          <w:w w:val="99"/>
          <w:sz w:val="24"/>
          <w:szCs w:val="24"/>
          <w14:textFill>
            <w14:solidFill>
              <w14:schemeClr w14:val="tx1"/>
            </w14:solidFill>
          </w14:textFill>
        </w:rPr>
        <w:t>）源头控制措施</w:t>
      </w:r>
    </w:p>
    <w:p w14:paraId="2592C4D4">
      <w:pPr>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管线控制措施。在管线的路由选择中，应尽量沿道路进行铺设，同时还采用管线保温措施；管道应按要求设置截断阀与报警系统和监控系统。</w:t>
      </w:r>
    </w:p>
    <w:p w14:paraId="0A95B9BF">
      <w:pPr>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（2）末端控制措施</w:t>
      </w:r>
    </w:p>
    <w:p w14:paraId="2D039C95">
      <w:pPr>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主要包括管线接入场站地面的防渗措施和泄漏、渗漏污染物收集措施，即在污染区地面进行防渗处理，防止洒落地面的污染物渗入地下，并把滞留在地面的污染物收集起来集中处理；末端控制采取分区防渗原则。</w:t>
      </w:r>
    </w:p>
    <w:p w14:paraId="7E9AC732">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（3）污染监控体系</w:t>
      </w:r>
    </w:p>
    <w:p w14:paraId="12D8C12A">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为了及时了解项目场区及周边土壤环境质量状况和土壤中污染物的动态变化，根据《环境影响评价技术导则 土壤环境(试行)》(HJ964-2018)、</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《排污单位自行监测技术指南 陆上石油天然气开采工业》（HJ1248-2022）</w:t>
      </w:r>
      <w:r>
        <w:rPr>
          <w:rFonts w:ascii="Times New Roman" w:hAnsi="Times New Roman" w:cs="Times New Roman" w:eastAsiaTheme="minorEastAsia"/>
          <w:color w:val="000000" w:themeColor="text1"/>
          <w:w w:val="99"/>
          <w:sz w:val="24"/>
          <w:szCs w:val="24"/>
          <w14:textFill>
            <w14:solidFill>
              <w14:schemeClr w14:val="tx1"/>
            </w14:solidFill>
          </w14:textFill>
        </w:rPr>
        <w:t>的相关要求，本项目拟制定土壤环境跟踪监测措施，包括制定跟踪监测计划，科学、合理地设置土壤监测点位，建立完善的跟踪监测制度，配备必要的取样设备，以便及时发现并有效控制。</w:t>
      </w:r>
    </w:p>
    <w:p w14:paraId="20772B05">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（4）应急响应措施</w:t>
      </w:r>
    </w:p>
    <w:p w14:paraId="16BA3297">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包括一旦发现土壤污染事故，立即采取应急措施控制土壤、地下水污染，并使污染得到治理。</w:t>
      </w:r>
    </w:p>
    <w:p w14:paraId="0033812F">
      <w:pPr>
        <w:spacing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定期对重点影响区及土壤环境敏感点附近土壤环境进行监测，监测委托具有资质的单位进行，监测报告应存档，同时对监测结果进行信息公开。根据项目分布情况、现状监测布点情况和土壤类型分布情况，根据导则要求布置土壤监测点位2个。跟踪监测点位图见附图18。跟踪监测计划见表6.5-1。</w:t>
      </w:r>
    </w:p>
    <w:p w14:paraId="52EF8FA3">
      <w:pPr>
        <w:snapToGrid w:val="0"/>
        <w:spacing w:line="440" w:lineRule="exact"/>
        <w:ind w:firstLine="476" w:firstLineChars="200"/>
        <w:jc w:val="both"/>
        <w:rPr>
          <w:rFonts w:ascii="Times New Roman" w:hAnsi="Times New Roman" w:cs="Times New Roman" w:eastAsiaTheme="minorEastAsia"/>
          <w:snapToGrid w:val="0"/>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bCs/>
          <w:snapToGrid w:val="0"/>
          <w:color w:val="000000" w:themeColor="text1"/>
          <w:w w:val="99"/>
          <w:kern w:val="2"/>
          <w:sz w:val="24"/>
          <w:szCs w:val="24"/>
          <w:lang w:val="en-US" w:bidi="ar-SA"/>
          <w14:textFill>
            <w14:solidFill>
              <w14:schemeClr w14:val="tx1"/>
            </w14:solidFill>
          </w14:textFill>
        </w:rPr>
        <w:t>表6.5-1    土壤环境跟踪监测计划</w:t>
      </w:r>
    </w:p>
    <w:tbl>
      <w:tblPr>
        <w:tblStyle w:val="8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1696"/>
        <w:gridCol w:w="1308"/>
        <w:gridCol w:w="1670"/>
        <w:gridCol w:w="2897"/>
        <w:gridCol w:w="1036"/>
      </w:tblGrid>
      <w:tr w14:paraId="220E3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vAlign w:val="center"/>
          </w:tcPr>
          <w:p w14:paraId="4B663675">
            <w:pPr>
              <w:autoSpaceDE/>
              <w:autoSpaceDN/>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序号</w:t>
            </w:r>
          </w:p>
        </w:tc>
        <w:tc>
          <w:tcPr>
            <w:tcW w:w="914" w:type="pct"/>
            <w:tcBorders>
              <w:tl2br w:val="nil"/>
              <w:tr2bl w:val="nil"/>
            </w:tcBorders>
            <w:vAlign w:val="center"/>
          </w:tcPr>
          <w:p w14:paraId="2B44115A">
            <w:pPr>
              <w:autoSpaceDE/>
              <w:autoSpaceDN/>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跟踪监测点</w:t>
            </w:r>
          </w:p>
        </w:tc>
        <w:tc>
          <w:tcPr>
            <w:tcW w:w="703" w:type="pct"/>
            <w:tcBorders>
              <w:tl2br w:val="nil"/>
              <w:tr2bl w:val="nil"/>
            </w:tcBorders>
            <w:vAlign w:val="center"/>
          </w:tcPr>
          <w:p w14:paraId="6D5A8448">
            <w:pPr>
              <w:autoSpaceDE/>
              <w:autoSpaceDN/>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坐标</w:t>
            </w:r>
          </w:p>
        </w:tc>
        <w:tc>
          <w:tcPr>
            <w:tcW w:w="899" w:type="pct"/>
            <w:tcBorders>
              <w:tl2br w:val="nil"/>
              <w:tr2bl w:val="nil"/>
            </w:tcBorders>
            <w:vAlign w:val="center"/>
          </w:tcPr>
          <w:p w14:paraId="4491AF26">
            <w:pPr>
              <w:autoSpaceDE/>
              <w:autoSpaceDN/>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取样要求</w:t>
            </w:r>
          </w:p>
        </w:tc>
        <w:tc>
          <w:tcPr>
            <w:tcW w:w="1560" w:type="pct"/>
            <w:tcBorders>
              <w:tl2br w:val="nil"/>
              <w:tr2bl w:val="nil"/>
            </w:tcBorders>
            <w:vAlign w:val="center"/>
          </w:tcPr>
          <w:p w14:paraId="23F91B59">
            <w:pPr>
              <w:autoSpaceDE/>
              <w:autoSpaceDN/>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监测项目</w:t>
            </w:r>
          </w:p>
        </w:tc>
        <w:tc>
          <w:tcPr>
            <w:tcW w:w="558" w:type="pct"/>
            <w:tcBorders>
              <w:tl2br w:val="nil"/>
              <w:tr2bl w:val="nil"/>
            </w:tcBorders>
            <w:vAlign w:val="center"/>
          </w:tcPr>
          <w:p w14:paraId="269AF74E">
            <w:pPr>
              <w:autoSpaceDE/>
              <w:autoSpaceDN/>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监测频次</w:t>
            </w:r>
          </w:p>
        </w:tc>
      </w:tr>
      <w:tr w14:paraId="0904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vAlign w:val="center"/>
          </w:tcPr>
          <w:p w14:paraId="16DCF3E7">
            <w:pPr>
              <w:autoSpaceDE/>
              <w:autoSpaceDN/>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1</w:t>
            </w:r>
          </w:p>
        </w:tc>
        <w:tc>
          <w:tcPr>
            <w:tcW w:w="914" w:type="pct"/>
            <w:tcBorders>
              <w:tl2br w:val="nil"/>
              <w:tr2bl w:val="nil"/>
            </w:tcBorders>
            <w:vAlign w:val="center"/>
          </w:tcPr>
          <w:p w14:paraId="3585B22C">
            <w:pPr>
              <w:autoSpaceDE/>
              <w:autoSpaceDN/>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混输阀组间</w:t>
            </w:r>
          </w:p>
        </w:tc>
        <w:tc>
          <w:tcPr>
            <w:tcW w:w="703" w:type="pct"/>
            <w:tcBorders>
              <w:tl2br w:val="nil"/>
              <w:tr2bl w:val="nil"/>
            </w:tcBorders>
            <w:vAlign w:val="center"/>
          </w:tcPr>
          <w:p w14:paraId="6510FFE0">
            <w:pPr>
              <w:autoSpaceDE/>
              <w:autoSpaceDN/>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124.40463，46.31702</w:t>
            </w:r>
          </w:p>
        </w:tc>
        <w:tc>
          <w:tcPr>
            <w:tcW w:w="899" w:type="pct"/>
            <w:tcBorders>
              <w:tl2br w:val="nil"/>
              <w:tr2bl w:val="nil"/>
            </w:tcBorders>
            <w:vAlign w:val="center"/>
          </w:tcPr>
          <w:p w14:paraId="58350F90">
            <w:pPr>
              <w:autoSpaceDE/>
              <w:autoSpaceDN/>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表层样0～20cm</w:t>
            </w:r>
          </w:p>
        </w:tc>
        <w:tc>
          <w:tcPr>
            <w:tcW w:w="1560" w:type="pct"/>
            <w:vMerge w:val="restart"/>
            <w:tcBorders>
              <w:tl2br w:val="nil"/>
              <w:tr2bl w:val="nil"/>
            </w:tcBorders>
            <w:vAlign w:val="center"/>
          </w:tcPr>
          <w:p w14:paraId="06A2E354">
            <w:pPr>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pH、</w:t>
            </w:r>
            <w:r>
              <w:rPr>
                <w:rFonts w:hint="eastAsia"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石油类、石油烃（</w:t>
            </w: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C</w:t>
            </w:r>
            <w:r>
              <w:rPr>
                <w:rFonts w:ascii="Times New Roman" w:hAnsi="Times New Roman" w:cs="Times New Roman" w:eastAsiaTheme="minorEastAsia"/>
                <w:snapToGrid w:val="0"/>
                <w:color w:val="000000" w:themeColor="text1"/>
                <w:w w:val="99"/>
                <w:sz w:val="21"/>
                <w:szCs w:val="21"/>
                <w:vertAlign w:val="subscript"/>
                <w:lang w:val="en-US" w:bidi="ar-SA"/>
                <w14:textFill>
                  <w14:solidFill>
                    <w14:schemeClr w14:val="tx1"/>
                  </w14:solidFill>
                </w14:textFill>
              </w:rPr>
              <w:t>6</w:t>
            </w: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~C</w:t>
            </w:r>
            <w:r>
              <w:rPr>
                <w:rFonts w:ascii="Times New Roman" w:hAnsi="Times New Roman" w:cs="Times New Roman" w:eastAsiaTheme="minorEastAsia"/>
                <w:snapToGrid w:val="0"/>
                <w:color w:val="000000" w:themeColor="text1"/>
                <w:w w:val="99"/>
                <w:sz w:val="21"/>
                <w:szCs w:val="21"/>
                <w:vertAlign w:val="subscript"/>
                <w:lang w:val="en-US" w:bidi="ar-SA"/>
                <w14:textFill>
                  <w14:solidFill>
                    <w14:schemeClr w14:val="tx1"/>
                  </w14:solidFill>
                </w14:textFill>
              </w:rPr>
              <w:t>9</w:t>
            </w: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）、石油烃（C</w:t>
            </w:r>
            <w:r>
              <w:rPr>
                <w:rFonts w:ascii="Times New Roman" w:hAnsi="Times New Roman" w:cs="Times New Roman" w:eastAsiaTheme="minorEastAsia"/>
                <w:snapToGrid w:val="0"/>
                <w:color w:val="000000" w:themeColor="text1"/>
                <w:w w:val="99"/>
                <w:sz w:val="21"/>
                <w:szCs w:val="21"/>
                <w:vertAlign w:val="subscript"/>
                <w:lang w:val="en-US" w:bidi="ar-SA"/>
                <w14:textFill>
                  <w14:solidFill>
                    <w14:schemeClr w14:val="tx1"/>
                  </w14:solidFill>
                </w14:textFill>
              </w:rPr>
              <w:t>10</w:t>
            </w: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~C</w:t>
            </w:r>
            <w:r>
              <w:rPr>
                <w:rFonts w:ascii="Times New Roman" w:hAnsi="Times New Roman" w:cs="Times New Roman" w:eastAsiaTheme="minorEastAsia"/>
                <w:snapToGrid w:val="0"/>
                <w:color w:val="000000" w:themeColor="text1"/>
                <w:w w:val="99"/>
                <w:sz w:val="21"/>
                <w:szCs w:val="21"/>
                <w:vertAlign w:val="subscript"/>
                <w:lang w:val="en-US" w:bidi="ar-SA"/>
                <w14:textFill>
                  <w14:solidFill>
                    <w14:schemeClr w14:val="tx1"/>
                  </w14:solidFill>
                </w14:textFill>
              </w:rPr>
              <w:t>40</w:t>
            </w: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）、汞、砷、六价铬</w:t>
            </w:r>
          </w:p>
        </w:tc>
        <w:tc>
          <w:tcPr>
            <w:tcW w:w="558" w:type="pct"/>
            <w:vMerge w:val="restart"/>
            <w:tcBorders>
              <w:tl2br w:val="nil"/>
              <w:tr2bl w:val="nil"/>
            </w:tcBorders>
            <w:vAlign w:val="center"/>
          </w:tcPr>
          <w:p w14:paraId="31F7C317">
            <w:pPr>
              <w:autoSpaceDE/>
              <w:autoSpaceDN/>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1次/3年</w:t>
            </w:r>
          </w:p>
        </w:tc>
      </w:tr>
      <w:tr w14:paraId="6A28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6" w:type="pct"/>
            <w:tcBorders>
              <w:tl2br w:val="nil"/>
              <w:tr2bl w:val="nil"/>
            </w:tcBorders>
            <w:vAlign w:val="center"/>
          </w:tcPr>
          <w:p w14:paraId="7E0C2F3D">
            <w:pPr>
              <w:autoSpaceDE/>
              <w:autoSpaceDN/>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2</w:t>
            </w:r>
          </w:p>
        </w:tc>
        <w:tc>
          <w:tcPr>
            <w:tcW w:w="914" w:type="pct"/>
            <w:tcBorders>
              <w:tl2br w:val="nil"/>
              <w:tr2bl w:val="nil"/>
            </w:tcBorders>
            <w:vAlign w:val="center"/>
          </w:tcPr>
          <w:p w14:paraId="347D363D">
            <w:pPr>
              <w:autoSpaceDE/>
              <w:autoSpaceDN/>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混输阀组间南侧200m耕地</w:t>
            </w:r>
          </w:p>
        </w:tc>
        <w:tc>
          <w:tcPr>
            <w:tcW w:w="703" w:type="pct"/>
            <w:tcBorders>
              <w:tl2br w:val="nil"/>
              <w:tr2bl w:val="nil"/>
            </w:tcBorders>
            <w:vAlign w:val="center"/>
          </w:tcPr>
          <w:p w14:paraId="42969E66">
            <w:pPr>
              <w:autoSpaceDE/>
              <w:autoSpaceDN/>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124.40443，46.31518</w:t>
            </w:r>
          </w:p>
        </w:tc>
        <w:tc>
          <w:tcPr>
            <w:tcW w:w="899" w:type="pct"/>
            <w:tcBorders>
              <w:tl2br w:val="nil"/>
              <w:tr2bl w:val="nil"/>
            </w:tcBorders>
            <w:vAlign w:val="center"/>
          </w:tcPr>
          <w:p w14:paraId="27477989">
            <w:pPr>
              <w:autoSpaceDE/>
              <w:autoSpaceDN/>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表层样0～20cm</w:t>
            </w:r>
          </w:p>
        </w:tc>
        <w:tc>
          <w:tcPr>
            <w:tcW w:w="1560" w:type="pct"/>
            <w:vMerge w:val="continue"/>
            <w:tcBorders>
              <w:tl2br w:val="nil"/>
              <w:tr2bl w:val="nil"/>
            </w:tcBorders>
            <w:vAlign w:val="center"/>
          </w:tcPr>
          <w:p w14:paraId="7C0E455F">
            <w:pPr>
              <w:autoSpaceDE/>
              <w:autoSpaceDN/>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p>
        </w:tc>
        <w:tc>
          <w:tcPr>
            <w:tcW w:w="558" w:type="pct"/>
            <w:vMerge w:val="continue"/>
            <w:tcBorders>
              <w:tl2br w:val="nil"/>
              <w:tr2bl w:val="nil"/>
            </w:tcBorders>
            <w:vAlign w:val="center"/>
          </w:tcPr>
          <w:p w14:paraId="4A884E17">
            <w:pPr>
              <w:autoSpaceDE/>
              <w:autoSpaceDN/>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p>
        </w:tc>
      </w:tr>
    </w:tbl>
    <w:p w14:paraId="29FF99F5">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539" w:name="_Toc117794635"/>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6.6生态保护措施</w:t>
      </w:r>
      <w:bookmarkEnd w:id="539"/>
    </w:p>
    <w:p w14:paraId="5B237D61">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40" w:name="_Toc117794636"/>
      <w:r>
        <w:rPr>
          <w:rFonts w:ascii="Times New Roman" w:hAnsi="Times New Roman" w:cs="Times New Roman" w:eastAsiaTheme="minorEastAsia"/>
          <w:color w:val="000000" w:themeColor="text1"/>
          <w:w w:val="99"/>
          <w:kern w:val="2"/>
          <w:lang w:val="en-US" w:bidi="ar-SA"/>
          <w14:textFill>
            <w14:solidFill>
              <w14:schemeClr w14:val="tx1"/>
            </w14:solidFill>
          </w14:textFill>
        </w:rPr>
        <w:t>6.6.1植被保护及恢复措施</w:t>
      </w:r>
      <w:bookmarkEnd w:id="540"/>
    </w:p>
    <w:p w14:paraId="7B8DDAD6">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（1）充分利用现有道路，尽量不再开辟新的临时道路；</w:t>
      </w:r>
    </w:p>
    <w:p w14:paraId="0C113377">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（2）规范行车路线及施工人员行为，严禁随意践踏、碾压施工区范围外的植被，不准乱挖、乱采植物；</w:t>
      </w:r>
    </w:p>
    <w:p w14:paraId="0AF0091E">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（3）为避免施工期对植被的影响，对易产生扬尘的场所必要时加以遮挡，以减轻对植物的影响；</w:t>
      </w:r>
    </w:p>
    <w:p w14:paraId="359A6FCF">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（4）本项目在施工过程中针对</w:t>
      </w:r>
      <w:r>
        <w:rPr>
          <w:rFonts w:hint="eastAsia" w:ascii="Times New Roman" w:hAnsi="Times New Roman" w:cs="Times New Roman" w:eastAsiaTheme="minorEastAsia"/>
          <w:color w:val="000000" w:themeColor="text1"/>
          <w:w w:val="99"/>
          <w:kern w:val="2"/>
          <w:sz w:val="24"/>
          <w:szCs w:val="24"/>
          <w:lang w:val="en-US" w:eastAsia="zh-CN" w:bidi="ar-SA"/>
          <w14:textFill>
            <w14:solidFill>
              <w14:schemeClr w14:val="tx1"/>
            </w14:solidFill>
          </w14:textFill>
        </w:rPr>
        <w:t>4.5hm2</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临时占地，应剥离占地内0.3m的表土，表土剥离量约70110m</w:t>
      </w:r>
      <w:r>
        <w:rPr>
          <w:rFonts w:ascii="Times New Roman" w:hAnsi="Times New Roman" w:cs="Times New Roman" w:eastAsiaTheme="minorEastAsia"/>
          <w:color w:val="000000" w:themeColor="text1"/>
          <w:w w:val="99"/>
          <w:kern w:val="2"/>
          <w:sz w:val="24"/>
          <w:szCs w:val="24"/>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，本工程实施前编制建设项目占用耕地耕作层土壤剥离利用方案，统筹安排剥离、储存和再利用。表土剥离和利用严格执行《建设占用耕地耕作层土壤剥离利用技术规范》（DB23/T2913-2021）。本项目在施工过程中</w:t>
      </w:r>
      <w:r>
        <w:rPr>
          <w:rFonts w:hint="eastAsia" w:ascii="Times New Roman" w:hAnsi="Times New Roman" w:cs="Times New Roman" w:eastAsiaTheme="minorEastAsia"/>
          <w:color w:val="000000" w:themeColor="text1"/>
          <w:w w:val="99"/>
          <w:kern w:val="2"/>
          <w:sz w:val="24"/>
          <w:szCs w:val="24"/>
          <w:lang w:val="en-US" w:bidi="ar-SA"/>
          <w14:textFill>
            <w14:solidFill>
              <w14:schemeClr w14:val="tx1"/>
            </w14:solidFill>
          </w14:textFill>
        </w:rPr>
        <w:t>针对临时占地</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应剥离占地内0.3m的表土，采用分层开挖，分层堆放，暂存于施工井场内的表土剥离临时堆放区，并采取苫布遮盖，表土剥离临时堆放区周围设置排水沟等措施防止水土流失，并定期采取洒水抑尘措施，剥离的表土在施工结束后分层回填，确保恢复等质等量面积的耕地及草地，恢复过程由环境监理全程监督，以确保生态恢复效果；</w:t>
      </w:r>
    </w:p>
    <w:p w14:paraId="00C01C9D">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（5）施工结束后做到工完、料净、场地清，对废水、固体废物进行严格管理，统一处理或回收，不得随意抛撒，防止污染土壤；</w:t>
      </w:r>
    </w:p>
    <w:p w14:paraId="6516604A">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（6）埋设管线时，根据管径的大小做到尽量窄控，采取平埋方式（不起土坝）进行，以便尽快恢复植被；</w:t>
      </w:r>
    </w:p>
    <w:p w14:paraId="2678EC00">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（7）恢复被破坏的地表形态，平整作业现场，改善土壤及植被恢复条件；</w:t>
      </w:r>
    </w:p>
    <w:p w14:paraId="08027746">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（8）建设单位在施工过程中，应严格执行《中华人民共和国土地管理法》、《石油天然气工程项目用地控制指标》的相关规定，切实采取有效的保护措施，对生态环境进行正确的保护，并进行补偿和恢复；</w:t>
      </w:r>
    </w:p>
    <w:p w14:paraId="61A65F8A">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（9）管道施工尽量缩小占地面积，应划定施工活动范围，严格控制和管理车辆及重型机械的运行范围，所有车辆采用“一”字型作业法，走同一车辙，避免加行开辟新路；</w:t>
      </w:r>
    </w:p>
    <w:p w14:paraId="46AC2A4B">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（10）管道建设工程结束后，回填开挖的管沟，进行表土回覆、场地清理平整并恢复植被；</w:t>
      </w:r>
    </w:p>
    <w:p w14:paraId="72C2E5AC">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本工程应在施工完毕后进行生态影响减缓及恢复措施，具体见</w:t>
      </w:r>
      <w:r>
        <w:rPr>
          <w:rFonts w:hint="eastAsia" w:ascii="Times New Roman" w:hAnsi="Times New Roman" w:cs="Times New Roman" w:eastAsiaTheme="minorEastAsia"/>
          <w:color w:val="000000" w:themeColor="text1"/>
          <w:w w:val="99"/>
          <w:kern w:val="2"/>
          <w:sz w:val="24"/>
          <w:szCs w:val="24"/>
          <w:lang w:val="en-US" w:bidi="ar-SA"/>
          <w14:textFill>
            <w14:solidFill>
              <w14:schemeClr w14:val="tx1"/>
            </w14:solidFill>
          </w14:textFill>
        </w:rPr>
        <w:t>6</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.6-1。典型生态保护措施平面布置示意图见附图19。</w:t>
      </w:r>
    </w:p>
    <w:p w14:paraId="39F1EF38">
      <w:pPr>
        <w:autoSpaceDE/>
        <w:autoSpaceDN/>
        <w:spacing w:line="440" w:lineRule="exact"/>
        <w:ind w:firstLine="476" w:firstLineChars="200"/>
        <w:jc w:val="both"/>
        <w:rPr>
          <w:rFonts w:ascii="Times New Roman" w:hAnsi="Times New Roman" w:cs="Times New Roman" w:eastAsiaTheme="minorEastAsia"/>
          <w:b/>
          <w:bCs/>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b/>
          <w:bCs/>
          <w:color w:val="000000" w:themeColor="text1"/>
          <w:w w:val="99"/>
          <w:sz w:val="24"/>
          <w:szCs w:val="24"/>
          <w:lang w:val="en-US" w:bidi="ar-SA"/>
          <w14:textFill>
            <w14:solidFill>
              <w14:schemeClr w14:val="tx1"/>
            </w14:solidFill>
          </w14:textFill>
        </w:rPr>
        <w:t>表6.6-1</w:t>
      </w:r>
      <w:r>
        <w:rPr>
          <w:rFonts w:ascii="Times New Roman" w:hAnsi="Times New Roman" w:cs="Times New Roman" w:eastAsiaTheme="minorEastAsia"/>
          <w:b/>
          <w:color w:val="000000" w:themeColor="text1"/>
          <w:w w:val="99"/>
          <w:kern w:val="2"/>
          <w:sz w:val="21"/>
          <w:szCs w:val="24"/>
          <w:lang w:val="en-US" w:bidi="ar-SA"/>
          <w14:textFill>
            <w14:solidFill>
              <w14:schemeClr w14:val="tx1"/>
            </w14:solidFill>
          </w14:textFill>
        </w:rPr>
        <w:t xml:space="preserve">    </w:t>
      </w:r>
      <w:r>
        <w:rPr>
          <w:rFonts w:ascii="Times New Roman" w:hAnsi="Times New Roman" w:cs="Times New Roman" w:eastAsiaTheme="minorEastAsia"/>
          <w:b/>
          <w:bCs/>
          <w:color w:val="000000" w:themeColor="text1"/>
          <w:w w:val="99"/>
          <w:sz w:val="24"/>
          <w:szCs w:val="24"/>
          <w:lang w:val="en-US" w:bidi="ar-SA"/>
          <w14:textFill>
            <w14:solidFill>
              <w14:schemeClr w14:val="tx1"/>
            </w14:solidFill>
          </w14:textFill>
        </w:rPr>
        <w:t>生态影响减缓及恢复措施</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929"/>
        <w:gridCol w:w="1040"/>
        <w:gridCol w:w="4377"/>
        <w:gridCol w:w="1113"/>
        <w:gridCol w:w="1667"/>
      </w:tblGrid>
      <w:tr w14:paraId="18C6E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tblHeader/>
          <w:jc w:val="center"/>
        </w:trPr>
        <w:tc>
          <w:tcPr>
            <w:tcW w:w="509" w:type="pct"/>
            <w:vAlign w:val="center"/>
          </w:tcPr>
          <w:p w14:paraId="11731B60">
            <w:pPr>
              <w:widowControl/>
              <w:autoSpaceDE/>
              <w:autoSpaceDN/>
              <w:adjustRightInd w:val="0"/>
              <w:snapToGrid w:val="0"/>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项目</w:t>
            </w:r>
          </w:p>
        </w:tc>
        <w:tc>
          <w:tcPr>
            <w:tcW w:w="570" w:type="pct"/>
            <w:vAlign w:val="center"/>
          </w:tcPr>
          <w:p w14:paraId="07EDF829">
            <w:pPr>
              <w:widowControl/>
              <w:autoSpaceDE/>
              <w:autoSpaceDN/>
              <w:adjustRightInd w:val="0"/>
              <w:snapToGrid w:val="0"/>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占地类型</w:t>
            </w:r>
          </w:p>
        </w:tc>
        <w:tc>
          <w:tcPr>
            <w:tcW w:w="2398" w:type="pct"/>
            <w:vAlign w:val="center"/>
          </w:tcPr>
          <w:p w14:paraId="4F55FEE8">
            <w:pPr>
              <w:widowControl/>
              <w:autoSpaceDE/>
              <w:autoSpaceDN/>
              <w:adjustRightInd w:val="0"/>
              <w:snapToGrid w:val="0"/>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恢复措施</w:t>
            </w:r>
          </w:p>
        </w:tc>
        <w:tc>
          <w:tcPr>
            <w:tcW w:w="610" w:type="pct"/>
            <w:vAlign w:val="center"/>
          </w:tcPr>
          <w:p w14:paraId="3120E518">
            <w:pPr>
              <w:widowControl/>
              <w:autoSpaceDE/>
              <w:autoSpaceDN/>
              <w:adjustRightInd w:val="0"/>
              <w:snapToGrid w:val="0"/>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实施时间</w:t>
            </w:r>
          </w:p>
        </w:tc>
        <w:tc>
          <w:tcPr>
            <w:tcW w:w="914" w:type="pct"/>
            <w:vAlign w:val="center"/>
          </w:tcPr>
          <w:p w14:paraId="5601A940">
            <w:pPr>
              <w:widowControl/>
              <w:autoSpaceDE/>
              <w:autoSpaceDN/>
              <w:adjustRightInd w:val="0"/>
              <w:snapToGrid w:val="0"/>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实施单位</w:t>
            </w:r>
          </w:p>
        </w:tc>
      </w:tr>
      <w:tr w14:paraId="60B30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9" w:type="pct"/>
            <w:vAlign w:val="center"/>
          </w:tcPr>
          <w:p w14:paraId="2276FAD8">
            <w:pPr>
              <w:widowControl/>
              <w:autoSpaceDE/>
              <w:autoSpaceDN/>
              <w:adjustRightInd w:val="0"/>
              <w:snapToGrid w:val="0"/>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临时占地</w:t>
            </w:r>
          </w:p>
        </w:tc>
        <w:tc>
          <w:tcPr>
            <w:tcW w:w="570" w:type="pct"/>
            <w:vAlign w:val="center"/>
          </w:tcPr>
          <w:p w14:paraId="4981F4CE">
            <w:pPr>
              <w:widowControl/>
              <w:autoSpaceDE/>
              <w:autoSpaceDN/>
              <w:adjustRightInd w:val="0"/>
              <w:snapToGrid w:val="0"/>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耕地、草地</w:t>
            </w:r>
          </w:p>
        </w:tc>
        <w:tc>
          <w:tcPr>
            <w:tcW w:w="2398" w:type="pct"/>
            <w:vAlign w:val="center"/>
          </w:tcPr>
          <w:p w14:paraId="19994F7E">
            <w:pPr>
              <w:widowControl/>
              <w:autoSpaceDE/>
              <w:autoSpaceDN/>
              <w:adjustRightInd w:val="0"/>
              <w:snapToGrid w:val="0"/>
              <w:spacing w:line="360" w:lineRule="exact"/>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恢复临时占地</w:t>
            </w:r>
            <w:r>
              <w:rPr>
                <w:rFonts w:hint="eastAsia" w:ascii="Times New Roman" w:hAnsi="Times New Roman" w:cs="Times New Roman" w:eastAsiaTheme="minorEastAsia"/>
                <w:snapToGrid w:val="0"/>
                <w:color w:val="000000" w:themeColor="text1"/>
                <w:w w:val="99"/>
                <w:sz w:val="21"/>
                <w:szCs w:val="21"/>
                <w:lang w:val="en-US" w:eastAsia="zh-CN" w:bidi="ar-SA"/>
                <w14:textFill>
                  <w14:solidFill>
                    <w14:schemeClr w14:val="tx1"/>
                  </w14:solidFill>
                </w14:textFill>
              </w:rPr>
              <w:t>4.5hm2</w:t>
            </w: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，采取分层开挖，分层回填，对临时占地表土进行剥离，单独存放，并通过生态植被恢复措施可逐年恢复原有植被水平</w:t>
            </w:r>
          </w:p>
        </w:tc>
        <w:tc>
          <w:tcPr>
            <w:tcW w:w="610" w:type="pct"/>
            <w:vAlign w:val="center"/>
          </w:tcPr>
          <w:p w14:paraId="298B4148">
            <w:pPr>
              <w:widowControl/>
              <w:autoSpaceDE/>
              <w:autoSpaceDN/>
              <w:adjustRightInd w:val="0"/>
              <w:snapToGrid w:val="0"/>
              <w:spacing w:line="360" w:lineRule="exact"/>
              <w:jc w:val="cente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施工完毕后1年内</w:t>
            </w:r>
          </w:p>
        </w:tc>
        <w:tc>
          <w:tcPr>
            <w:tcW w:w="914" w:type="pct"/>
            <w:vAlign w:val="center"/>
          </w:tcPr>
          <w:p w14:paraId="5E543CF3">
            <w:pPr>
              <w:widowControl/>
              <w:autoSpaceDE/>
              <w:autoSpaceDN/>
              <w:adjustRightInd w:val="0"/>
              <w:snapToGrid w:val="0"/>
              <w:spacing w:line="360" w:lineRule="exact"/>
              <w:jc w:val="center"/>
              <w:rPr>
                <w:rFonts w:hint="eastAsia" w:ascii="Times New Roman" w:hAnsi="Times New Roman" w:cs="Times New Roman" w:eastAsiaTheme="minorEastAsia"/>
                <w:snapToGrid w:val="0"/>
                <w:color w:val="000000" w:themeColor="text1"/>
                <w:w w:val="99"/>
                <w:sz w:val="21"/>
                <w:szCs w:val="21"/>
                <w:lang w:val="en-US" w:eastAsia="zh-CN" w:bidi="ar-SA"/>
                <w14:textFill>
                  <w14:solidFill>
                    <w14:schemeClr w14:val="tx1"/>
                  </w14:solidFill>
                </w14:textFill>
              </w:rPr>
            </w:pPr>
            <w:r>
              <w:rPr>
                <w:rFonts w:ascii="Times New Roman" w:hAnsi="Times New Roman" w:cs="Times New Roman" w:eastAsiaTheme="minorEastAsia"/>
                <w:snapToGrid w:val="0"/>
                <w:color w:val="000000" w:themeColor="text1"/>
                <w:w w:val="99"/>
                <w:sz w:val="21"/>
                <w:szCs w:val="21"/>
                <w:lang w:val="en-US" w:bidi="ar-SA"/>
                <w14:textFill>
                  <w14:solidFill>
                    <w14:schemeClr w14:val="tx1"/>
                  </w14:solidFill>
                </w14:textFill>
              </w:rPr>
              <w:t>大庆油田有限责任公司</w:t>
            </w:r>
            <w:r>
              <w:rPr>
                <w:rFonts w:hint="eastAsia" w:ascii="Times New Roman" w:hAnsi="Times New Roman" w:cs="Times New Roman" w:eastAsiaTheme="minorEastAsia"/>
                <w:snapToGrid w:val="0"/>
                <w:color w:val="000000" w:themeColor="text1"/>
                <w:w w:val="99"/>
                <w:sz w:val="21"/>
                <w:szCs w:val="21"/>
                <w:lang w:val="en-US" w:eastAsia="zh-CN" w:bidi="ar-SA"/>
                <w14:textFill>
                  <w14:solidFill>
                    <w14:schemeClr w14:val="tx1"/>
                  </w14:solidFill>
                </w14:textFill>
              </w:rPr>
              <w:t>第五采油厂</w:t>
            </w:r>
          </w:p>
        </w:tc>
      </w:tr>
    </w:tbl>
    <w:p w14:paraId="505E81FE">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41" w:name="_Toc117794637"/>
      <w:r>
        <w:rPr>
          <w:rFonts w:ascii="Times New Roman" w:hAnsi="Times New Roman" w:cs="Times New Roman" w:eastAsiaTheme="minorEastAsia"/>
          <w:color w:val="000000" w:themeColor="text1"/>
          <w:w w:val="99"/>
          <w:kern w:val="2"/>
          <w:lang w:val="en-US" w:bidi="ar-SA"/>
          <w14:textFill>
            <w14:solidFill>
              <w14:schemeClr w14:val="tx1"/>
            </w14:solidFill>
          </w14:textFill>
        </w:rPr>
        <w:t>6.6.2水土流失保护措施</w:t>
      </w:r>
      <w:bookmarkEnd w:id="541"/>
    </w:p>
    <w:p w14:paraId="54ADCDA1">
      <w:pPr>
        <w:autoSpaceDE/>
        <w:autoSpaceDN/>
        <w:snapToGrid w:val="0"/>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hint="eastAsia"/>
          <w:color w:val="000000" w:themeColor="text1"/>
          <w:w w:val="99"/>
          <w:kern w:val="2"/>
          <w:sz w:val="24"/>
          <w:szCs w:val="24"/>
          <w:lang w:val="en-US" w:bidi="ar-SA"/>
          <w14:textFill>
            <w14:solidFill>
              <w14:schemeClr w14:val="tx1"/>
            </w14:solidFill>
          </w14:textFill>
        </w:rPr>
        <w:t>①</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工程防治措施</w:t>
      </w:r>
    </w:p>
    <w:p w14:paraId="2AB689F5">
      <w:pPr>
        <w:autoSpaceDE/>
        <w:autoSpaceDN/>
        <w:snapToGrid w:val="0"/>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管道工程施工时，要特别注意保护原始地表与天然植被，应划定施工活动范围，严格控制和管理车辆及重型机械的运行范围，所有车辆采用“一”字型作业法，走同一车辙，避免加行开辟新路。管沟挖、填方作业应尽量做到互补平衡，以免造成弃土方堆积和过多借土，增加新的水土流失。管沟回填应按层回填，以利于施工带土壤和植被的尽早恢复。回填后应予以平整、压实，以免发生水土流失。对高出地面部分做出水土保持要求，要求高出地面部分回填土按梯形堆放于管线上部，堆放后人工进行修整、拍实。项目区低洼地段，降雨季节施工的应先建好防洪、导流和泄洪设施后开工，以防洪水冲毁工程、机械，造成不必要的损失。</w:t>
      </w:r>
    </w:p>
    <w:p w14:paraId="37D74822">
      <w:pPr>
        <w:autoSpaceDE/>
        <w:autoSpaceDN/>
        <w:snapToGrid w:val="0"/>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hint="eastAsia"/>
          <w:color w:val="000000" w:themeColor="text1"/>
          <w:w w:val="99"/>
          <w:kern w:val="2"/>
          <w:sz w:val="24"/>
          <w:szCs w:val="24"/>
          <w:lang w:val="en-US" w:bidi="ar-SA"/>
          <w14:textFill>
            <w14:solidFill>
              <w14:schemeClr w14:val="tx1"/>
            </w14:solidFill>
          </w14:textFill>
        </w:rPr>
        <w:t>②</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生物防治措施</w:t>
      </w:r>
    </w:p>
    <w:p w14:paraId="58F708CE">
      <w:pPr>
        <w:autoSpaceDE/>
        <w:autoSpaceDN/>
        <w:snapToGrid w:val="0"/>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本项目水土保持生物措施主要根据油田地面植被情况，做好原有植被恢复工作和人工绿化工作，最大程度的降低因本项目施工建设和生产运行而新增的水土流失量，保护当地出现退化现象的草原生态系统，降低人为因素导致当地土壤盐碱化的趋势，尽量改善当地的生态环境。</w:t>
      </w:r>
    </w:p>
    <w:p w14:paraId="1819B97B">
      <w:pPr>
        <w:autoSpaceDE/>
        <w:autoSpaceDN/>
        <w:snapToGrid w:val="0"/>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hint="eastAsia"/>
          <w:color w:val="000000" w:themeColor="text1"/>
          <w:w w:val="99"/>
          <w:kern w:val="2"/>
          <w:sz w:val="24"/>
          <w:szCs w:val="24"/>
          <w:lang w:val="en-US" w:bidi="ar-SA"/>
          <w14:textFill>
            <w14:solidFill>
              <w14:schemeClr w14:val="tx1"/>
            </w14:solidFill>
          </w14:textFill>
        </w:rPr>
        <w:t>③</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管理措施</w:t>
      </w:r>
    </w:p>
    <w:p w14:paraId="2DED53B7">
      <w:pPr>
        <w:autoSpaceDE/>
        <w:autoSpaceDN/>
        <w:snapToGrid w:val="0"/>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因地制宜选择施工季节，尽量避开植被生长季节，减少损失，同时避开大风及强降水季节。施工期间应划定施工活动范围，严格控制和管理运输车辆、重型机械设备作业范围，以及施工人员的活动范围，由专人负责管理，减少施工作业对周围土壤和植被的破坏范围和程度。</w:t>
      </w:r>
    </w:p>
    <w:p w14:paraId="04B15785">
      <w:pPr>
        <w:autoSpaceDE/>
        <w:autoSpaceDN/>
        <w:snapToGrid w:val="0"/>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严禁在大风天气下运输及装卸施工散料等。在便道出入口，树立保护草地的警示牌，以提醒施工作业人员，减少人员随意践踏造成的水土流失。严禁开发建设施工材料乱堆乱放，划定适宜的堆料场，以防对植物破坏范围的扩大，增加裸地面积而新增的水土流失。</w:t>
      </w:r>
    </w:p>
    <w:p w14:paraId="22773A19">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hint="eastAsia"/>
          <w:color w:val="000000" w:themeColor="text1"/>
          <w:w w:val="99"/>
          <w:kern w:val="2"/>
          <w:sz w:val="24"/>
          <w:szCs w:val="24"/>
          <w:lang w:val="en-US" w:bidi="ar-SA"/>
          <w14:textFill>
            <w14:solidFill>
              <w14:schemeClr w14:val="tx1"/>
            </w14:solidFill>
          </w14:textFill>
        </w:rPr>
        <w:t>④</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补偿措施</w:t>
      </w:r>
    </w:p>
    <w:p w14:paraId="52FC8E13">
      <w:pPr>
        <w:autoSpaceDE/>
        <w:autoSpaceDN/>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按照国家“水土保持法”要求，凡是占用和破坏植被的单位或个人均应向水土保持主管部门缴纳一定的水土保持费用。国家为了加大水土保持工作力度，对水土保持费不断进行了调整，建设单位应按标准向水土保持主管部门缴纳水保费用。</w:t>
      </w:r>
    </w:p>
    <w:p w14:paraId="3DE34332">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42" w:name="_Toc117794638"/>
      <w:r>
        <w:rPr>
          <w:rFonts w:ascii="Times New Roman" w:hAnsi="Times New Roman" w:cs="Times New Roman" w:eastAsiaTheme="minorEastAsia"/>
          <w:color w:val="000000" w:themeColor="text1"/>
          <w:w w:val="99"/>
          <w:kern w:val="2"/>
          <w:lang w:val="en-US" w:bidi="ar-SA"/>
          <w14:textFill>
            <w14:solidFill>
              <w14:schemeClr w14:val="tx1"/>
            </w14:solidFill>
          </w14:textFill>
        </w:rPr>
        <w:t>6.6.3防沙治沙保护措施</w:t>
      </w:r>
      <w:bookmarkEnd w:id="542"/>
    </w:p>
    <w:p w14:paraId="5295BC44">
      <w:pPr>
        <w:autoSpaceDE/>
        <w:autoSpaceDN/>
        <w:snapToGrid w:val="0"/>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经调查，本工程开发区域沙化土壤分布较少，主要地类为土壤性能良好的耕地及草地，为减轻植被破坏和草地生态系统受工程影响可能导致的沙化现象，防患于未然，建设单位应采取以下措施进行控制：</w:t>
      </w:r>
    </w:p>
    <w:p w14:paraId="55645425">
      <w:pPr>
        <w:autoSpaceDE/>
        <w:autoSpaceDN/>
        <w:snapToGrid w:val="0"/>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hint="eastAsia"/>
          <w:color w:val="000000" w:themeColor="text1"/>
          <w:w w:val="99"/>
          <w:kern w:val="2"/>
          <w:sz w:val="24"/>
          <w:szCs w:val="24"/>
          <w:lang w:val="en-US" w:bidi="ar-SA"/>
          <w14:textFill>
            <w14:solidFill>
              <w14:schemeClr w14:val="tx1"/>
            </w14:solidFill>
          </w14:textFill>
        </w:rPr>
        <w:t>①</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施工作业避免在大风天施工，做好施工期开挖土方临时堆存的水土保持措施，确保土方水土流失得到有效控制。</w:t>
      </w:r>
    </w:p>
    <w:p w14:paraId="04FCE84F">
      <w:pPr>
        <w:autoSpaceDE/>
        <w:autoSpaceDN/>
        <w:snapToGrid w:val="0"/>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hint="eastAsia"/>
          <w:color w:val="000000" w:themeColor="text1"/>
          <w:w w:val="99"/>
          <w:kern w:val="2"/>
          <w:sz w:val="24"/>
          <w:szCs w:val="24"/>
          <w:lang w:val="en-US" w:bidi="ar-SA"/>
          <w14:textFill>
            <w14:solidFill>
              <w14:schemeClr w14:val="tx1"/>
            </w14:solidFill>
          </w14:textFill>
        </w:rPr>
        <w:t>②</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管道采用沟埋敷设，施工结束后及时有效地对占地区域土地进行平整，并压实，利于植被自然恢复。</w:t>
      </w:r>
    </w:p>
    <w:p w14:paraId="7568E282">
      <w:pPr>
        <w:autoSpaceDE/>
        <w:autoSpaceDN/>
        <w:snapToGrid w:val="0"/>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hint="eastAsia"/>
          <w:color w:val="000000" w:themeColor="text1"/>
          <w:w w:val="99"/>
          <w:kern w:val="2"/>
          <w:sz w:val="24"/>
          <w:szCs w:val="24"/>
          <w:lang w:val="en-US" w:bidi="ar-SA"/>
          <w14:textFill>
            <w14:solidFill>
              <w14:schemeClr w14:val="tx1"/>
            </w14:solidFill>
          </w14:textFill>
        </w:rPr>
        <w:t>③</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在施工活动结束后，要立即对施工现场进行回填平整，并尽可能覆土压实，基本程序是回填－平整－覆土－压实。工程回填物应首先考虑弃土、弃石和弃渣，并力求做到“挖填平衡”。</w:t>
      </w:r>
    </w:p>
    <w:p w14:paraId="24CDEE3B">
      <w:pPr>
        <w:spacing w:line="440" w:lineRule="exact"/>
        <w:ind w:firstLine="474" w:firstLineChars="200"/>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hint="eastAsia"/>
          <w:color w:val="000000" w:themeColor="text1"/>
          <w:w w:val="99"/>
          <w:kern w:val="2"/>
          <w:sz w:val="24"/>
          <w:szCs w:val="24"/>
          <w:lang w:val="en-US" w:bidi="ar-SA"/>
          <w14:textFill>
            <w14:solidFill>
              <w14:schemeClr w14:val="tx1"/>
            </w14:solidFill>
          </w14:textFill>
        </w:rPr>
        <w:t>④</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施工时要特别注意保护原始地表与天然植被，划定施工活动范围，严格控制和管理车辆及重型机械的运行范围，所有车辆采用“一”字型作业法，避免并行开辟新路，以减少风蚀沙化活动的范围。</w:t>
      </w:r>
    </w:p>
    <w:p w14:paraId="39DAF51D">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543" w:name="_Toc117794639"/>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6.7 环境风险防范措施</w:t>
      </w:r>
      <w:bookmarkEnd w:id="543"/>
    </w:p>
    <w:p w14:paraId="1FFA3181">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r>
        <w:rPr>
          <w:rFonts w:ascii="Times New Roman" w:hAnsi="Times New Roman" w:cs="Times New Roman" w:eastAsiaTheme="minorEastAsia"/>
          <w:color w:val="000000" w:themeColor="text1"/>
          <w:w w:val="99"/>
          <w:kern w:val="2"/>
          <w:lang w:val="en-US" w:bidi="ar-SA"/>
          <w14:textFill>
            <w14:solidFill>
              <w14:schemeClr w14:val="tx1"/>
            </w14:solidFill>
          </w14:textFill>
        </w:rPr>
        <w:t>6.7.1 施工期</w:t>
      </w:r>
    </w:p>
    <w:p w14:paraId="5C49DEC7">
      <w:pPr>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（1） 在施工过程中，加强监理，确保焊接和涂层等施工质量；</w:t>
      </w:r>
    </w:p>
    <w:p w14:paraId="18F46BFC">
      <w:pPr>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（2）建立施工质量保证体系，提高施工检验人员的水平，强化检验手段；制定严格的规章制度，发现缺陷，及时正确修补并做好记录；</w:t>
      </w:r>
    </w:p>
    <w:p w14:paraId="73DF6767">
      <w:pPr>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（3）进行水压试验，排除焊缝和母材的缺陷，增加管道的安全性。</w:t>
      </w:r>
    </w:p>
    <w:p w14:paraId="5C8ED7D9">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r>
        <w:rPr>
          <w:rFonts w:ascii="Times New Roman" w:hAnsi="Times New Roman" w:cs="Times New Roman" w:eastAsiaTheme="minorEastAsia"/>
          <w:color w:val="000000" w:themeColor="text1"/>
          <w:w w:val="99"/>
          <w:kern w:val="2"/>
          <w:lang w:val="en-US" w:bidi="ar-SA"/>
          <w14:textFill>
            <w14:solidFill>
              <w14:schemeClr w14:val="tx1"/>
            </w14:solidFill>
          </w14:textFill>
        </w:rPr>
        <w:t>6.7.2 运行期</w:t>
      </w:r>
    </w:p>
    <w:p w14:paraId="6EFB7C5E">
      <w:pPr>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（1）工程投产运行前，应制定出正常、异常或紧急状态下的操作手册和维修手册，并对操作、维修人员进行培训，持证上岗，避免因操作失误导致事故发生；</w:t>
      </w:r>
    </w:p>
    <w:p w14:paraId="40DF0880">
      <w:pPr>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（2）制定应急操作规程，在规程中应说明发生管道泄漏、火灾爆炸时应采取的操作步骤，规定抢修进度，减少事故的影响。另外还应说明与管道操作人员有关的安全问题；</w:t>
      </w:r>
    </w:p>
    <w:p w14:paraId="4755F522">
      <w:pPr>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（3）日常监督、隐患整改、事故发生、操作失误等各项安全行为应建立档案；</w:t>
      </w:r>
    </w:p>
    <w:p w14:paraId="47AA0300">
      <w:pPr>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（4）生产部门和环保部门建立安全环保管理工作考核细则，实行量化考核；</w:t>
      </w:r>
    </w:p>
    <w:p w14:paraId="6041F52F">
      <w:pPr>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（5）严格岗位责任制，定期对工人进行安全和环境保护意识教育；</w:t>
      </w:r>
    </w:p>
    <w:p w14:paraId="5D67F246">
      <w:pPr>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（6）对事故应急预案进行补充完善，使其更加合理有效；</w:t>
      </w:r>
    </w:p>
    <w:p w14:paraId="77C65E56">
      <w:pPr>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（7）加强对工程附近居民的宣传教育，减少、避免第三方破坏事故；</w:t>
      </w:r>
    </w:p>
    <w:p w14:paraId="101E1390">
      <w:pPr>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（8）加强油田保卫工作，保证油田各种生产设施安全运行，杜绝安全、</w:t>
      </w:r>
      <w:bookmarkStart w:id="544" w:name="_bookmark72"/>
      <w:bookmarkEnd w:id="544"/>
      <w:r>
        <w:rPr>
          <w:rFonts w:ascii="Times New Roman" w:hAnsi="Times New Roman" w:cs="Times New Roman" w:eastAsiaTheme="minorEastAsia"/>
          <w:color w:val="000000" w:themeColor="text1"/>
          <w:w w:val="99"/>
          <w:sz w:val="24"/>
          <w:szCs w:val="24"/>
          <w14:textFill>
            <w14:solidFill>
              <w14:schemeClr w14:val="tx1"/>
            </w14:solidFill>
          </w14:textFill>
        </w:rPr>
        <w:t>环保事故的发生；</w:t>
      </w:r>
    </w:p>
    <w:p w14:paraId="6CE13AC6">
      <w:pPr>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（9）泄漏事故具有隐蔽性和灾难性，要加强监控，对集输管线腐蚀情况定期检测，及时维修或更新；</w:t>
      </w:r>
    </w:p>
    <w:p w14:paraId="1798B85E">
      <w:pPr>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（10）确保应急工具和设备齐备完好，以便在发生泄漏事故时对产生的污油污水进行及时回收和处理，防止污油污水扩散。</w:t>
      </w:r>
    </w:p>
    <w:p w14:paraId="58E59A21">
      <w:pPr>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（11）定期检测集输管线防腐及腐蚀情况，及时维修或更新；</w:t>
      </w:r>
    </w:p>
    <w:p w14:paraId="54F90969">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r>
        <w:rPr>
          <w:rFonts w:ascii="Times New Roman" w:hAnsi="Times New Roman" w:cs="Times New Roman" w:eastAsiaTheme="minorEastAsia"/>
          <w:color w:val="000000" w:themeColor="text1"/>
          <w:w w:val="99"/>
          <w:kern w:val="2"/>
          <w:lang w:val="en-US" w:bidi="ar-SA"/>
          <w14:textFill>
            <w14:solidFill>
              <w14:schemeClr w14:val="tx1"/>
            </w14:solidFill>
          </w14:textFill>
        </w:rPr>
        <w:t>6.7.3 环境风险防范措施及应急要求</w:t>
      </w:r>
    </w:p>
    <w:p w14:paraId="70EAF31C">
      <w:pPr>
        <w:spacing w:before="91" w:line="328" w:lineRule="auto"/>
        <w:ind w:right="83"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（1）对油田设施采用新技术，提高油田设施的抗蚀防腐能力，如采取耐腐蚀管线进行铺设。从而减少由于设施因素引发油水泄漏事故的几率；</w:t>
      </w:r>
    </w:p>
    <w:p w14:paraId="007D5D94">
      <w:pPr>
        <w:spacing w:before="91" w:line="328" w:lineRule="auto"/>
        <w:ind w:right="83"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2）加强应急预警和紧急切断等措施，加强自动控制系统的管理和控制，严格控制压力平衡。定期对管线进行检查，对壁厚低于规定要求的管段应及时更换，消除爆管的隐患；定期对集输管线上的安全保护设施，如截断阀、安全阀、放空系统等进行检查，使管道在超压时能够得到安全处理，在管道破裂时能够及时截断上下游管段，以减少事故时油气的释放量，使危害影响范围减小到最低程度。</w:t>
      </w:r>
    </w:p>
    <w:p w14:paraId="647BB986">
      <w:pPr>
        <w:spacing w:before="91" w:line="328" w:lineRule="auto"/>
        <w:ind w:right="83"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（3）当管线发生泄漏时应及时修筑围堤，控制油水的扩散范围，保护周围生态环境；同时明确泄漏可能导致的后果，泄漏危急周围环境的可能性，隔离泄漏区，周围设警告标志；</w:t>
      </w:r>
    </w:p>
    <w:p w14:paraId="798943D0">
      <w:pPr>
        <w:spacing w:before="91" w:line="328" w:lineRule="auto"/>
        <w:ind w:right="83"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（4）对被泄漏原油污染的土壤清理干净后送含油污泥处理站进行处理。</w:t>
      </w:r>
    </w:p>
    <w:p w14:paraId="21FB6AB7">
      <w:pPr>
        <w:spacing w:before="91" w:line="328" w:lineRule="auto"/>
        <w:ind w:right="83"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（5）当发生油田伴生气泄漏应划出警戒线，告知围观群众危险性，劝之不要动用火源，防止火灾及爆炸事故发生；同时根据泄漏情况有组织性的疏散周围相关人员；</w:t>
      </w:r>
    </w:p>
    <w:p w14:paraId="4539B48A">
      <w:pPr>
        <w:spacing w:before="91" w:line="328" w:lineRule="auto"/>
        <w:ind w:right="83"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（6）定期检测管道的内外腐蚀及防腐层破损情况，及时更换或维修；</w:t>
      </w:r>
    </w:p>
    <w:p w14:paraId="51CFE59A">
      <w:pPr>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（7）制定定期巡查制度，加大巡线频率，提高巡线的有效性，发现对管道安全有影响的行为，应及时制止、采取相应措施并及时向上级汇报。</w:t>
      </w:r>
    </w:p>
    <w:p w14:paraId="2FA82C1F">
      <w:pPr>
        <w:spacing w:before="91" w:line="328" w:lineRule="auto"/>
        <w:ind w:right="83"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（8）平稳操作，避免系统压力超高放空；</w:t>
      </w:r>
    </w:p>
    <w:p w14:paraId="61B17FAB">
      <w:pPr>
        <w:spacing w:before="91" w:line="328" w:lineRule="auto"/>
        <w:ind w:right="83"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（9）建立应急响应机构，配备快捷的交通通讯工具，以便对泄漏事故及时作出反应和处理。</w:t>
      </w:r>
    </w:p>
    <w:p w14:paraId="717BBE3A">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r>
        <w:rPr>
          <w:rFonts w:ascii="Times New Roman" w:hAnsi="Times New Roman" w:cs="Times New Roman" w:eastAsiaTheme="minorEastAsia"/>
          <w:color w:val="000000" w:themeColor="text1"/>
          <w:w w:val="99"/>
          <w:kern w:val="2"/>
          <w:lang w:val="en-US" w:bidi="ar-SA"/>
          <w14:textFill>
            <w14:solidFill>
              <w14:schemeClr w14:val="tx1"/>
            </w14:solidFill>
          </w14:textFill>
        </w:rPr>
        <w:t>6.7.4事故应急救援预案</w:t>
      </w:r>
    </w:p>
    <w:p w14:paraId="333DA19F">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大庆油田公司突发事件应急管理归口部门为公司生产运行部门，为及时应对突发事件，快速调动应急资源，以消防支队为依托，组建了国家级专业应急救援队伍1支，以及作业井喷应急救援队伍、原油泄漏应急救援队伍、天然气泄漏应急救援队伍、电力系统故障应急救援队伍、水上溢油应急救援队伍、医疗卫生救援队伍7个油田公司级应急救援队伍，在各二级单位建设综合应急救援队伍，基本形成了覆盖油田生产各专业的应急救援队伍体系。</w:t>
      </w:r>
    </w:p>
    <w:p w14:paraId="5E6E0FA0">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根据突发环境事件级别确定上报部门及应急队伍响应级别。从发现环境事件后要上报突发环境事件初报，初判发生Ⅲ级突发环境事件时，由三级单位负责应对工作，具体为现场人员、三级单位应急救援队伍或区域消防队进行应对；初判发Ⅱ级突发环境事件时，由二级单位负责应对工作，具体为二级单位综合应急救援队伍和区域消防队进行应对，必要时向油田公司求援，调集油田公司级应急救援队伍；初判发生I级突发环境事件时，30分钟内向突发环境事件应急办公室初报，启动油田公司突发事件应急响应程序，启动油田公司级专业工作组、综合工作组、专业应急救援队伍。</w:t>
      </w:r>
    </w:p>
    <w:p w14:paraId="3F5A562D">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本工程为改扩建工程，目前大庆油田有限责任公司</w:t>
      </w:r>
      <w:r>
        <w:rPr>
          <w:rFonts w:hint="eastAsia" w:ascii="Times New Roman" w:hAnsi="Times New Roman" w:cs="Times New Roman" w:eastAsiaTheme="minorEastAsia"/>
          <w:color w:val="000000" w:themeColor="text1"/>
          <w:w w:val="99"/>
          <w:sz w:val="24"/>
          <w:szCs w:val="24"/>
          <w:lang w:eastAsia="zh-CN"/>
          <w14:textFill>
            <w14:solidFill>
              <w14:schemeClr w14:val="tx1"/>
            </w14:solidFill>
          </w14:textFill>
        </w:rPr>
        <w:t>第五采油厂</w:t>
      </w:r>
      <w:r>
        <w:rPr>
          <w:rFonts w:ascii="Times New Roman" w:hAnsi="Times New Roman" w:cs="Times New Roman" w:eastAsiaTheme="minorEastAsia"/>
          <w:color w:val="000000" w:themeColor="text1"/>
          <w:w w:val="99"/>
          <w:sz w:val="24"/>
          <w:szCs w:val="24"/>
          <w14:textFill>
            <w14:solidFill>
              <w14:schemeClr w14:val="tx1"/>
            </w14:solidFill>
          </w14:textFill>
        </w:rPr>
        <w:t>已建立较完善的应急预案体系，综合性预案为《大庆油田有限责任公司</w:t>
      </w:r>
      <w:r>
        <w:rPr>
          <w:rFonts w:hint="eastAsia" w:ascii="Times New Roman" w:hAnsi="Times New Roman" w:cs="Times New Roman" w:eastAsiaTheme="minorEastAsia"/>
          <w:color w:val="000000" w:themeColor="text1"/>
          <w:w w:val="99"/>
          <w:sz w:val="24"/>
          <w:szCs w:val="24"/>
          <w:lang w:eastAsia="zh-CN"/>
          <w14:textFill>
            <w14:solidFill>
              <w14:schemeClr w14:val="tx1"/>
            </w14:solidFill>
          </w14:textFill>
        </w:rPr>
        <w:t>第五采油厂</w:t>
      </w:r>
      <w:r>
        <w:rPr>
          <w:rFonts w:ascii="Times New Roman" w:hAnsi="Times New Roman" w:cs="Times New Roman" w:eastAsiaTheme="minorEastAsia"/>
          <w:color w:val="000000" w:themeColor="text1"/>
          <w:w w:val="99"/>
          <w:sz w:val="24"/>
          <w:szCs w:val="24"/>
          <w14:textFill>
            <w14:solidFill>
              <w14:schemeClr w14:val="tx1"/>
            </w14:solidFill>
          </w14:textFill>
        </w:rPr>
        <w:t>综合(总体)应急预案》，还针对不同的事故分别编制了《突发环境事件专项应急预案》、《输油气管道突发事件专项应急预案》、《注水系统突发事件专项应急预案》等专项应急预案。其中总体预案适用于自然灾害、事故灾难、公共卫生、社会安全四类突发事件的应对工作，主要包括应急组织机构及职责明确、风险分析与应急能力评估、预防与预警、应急响应与保障等内容，重点明确各分项预案所述事件类型及事件各级应急组织机构框架内容，起到总体掌控的作用；《环境突发事件专项预案》中不仅包含了风险分析与事件分级、应急响应等内容，而且明确了环境突发事件应急储备物资清单、应急联络单等内容；《输油系统突发事件专项预案》中根据自然灾害、人为破坏、人为操作失误和设备缺陷等原因，在生产、使用、贮存、运输和油气处置工艺过程中易出现原油、天然气等危化品泄漏现象确定突发事件类型，主要涵盖4类风险：</w:t>
      </w:r>
      <w:r>
        <w:rPr>
          <w:rFonts w:hint="eastAsia"/>
          <w:color w:val="000000" w:themeColor="text1"/>
          <w:w w:val="99"/>
          <w:sz w:val="24"/>
          <w:szCs w:val="24"/>
          <w14:textFill>
            <w14:solidFill>
              <w14:schemeClr w14:val="tx1"/>
            </w14:solidFill>
          </w14:textFill>
        </w:rPr>
        <w:t>①</w:t>
      </w:r>
      <w:r>
        <w:rPr>
          <w:rFonts w:ascii="Times New Roman" w:hAnsi="Times New Roman" w:cs="Times New Roman" w:eastAsiaTheme="minorEastAsia"/>
          <w:color w:val="000000" w:themeColor="text1"/>
          <w:w w:val="99"/>
          <w:sz w:val="24"/>
          <w:szCs w:val="24"/>
          <w14:textFill>
            <w14:solidFill>
              <w14:schemeClr w14:val="tx1"/>
            </w14:solidFill>
          </w14:textFill>
        </w:rPr>
        <w:t>油气等生产过程中输送物料管线发生泄漏。</w:t>
      </w:r>
      <w:r>
        <w:rPr>
          <w:rFonts w:hint="eastAsia"/>
          <w:color w:val="000000" w:themeColor="text1"/>
          <w:w w:val="99"/>
          <w:sz w:val="24"/>
          <w:szCs w:val="24"/>
          <w14:textFill>
            <w14:solidFill>
              <w14:schemeClr w14:val="tx1"/>
            </w14:solidFill>
          </w14:textFill>
        </w:rPr>
        <w:t>②</w:t>
      </w:r>
      <w:r>
        <w:rPr>
          <w:rFonts w:ascii="Times New Roman" w:hAnsi="Times New Roman" w:cs="Times New Roman" w:eastAsiaTheme="minorEastAsia"/>
          <w:color w:val="000000" w:themeColor="text1"/>
          <w:w w:val="99"/>
          <w:sz w:val="24"/>
          <w:szCs w:val="24"/>
          <w14:textFill>
            <w14:solidFill>
              <w14:schemeClr w14:val="tx1"/>
            </w14:solidFill>
          </w14:textFill>
        </w:rPr>
        <w:t>产品储存区等出现泄漏事故。</w:t>
      </w:r>
      <w:r>
        <w:rPr>
          <w:rFonts w:hint="eastAsia"/>
          <w:color w:val="000000" w:themeColor="text1"/>
          <w:w w:val="99"/>
          <w:sz w:val="24"/>
          <w:szCs w:val="24"/>
          <w14:textFill>
            <w14:solidFill>
              <w14:schemeClr w14:val="tx1"/>
            </w14:solidFill>
          </w14:textFill>
        </w:rPr>
        <w:t>③</w:t>
      </w:r>
      <w:r>
        <w:rPr>
          <w:rFonts w:ascii="Times New Roman" w:hAnsi="Times New Roman" w:cs="Times New Roman" w:eastAsiaTheme="minorEastAsia"/>
          <w:color w:val="000000" w:themeColor="text1"/>
          <w:w w:val="99"/>
          <w:sz w:val="24"/>
          <w:szCs w:val="24"/>
          <w14:textFill>
            <w14:solidFill>
              <w14:schemeClr w14:val="tx1"/>
            </w14:solidFill>
          </w14:textFill>
        </w:rPr>
        <w:t>作业环境由于设备、管道、阀门、法兰等容器使用、腐蚀、损伤或密封圈损坏等原因，出现泄漏。</w:t>
      </w:r>
      <w:r>
        <w:rPr>
          <w:rFonts w:hint="eastAsia"/>
          <w:color w:val="000000" w:themeColor="text1"/>
          <w:w w:val="99"/>
          <w:sz w:val="24"/>
          <w:szCs w:val="24"/>
          <w14:textFill>
            <w14:solidFill>
              <w14:schemeClr w14:val="tx1"/>
            </w14:solidFill>
          </w14:textFill>
        </w:rPr>
        <w:t>④</w:t>
      </w:r>
      <w:r>
        <w:rPr>
          <w:rFonts w:ascii="Times New Roman" w:hAnsi="Times New Roman" w:cs="Times New Roman" w:eastAsiaTheme="minorEastAsia"/>
          <w:color w:val="000000" w:themeColor="text1"/>
          <w:w w:val="99"/>
          <w:sz w:val="24"/>
          <w:szCs w:val="24"/>
          <w14:textFill>
            <w14:solidFill>
              <w14:schemeClr w14:val="tx1"/>
            </w14:solidFill>
          </w14:textFill>
        </w:rPr>
        <w:t>装卸过程中，由于泵、法兰、管道、密闭等处发生泄漏或者由于装料过满、受热膨胀等发生泄漏。针对这四种风险，该《应急预案进行了组织机构及职责明确、预防与预警设置、应急响应与保障内容确定以及油气集输突发事件的联络信息公布，预案内容针对性较强，组织结构框架合理。总体上看，建设单位目前拥有的应急预案内容较为完善，已有应急预案能够满足建设项目的要求，但应加强对应急预案的定期风险应急演练及员工培训。上述制定的事故应急预案，已报当地政府备案，并定期进行演练。</w:t>
      </w:r>
    </w:p>
    <w:p w14:paraId="07A8C927">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通过分析，工程在发生事故状态下可依托已经制定的相关应急预案及相关应急资源。</w:t>
      </w:r>
    </w:p>
    <w:p w14:paraId="7139979C">
      <w:pPr>
        <w:pStyle w:val="129"/>
        <w:spacing w:line="440" w:lineRule="exact"/>
        <w:ind w:firstLine="0" w:firstLineChars="0"/>
        <w:jc w:val="both"/>
        <w:outlineLvl w:val="3"/>
        <w:rPr>
          <w:rFonts w:ascii="Times New Roman" w:hAnsi="Times New Roman" w:eastAsiaTheme="minorEastAsia"/>
          <w:b/>
          <w:color w:val="000000" w:themeColor="text1"/>
          <w:w w:val="99"/>
          <w:sz w:val="24"/>
          <w:szCs w:val="24"/>
          <w:lang w:val="en-US"/>
          <w14:textFill>
            <w14:solidFill>
              <w14:schemeClr w14:val="tx1"/>
            </w14:solidFill>
          </w14:textFill>
        </w:rPr>
      </w:pPr>
      <w:r>
        <w:rPr>
          <w:rFonts w:ascii="Times New Roman" w:hAnsi="Times New Roman" w:eastAsiaTheme="minorEastAsia"/>
          <w:b/>
          <w:color w:val="000000" w:themeColor="text1"/>
          <w:w w:val="99"/>
          <w:sz w:val="24"/>
          <w:szCs w:val="24"/>
          <w:lang w:val="en-US"/>
          <w14:textFill>
            <w14:solidFill>
              <w14:schemeClr w14:val="tx1"/>
            </w14:solidFill>
          </w14:textFill>
        </w:rPr>
        <w:t>6.7.4.1 确定危害和风险</w:t>
      </w:r>
    </w:p>
    <w:p w14:paraId="497A2F96">
      <w:pPr>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本项目潜在的环境风险事故是泄露、火灾和爆炸。通过正确地判别和评价本项目潜在的环境风险事故，制定相应的应急措施，可将风险和影响降到合理实际并尽可能低的水平，最大程度地保护人、环境和财产不受或少受影响。</w:t>
      </w:r>
    </w:p>
    <w:p w14:paraId="6F806754">
      <w:pPr>
        <w:pStyle w:val="129"/>
        <w:spacing w:line="440" w:lineRule="exact"/>
        <w:ind w:firstLine="0" w:firstLineChars="0"/>
        <w:jc w:val="both"/>
        <w:outlineLvl w:val="3"/>
        <w:rPr>
          <w:rFonts w:ascii="Times New Roman" w:hAnsi="Times New Roman" w:eastAsiaTheme="minorEastAsia"/>
          <w:b/>
          <w:color w:val="000000" w:themeColor="text1"/>
          <w:w w:val="99"/>
          <w:sz w:val="24"/>
          <w:szCs w:val="24"/>
          <w:lang w:val="en-US"/>
          <w14:textFill>
            <w14:solidFill>
              <w14:schemeClr w14:val="tx1"/>
            </w14:solidFill>
          </w14:textFill>
        </w:rPr>
      </w:pPr>
      <w:r>
        <w:rPr>
          <w:rFonts w:ascii="Times New Roman" w:hAnsi="Times New Roman" w:eastAsiaTheme="minorEastAsia"/>
          <w:b/>
          <w:color w:val="000000" w:themeColor="text1"/>
          <w:w w:val="99"/>
          <w:sz w:val="24"/>
          <w:szCs w:val="24"/>
          <w:lang w:val="en-US"/>
          <w14:textFill>
            <w14:solidFill>
              <w14:schemeClr w14:val="tx1"/>
            </w14:solidFill>
          </w14:textFill>
        </w:rPr>
        <w:t>6.7.4.2 应急预案基本内容</w:t>
      </w:r>
    </w:p>
    <w:p w14:paraId="2C08F98D">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针对本项目可能发生的风险事故，制定相应的应急预案，以处理突发事故，降低风险，并与当地政府应急预案衔接，报当地政府备案。本工程位于已建区块内，可以纳入</w:t>
      </w:r>
      <w:r>
        <w:rPr>
          <w:rFonts w:hint="eastAsia" w:ascii="Times New Roman" w:hAnsi="Times New Roman" w:cs="Times New Roman" w:eastAsiaTheme="minorEastAsia"/>
          <w:color w:val="000000" w:themeColor="text1"/>
          <w:w w:val="99"/>
          <w:sz w:val="24"/>
          <w:szCs w:val="24"/>
          <w:lang w:eastAsia="zh-CN"/>
          <w14:textFill>
            <w14:solidFill>
              <w14:schemeClr w14:val="tx1"/>
            </w14:solidFill>
          </w14:textFill>
        </w:rPr>
        <w:t>第五采油厂</w:t>
      </w:r>
      <w:r>
        <w:rPr>
          <w:rFonts w:ascii="Times New Roman" w:hAnsi="Times New Roman" w:cs="Times New Roman" w:eastAsiaTheme="minorEastAsia"/>
          <w:color w:val="000000" w:themeColor="text1"/>
          <w:w w:val="99"/>
          <w:sz w:val="24"/>
          <w:szCs w:val="24"/>
          <w14:textFill>
            <w14:solidFill>
              <w14:schemeClr w14:val="tx1"/>
            </w14:solidFill>
          </w14:textFill>
        </w:rPr>
        <w:t>原有应急体系内，不需对本工程提出新的应急预案，发生风险事故时按已建立的事故风险应急预案执行，在执行应急预案的同时，要加强区域应急联动体系，发生事故必要时可直接向向邻近企业、单位和政府部门、消防队、环保局、安全生产监督管理局和市政府报告，申请求援并要求周围企业单位启动应急计划。该应急预案需补充内容如下：</w:t>
      </w:r>
    </w:p>
    <w:p w14:paraId="6F5A6FC2">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（1）依托大庆油田公司监测机构建立事故应急监测机制，及时进行事故环境影响监测。</w:t>
      </w:r>
    </w:p>
    <w:p w14:paraId="7B7E6800">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（2）环境监测内容</w:t>
      </w:r>
    </w:p>
    <w:p w14:paraId="3B68B206">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本项目发生污染事故时，对环境的影响主要是对生态(包括土壤、植被)和大气环境的影响，应急监测主要是这几方面的内容。</w:t>
      </w:r>
    </w:p>
    <w:p w14:paraId="3A826AEB">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hint="eastAsia"/>
          <w:color w:val="000000" w:themeColor="text1"/>
          <w:w w:val="99"/>
          <w:sz w:val="24"/>
          <w:szCs w:val="24"/>
          <w14:textFill>
            <w14:solidFill>
              <w14:schemeClr w14:val="tx1"/>
            </w14:solidFill>
          </w14:textFill>
        </w:rPr>
        <w:t>①</w:t>
      </w:r>
      <w:r>
        <w:rPr>
          <w:rFonts w:ascii="Times New Roman" w:hAnsi="Times New Roman" w:cs="Times New Roman" w:eastAsiaTheme="minorEastAsia"/>
          <w:color w:val="000000" w:themeColor="text1"/>
          <w:w w:val="99"/>
          <w:sz w:val="24"/>
          <w:szCs w:val="24"/>
          <w14:textFill>
            <w14:solidFill>
              <w14:schemeClr w14:val="tx1"/>
            </w14:solidFill>
          </w14:textFill>
        </w:rPr>
        <w:t>生态方面：对事故现场及周围区域的植物、土壤进行危害监测，并在事故后不定期的对生态环境的恢复状况进行监测。</w:t>
      </w:r>
    </w:p>
    <w:p w14:paraId="384C91F0">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hint="eastAsia"/>
          <w:color w:val="000000" w:themeColor="text1"/>
          <w:w w:val="99"/>
          <w:sz w:val="24"/>
          <w:szCs w:val="24"/>
          <w14:textFill>
            <w14:solidFill>
              <w14:schemeClr w14:val="tx1"/>
            </w14:solidFill>
          </w14:textFill>
        </w:rPr>
        <w:t>②</w:t>
      </w:r>
      <w:r>
        <w:rPr>
          <w:rFonts w:ascii="Times New Roman" w:hAnsi="Times New Roman" w:cs="Times New Roman" w:eastAsiaTheme="minorEastAsia"/>
          <w:color w:val="000000" w:themeColor="text1"/>
          <w:w w:val="99"/>
          <w:sz w:val="24"/>
          <w:szCs w:val="24"/>
          <w14:textFill>
            <w14:solidFill>
              <w14:schemeClr w14:val="tx1"/>
            </w14:solidFill>
          </w14:textFill>
        </w:rPr>
        <w:t>大气环境：应对事故全过程(发生时，控制时和事故后)进行监测，特别应对事故发生地附近的敏感区域进行大气监测。</w:t>
      </w:r>
    </w:p>
    <w:p w14:paraId="6C87727C">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hint="eastAsia"/>
          <w:color w:val="000000" w:themeColor="text1"/>
          <w:w w:val="99"/>
          <w:sz w:val="24"/>
          <w:szCs w:val="24"/>
          <w14:textFill>
            <w14:solidFill>
              <w14:schemeClr w14:val="tx1"/>
            </w14:solidFill>
          </w14:textFill>
        </w:rPr>
        <w:t>③</w:t>
      </w:r>
      <w:r>
        <w:rPr>
          <w:rFonts w:ascii="Times New Roman" w:hAnsi="Times New Roman" w:cs="Times New Roman" w:eastAsiaTheme="minorEastAsia"/>
          <w:color w:val="000000" w:themeColor="text1"/>
          <w:w w:val="99"/>
          <w:sz w:val="24"/>
          <w:szCs w:val="24"/>
          <w14:textFill>
            <w14:solidFill>
              <w14:schemeClr w14:val="tx1"/>
            </w14:solidFill>
          </w14:textFill>
        </w:rPr>
        <w:t>水环境：应对事故全过程(发生时，控制时和事故后)所影响的地表水环境和地下水环境进行监测。</w:t>
      </w:r>
    </w:p>
    <w:p w14:paraId="233FF822">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hint="eastAsia" w:ascii="Times New Roman" w:hAnsi="Times New Roman" w:cs="Times New Roman" w:eastAsiaTheme="minorEastAsia"/>
          <w:color w:val="000000" w:themeColor="text1"/>
          <w:w w:val="99"/>
          <w:sz w:val="24"/>
          <w:szCs w:val="24"/>
          <w14:textFill>
            <w14:solidFill>
              <w14:schemeClr w14:val="tx1"/>
            </w14:solidFill>
          </w14:textFill>
        </w:rPr>
        <w:t>④</w:t>
      </w:r>
      <w:r>
        <w:rPr>
          <w:rFonts w:ascii="Times New Roman" w:hAnsi="Times New Roman" w:cs="Times New Roman" w:eastAsiaTheme="minorEastAsia"/>
          <w:color w:val="000000" w:themeColor="text1"/>
          <w:w w:val="99"/>
          <w:sz w:val="24"/>
          <w:szCs w:val="24"/>
          <w14:textFill>
            <w14:solidFill>
              <w14:schemeClr w14:val="tx1"/>
            </w14:solidFill>
          </w14:textFill>
        </w:rPr>
        <w:t>土壤环境：应对事故全过程(发生时，控制时和事故后)进行监测，特别应对事故发生地附近的敏感区域进行土壤监测。</w:t>
      </w:r>
    </w:p>
    <w:p w14:paraId="681EF835">
      <w:pPr>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hint="eastAsia"/>
          <w:color w:val="000000" w:themeColor="text1"/>
          <w:w w:val="99"/>
          <w:sz w:val="24"/>
          <w:szCs w:val="24"/>
          <w14:textFill>
            <w14:solidFill>
              <w14:schemeClr w14:val="tx1"/>
            </w14:solidFill>
          </w14:textFill>
        </w:rPr>
        <w:t>⑤</w:t>
      </w:r>
      <w:r>
        <w:rPr>
          <w:rFonts w:ascii="Times New Roman" w:hAnsi="Times New Roman" w:cs="Times New Roman" w:eastAsiaTheme="minorEastAsia"/>
          <w:color w:val="000000" w:themeColor="text1"/>
          <w:w w:val="99"/>
          <w:sz w:val="24"/>
          <w:szCs w:val="24"/>
          <w14:textFill>
            <w14:solidFill>
              <w14:schemeClr w14:val="tx1"/>
            </w14:solidFill>
          </w14:textFill>
        </w:rPr>
        <w:t>负责单位要根据监测结果编制事故污染报告，确定事故影响范围，为制定治理措施提供依据。</w:t>
      </w:r>
    </w:p>
    <w:p w14:paraId="7B56D5BA">
      <w:pPr>
        <w:spacing w:line="440" w:lineRule="exact"/>
        <w:ind w:firstLine="474" w:firstLineChars="200"/>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由于本次改造管线采用常规工艺，油气集输和污染治理工艺成熟、可靠，由前述分析可知以上提出的各项环境保护措施是切实有效的，同时工程对油田生产全过程采取环境保护管理措施和技术措施，有效的预防和减</w:t>
      </w:r>
      <w:bookmarkStart w:id="545" w:name="_bookmark110"/>
      <w:bookmarkEnd w:id="545"/>
      <w:r>
        <w:rPr>
          <w:rFonts w:ascii="Times New Roman" w:hAnsi="Times New Roman" w:cs="Times New Roman" w:eastAsiaTheme="minorEastAsia"/>
          <w:color w:val="000000" w:themeColor="text1"/>
          <w:w w:val="99"/>
          <w:sz w:val="24"/>
          <w:szCs w:val="24"/>
          <w14:textFill>
            <w14:solidFill>
              <w14:schemeClr w14:val="tx1"/>
            </w14:solidFill>
          </w14:textFill>
        </w:rPr>
        <w:t>缓本次产能建设可能带来的不良环境影响。</w:t>
      </w:r>
    </w:p>
    <w:p w14:paraId="7C255506">
      <w:pPr>
        <w:spacing w:line="440" w:lineRule="exact"/>
        <w:ind w:firstLine="434" w:firstLineChars="200"/>
        <w:rPr>
          <w:rFonts w:ascii="Times New Roman" w:hAnsi="Times New Roman" w:cs="Times New Roman" w:eastAsiaTheme="minorEastAsia"/>
          <w:color w:val="000000" w:themeColor="text1"/>
          <w:w w:val="99"/>
          <w:lang w:val="en-US"/>
          <w14:textFill>
            <w14:solidFill>
              <w14:schemeClr w14:val="tx1"/>
            </w14:solidFill>
          </w14:textFill>
        </w:rPr>
        <w:sectPr>
          <w:type w:val="nextColumn"/>
          <w:pgSz w:w="11906" w:h="16838"/>
          <w:pgMar w:top="1418" w:right="1418" w:bottom="1418" w:left="1418" w:header="0" w:footer="1201" w:gutter="0"/>
          <w:cols w:space="720" w:num="1"/>
          <w:docGrid w:linePitch="299" w:charSpace="0"/>
        </w:sectPr>
      </w:pPr>
    </w:p>
    <w:p w14:paraId="65FF0F85">
      <w:pPr>
        <w:pStyle w:val="3"/>
        <w:autoSpaceDE/>
        <w:autoSpaceDN/>
        <w:spacing w:before="180" w:after="180" w:line="440" w:lineRule="exact"/>
        <w:ind w:left="0" w:firstLine="0"/>
        <w:rPr>
          <w:rFonts w:ascii="Times New Roman" w:hAnsi="Times New Roman" w:cs="Times New Roman" w:eastAsiaTheme="minorEastAsia"/>
          <w:b/>
          <w:snapToGrid w:val="0"/>
          <w:color w:val="000000" w:themeColor="text1"/>
          <w:w w:val="99"/>
          <w:kern w:val="2"/>
          <w:sz w:val="30"/>
          <w:szCs w:val="30"/>
          <w:lang w:val="en-US" w:bidi="ar-SA"/>
          <w14:textFill>
            <w14:solidFill>
              <w14:schemeClr w14:val="tx1"/>
            </w14:solidFill>
          </w14:textFill>
        </w:rPr>
      </w:pPr>
      <w:bookmarkStart w:id="546" w:name="_Toc117794640"/>
      <w:r>
        <w:rPr>
          <w:rFonts w:ascii="Times New Roman" w:hAnsi="Times New Roman" w:cs="Times New Roman" w:eastAsiaTheme="minorEastAsia"/>
          <w:b/>
          <w:snapToGrid w:val="0"/>
          <w:color w:val="000000" w:themeColor="text1"/>
          <w:w w:val="99"/>
          <w:kern w:val="2"/>
          <w:sz w:val="30"/>
          <w:szCs w:val="30"/>
          <w:lang w:val="en-US" w:bidi="ar-SA"/>
          <w14:textFill>
            <w14:solidFill>
              <w14:schemeClr w14:val="tx1"/>
            </w14:solidFill>
          </w14:textFill>
        </w:rPr>
        <w:t>7 环境影响经济损益分析</w:t>
      </w:r>
      <w:bookmarkEnd w:id="546"/>
    </w:p>
    <w:p w14:paraId="0503614C">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油田产能项目的开发建设，除对所在区域的经济发展起着促进作用外，也在一定程度上影响着项目拟建地区环境的变化。本评价将通过对拟建项目的经济和环境效益分析，对项目建设的合理性进行分析。</w:t>
      </w:r>
    </w:p>
    <w:p w14:paraId="6DB85D60">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547" w:name="_Toc117794641"/>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7.1 环境损失费估算</w:t>
      </w:r>
      <w:bookmarkEnd w:id="547"/>
    </w:p>
    <w:p w14:paraId="54E311A0">
      <w:pPr>
        <w:widowControl/>
        <w:spacing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本油田开发过程中，由于管道铺设需要占用一定面积土地，而且由此产生的污染物对周围环境也会造成一定污染，因此引起的环境损失费往往很难直接用经济价值来计算，因此，我们仅用植被损失费和资源损失费来估算。</w:t>
      </w:r>
    </w:p>
    <w:p w14:paraId="26281ABE">
      <w:pPr>
        <w:widowControl/>
        <w:spacing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本项目损失主要为耕地及草地的损失，本工程不新增永久占地，临时占用草地</w:t>
      </w:r>
      <w:r>
        <w:rPr>
          <w:rFonts w:ascii="Times New Roman" w:hAnsi="Times New Roman" w:cs="Times New Roman" w:eastAsiaTheme="minorEastAsia"/>
          <w:bCs/>
          <w:color w:val="000000" w:themeColor="text1"/>
          <w:w w:val="99"/>
          <w:sz w:val="24"/>
          <w:szCs w:val="24"/>
          <w14:textFill>
            <w14:solidFill>
              <w14:schemeClr w14:val="tx1"/>
            </w14:solidFill>
          </w14:textFill>
        </w:rPr>
        <w:t>9.36</w:t>
      </w:r>
      <w:r>
        <w:rPr>
          <w:rFonts w:ascii="Times New Roman" w:hAnsi="Times New Roman" w:cs="Times New Roman" w:eastAsiaTheme="minorEastAsia"/>
          <w:color w:val="000000" w:themeColor="text1"/>
          <w:w w:val="99"/>
          <w:sz w:val="24"/>
          <w:szCs w:val="24"/>
          <w:lang w:val="en-US"/>
          <w14:textFill>
            <w14:solidFill>
              <w14:schemeClr w14:val="tx1"/>
            </w14:solidFill>
          </w14:textFill>
        </w:rPr>
        <w:t>hm</w:t>
      </w:r>
      <w:r>
        <w:rPr>
          <w:rFonts w:ascii="Times New Roman" w:hAnsi="Times New Roman" w:cs="Times New Roman" w:eastAsiaTheme="minorEastAsia"/>
          <w:color w:val="000000" w:themeColor="text1"/>
          <w:w w:val="99"/>
          <w:sz w:val="24"/>
          <w:szCs w:val="24"/>
          <w:vertAlign w:val="superscript"/>
          <w:lang w:val="en-US"/>
          <w14:textFill>
            <w14:solidFill>
              <w14:schemeClr w14:val="tx1"/>
            </w14:solidFill>
          </w14:textFill>
        </w:rPr>
        <w:t>2</w:t>
      </w:r>
      <w:r>
        <w:rPr>
          <w:rFonts w:ascii="Times New Roman" w:hAnsi="Times New Roman" w:cs="Times New Roman" w:eastAsiaTheme="minorEastAsia"/>
          <w:color w:val="000000" w:themeColor="text1"/>
          <w:w w:val="99"/>
          <w:sz w:val="24"/>
          <w:szCs w:val="24"/>
          <w:lang w:val="en-US"/>
          <w14:textFill>
            <w14:solidFill>
              <w14:schemeClr w14:val="tx1"/>
            </w14:solidFill>
          </w14:textFill>
        </w:rPr>
        <w:t>及耕地</w:t>
      </w:r>
      <w:r>
        <w:rPr>
          <w:rFonts w:ascii="Times New Roman" w:hAnsi="Times New Roman" w:cs="Times New Roman" w:eastAsiaTheme="minorEastAsia"/>
          <w:bCs/>
          <w:color w:val="000000" w:themeColor="text1"/>
          <w:w w:val="99"/>
          <w:sz w:val="24"/>
          <w:szCs w:val="24"/>
          <w14:textFill>
            <w14:solidFill>
              <w14:schemeClr w14:val="tx1"/>
            </w14:solidFill>
          </w14:textFill>
        </w:rPr>
        <w:t>14.01</w:t>
      </w:r>
      <w:r>
        <w:rPr>
          <w:rFonts w:ascii="Times New Roman" w:hAnsi="Times New Roman" w:cs="Times New Roman" w:eastAsiaTheme="minorEastAsia"/>
          <w:color w:val="000000" w:themeColor="text1"/>
          <w:w w:val="99"/>
          <w:sz w:val="24"/>
          <w:szCs w:val="24"/>
          <w:lang w:val="en-US"/>
          <w14:textFill>
            <w14:solidFill>
              <w14:schemeClr w14:val="tx1"/>
            </w14:solidFill>
          </w14:textFill>
        </w:rPr>
        <w:t>hm</w:t>
      </w:r>
      <w:r>
        <w:rPr>
          <w:rFonts w:ascii="Times New Roman" w:hAnsi="Times New Roman" w:cs="Times New Roman" w:eastAsiaTheme="minorEastAsia"/>
          <w:color w:val="000000" w:themeColor="text1"/>
          <w:w w:val="99"/>
          <w:sz w:val="24"/>
          <w:szCs w:val="24"/>
          <w:vertAlign w:val="superscript"/>
          <w:lang w:val="en-US"/>
          <w14:textFill>
            <w14:solidFill>
              <w14:schemeClr w14:val="tx1"/>
            </w14:solidFill>
          </w14:textFill>
        </w:rPr>
        <w:t>2</w:t>
      </w:r>
      <w:r>
        <w:rPr>
          <w:rFonts w:ascii="Times New Roman" w:hAnsi="Times New Roman" w:cs="Times New Roman" w:eastAsiaTheme="minorEastAsia"/>
          <w:color w:val="000000" w:themeColor="text1"/>
          <w:w w:val="99"/>
          <w:sz w:val="24"/>
          <w:szCs w:val="24"/>
          <w:lang w:val="en-US"/>
          <w14:textFill>
            <w14:solidFill>
              <w14:schemeClr w14:val="tx1"/>
            </w14:solidFill>
          </w14:textFill>
        </w:rPr>
        <w:t>。草地主要为天然草，</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耕地主要为玉米</w:t>
      </w:r>
      <w:r>
        <w:rPr>
          <w:rFonts w:ascii="Times New Roman" w:hAnsi="Times New Roman" w:cs="Times New Roman" w:eastAsiaTheme="minorEastAsia"/>
          <w:color w:val="000000" w:themeColor="text1"/>
          <w:w w:val="99"/>
          <w:sz w:val="24"/>
          <w:szCs w:val="24"/>
          <w:lang w:val="en-US"/>
          <w14:textFill>
            <w14:solidFill>
              <w14:schemeClr w14:val="tx1"/>
            </w14:solidFill>
          </w14:textFill>
        </w:rPr>
        <w:t>。</w:t>
      </w:r>
    </w:p>
    <w:p w14:paraId="6B96A8E9">
      <w:pPr>
        <w:widowControl/>
        <w:spacing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根据《大庆市人民政府关于印发大庆市征地青苗补偿费标准的通知》（庆政规〔2021〕1号），</w:t>
      </w:r>
      <w:r>
        <w:rPr>
          <w:rFonts w:ascii="Times New Roman" w:hAnsi="Times New Roman" w:cs="Times New Roman" w:eastAsiaTheme="minorEastAsia"/>
          <w:color w:val="000000" w:themeColor="text1"/>
          <w:w w:val="99"/>
          <w14:textFill>
            <w14:solidFill>
              <w14:schemeClr w14:val="tx1"/>
            </w14:solidFill>
          </w14:textFill>
        </w:rPr>
        <w:t>大田作物的青苗补偿标准为2.10元/m</w:t>
      </w:r>
      <w:r>
        <w:rPr>
          <w:rFonts w:ascii="Times New Roman" w:hAnsi="Times New Roman" w:cs="Times New Roman" w:eastAsiaTheme="minorEastAsia"/>
          <w:color w:val="000000" w:themeColor="text1"/>
          <w:w w:val="99"/>
          <w:vertAlign w:val="superscript"/>
          <w14:textFill>
            <w14:solidFill>
              <w14:schemeClr w14:val="tx1"/>
            </w14:solidFill>
          </w14:textFill>
        </w:rPr>
        <w:t>2</w:t>
      </w:r>
      <w:r>
        <w:rPr>
          <w:rFonts w:ascii="Times New Roman" w:hAnsi="Times New Roman" w:cs="Times New Roman" w:eastAsiaTheme="minorEastAsia"/>
          <w:color w:val="000000" w:themeColor="text1"/>
          <w:w w:val="99"/>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天然草的补偿标准为0.37元/m</w:t>
      </w:r>
      <w:r>
        <w:rPr>
          <w:rFonts w:ascii="Times New Roman" w:hAnsi="Times New Roman" w:cs="Times New Roman" w:eastAsiaTheme="minorEastAsia"/>
          <w:color w:val="000000" w:themeColor="text1"/>
          <w:w w:val="99"/>
          <w:sz w:val="24"/>
          <w:szCs w:val="24"/>
          <w:vertAlign w:val="superscript"/>
          <w:lang w:val="en-US"/>
          <w14:textFill>
            <w14:solidFill>
              <w14:schemeClr w14:val="tx1"/>
            </w14:solidFill>
          </w14:textFill>
        </w:rPr>
        <w:t>2</w:t>
      </w:r>
      <w:r>
        <w:rPr>
          <w:rFonts w:ascii="Times New Roman" w:hAnsi="Times New Roman" w:cs="Times New Roman" w:eastAsiaTheme="minorEastAsia"/>
          <w:color w:val="000000" w:themeColor="text1"/>
          <w:w w:val="99"/>
          <w:sz w:val="24"/>
          <w:szCs w:val="24"/>
          <w:lang w:val="en-US"/>
          <w14:textFill>
            <w14:solidFill>
              <w14:schemeClr w14:val="tx1"/>
            </w14:solidFill>
          </w14:textFill>
        </w:rPr>
        <w:t>。施工期结束后对临时占地进行复垦，复垦地由于土壤自然结构的破坏造成的土壤板结、透气性差、肥力下降，可能对农作物的生产产生影响，这种影响预计2～3a可逐渐减弱，并且随着时间的推移最终使农作物恢复到原来的产量，农田在2～3年可恢复生产力，本项目临时占地损失按照按3年计算，临时占地环境损失费为66.72万元。</w:t>
      </w:r>
    </w:p>
    <w:p w14:paraId="0DDAF433">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548" w:name="_Toc117794642"/>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7.2 环保投资估算及环境效益分析</w:t>
      </w:r>
      <w:bookmarkEnd w:id="548"/>
    </w:p>
    <w:p w14:paraId="23D6FE41">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49" w:name="_Toc117794643"/>
      <w:r>
        <w:rPr>
          <w:rFonts w:ascii="Times New Roman" w:hAnsi="Times New Roman" w:cs="Times New Roman" w:eastAsiaTheme="minorEastAsia"/>
          <w:color w:val="000000" w:themeColor="text1"/>
          <w:w w:val="99"/>
          <w:kern w:val="2"/>
          <w:lang w:val="en-US" w:bidi="ar-SA"/>
          <w14:textFill>
            <w14:solidFill>
              <w14:schemeClr w14:val="tx1"/>
            </w14:solidFill>
          </w14:textFill>
        </w:rPr>
        <w:t>7.2.1 环保措施投资估算</w:t>
      </w:r>
      <w:bookmarkEnd w:id="549"/>
    </w:p>
    <w:p w14:paraId="09E4C029">
      <w:pPr>
        <w:autoSpaceDE/>
        <w:autoSpaceDN/>
        <w:adjustRightInd w:val="0"/>
        <w:snapToGrid w:val="0"/>
        <w:spacing w:line="440" w:lineRule="exact"/>
        <w:ind w:firstLine="474" w:firstLineChars="200"/>
        <w:jc w:val="both"/>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本项目总投资2395.5万元，环保投资约</w:t>
      </w:r>
      <w:bookmarkStart w:id="550" w:name="_Hlk69493277"/>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81.06万元</w:t>
      </w:r>
      <w:bookmarkEnd w:id="550"/>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，占总投资比例为3.38%；具体环保投资见表7.2-1。</w:t>
      </w:r>
    </w:p>
    <w:p w14:paraId="27AC8F61">
      <w:pPr>
        <w:autoSpaceDE/>
        <w:autoSpaceDN/>
        <w:adjustRightInd w:val="0"/>
        <w:snapToGrid w:val="0"/>
        <w:spacing w:line="440" w:lineRule="exact"/>
        <w:ind w:firstLine="476" w:firstLineChars="200"/>
        <w:jc w:val="both"/>
        <w:rPr>
          <w:rFonts w:ascii="Times New Roman" w:hAnsi="Times New Roman" w:cs="Times New Roman" w:eastAsiaTheme="minorEastAsia"/>
          <w:b/>
          <w:bCs/>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bCs/>
          <w:color w:val="000000" w:themeColor="text1"/>
          <w:w w:val="99"/>
          <w:kern w:val="2"/>
          <w:sz w:val="24"/>
          <w:szCs w:val="24"/>
          <w:lang w:val="en-US" w:bidi="ar-SA"/>
          <w14:textFill>
            <w14:solidFill>
              <w14:schemeClr w14:val="tx1"/>
            </w14:solidFill>
          </w14:textFill>
        </w:rPr>
        <w:t>表7.2-1        环保投资估算         单位：万元</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55"/>
        <w:gridCol w:w="1156"/>
        <w:gridCol w:w="2958"/>
        <w:gridCol w:w="3513"/>
        <w:gridCol w:w="1208"/>
      </w:tblGrid>
      <w:tr w14:paraId="431CF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67" w:type="pct"/>
            <w:gridSpan w:val="2"/>
            <w:vAlign w:val="center"/>
          </w:tcPr>
          <w:p w14:paraId="034FAF2B">
            <w:pPr>
              <w:autoSpaceDE/>
              <w:autoSpaceDN/>
              <w:snapToGrid w:val="0"/>
              <w:spacing w:line="320" w:lineRule="exact"/>
              <w:jc w:val="cente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t>环保工程名称</w:t>
            </w:r>
          </w:p>
        </w:tc>
        <w:tc>
          <w:tcPr>
            <w:tcW w:w="1592" w:type="pct"/>
            <w:vAlign w:val="center"/>
          </w:tcPr>
          <w:p w14:paraId="22FFA9CA">
            <w:pPr>
              <w:autoSpaceDE/>
              <w:autoSpaceDN/>
              <w:snapToGrid w:val="0"/>
              <w:spacing w:line="320" w:lineRule="exact"/>
              <w:jc w:val="cente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t>措施内容</w:t>
            </w:r>
          </w:p>
        </w:tc>
        <w:tc>
          <w:tcPr>
            <w:tcW w:w="1891" w:type="pct"/>
            <w:vAlign w:val="center"/>
          </w:tcPr>
          <w:p w14:paraId="45216175">
            <w:pPr>
              <w:autoSpaceDE/>
              <w:autoSpaceDN/>
              <w:snapToGrid w:val="0"/>
              <w:spacing w:line="320" w:lineRule="exact"/>
              <w:jc w:val="cente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t>工程量</w:t>
            </w:r>
          </w:p>
        </w:tc>
        <w:tc>
          <w:tcPr>
            <w:tcW w:w="650" w:type="pct"/>
            <w:vAlign w:val="center"/>
          </w:tcPr>
          <w:p w14:paraId="2CA4A364">
            <w:pPr>
              <w:autoSpaceDE/>
              <w:autoSpaceDN/>
              <w:snapToGrid w:val="0"/>
              <w:spacing w:line="320" w:lineRule="exact"/>
              <w:jc w:val="cente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t>环保投资（万元）</w:t>
            </w:r>
          </w:p>
        </w:tc>
      </w:tr>
      <w:tr w14:paraId="58324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5" w:type="pct"/>
            <w:vMerge w:val="restart"/>
            <w:vAlign w:val="center"/>
          </w:tcPr>
          <w:p w14:paraId="4A3BF710">
            <w:pPr>
              <w:autoSpaceDE/>
              <w:autoSpaceDN/>
              <w:snapToGrid w:val="0"/>
              <w:spacing w:line="320" w:lineRule="exact"/>
              <w:jc w:val="cente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t>施工期</w:t>
            </w:r>
          </w:p>
        </w:tc>
        <w:tc>
          <w:tcPr>
            <w:tcW w:w="622" w:type="pct"/>
            <w:vAlign w:val="center"/>
          </w:tcPr>
          <w:p w14:paraId="79820344">
            <w:pPr>
              <w:autoSpaceDE/>
              <w:autoSpaceDN/>
              <w:spacing w:line="320" w:lineRule="exact"/>
              <w:jc w:val="cente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pPr>
            <w: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t>废气</w:t>
            </w:r>
          </w:p>
        </w:tc>
        <w:tc>
          <w:tcPr>
            <w:tcW w:w="1592" w:type="pct"/>
            <w:vAlign w:val="center"/>
          </w:tcPr>
          <w:p w14:paraId="0BC43B79">
            <w:pPr>
              <w:autoSpaceDE/>
              <w:autoSpaceDN/>
              <w:adjustRightInd w:val="0"/>
              <w:snapToGrid w:val="0"/>
              <w:spacing w:line="320" w:lineRule="exact"/>
              <w:jc w:val="cente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及时洒水、临时土方等加盖苫布等遮盖物</w:t>
            </w:r>
          </w:p>
        </w:tc>
        <w:tc>
          <w:tcPr>
            <w:tcW w:w="1891" w:type="pct"/>
            <w:vAlign w:val="center"/>
          </w:tcPr>
          <w:p w14:paraId="022A3680">
            <w:pPr>
              <w:autoSpaceDE/>
              <w:autoSpaceDN/>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t>临时占地面积</w:t>
            </w:r>
            <w:r>
              <w:rPr>
                <w:rFonts w:hint="eastAsia" w:ascii="Times New Roman" w:hAnsi="Times New Roman" w:cs="Times New Roman" w:eastAsiaTheme="minorEastAsia"/>
                <w:bCs/>
                <w:snapToGrid w:val="0"/>
                <w:color w:val="000000" w:themeColor="text1"/>
                <w:w w:val="99"/>
                <w:kern w:val="28"/>
                <w:sz w:val="21"/>
                <w:szCs w:val="21"/>
                <w:lang w:val="en-US" w:eastAsia="zh-CN" w:bidi="ar-SA"/>
                <w14:textFill>
                  <w14:solidFill>
                    <w14:schemeClr w14:val="tx1"/>
                  </w14:solidFill>
                </w14:textFill>
              </w:rPr>
              <w:t>4.5hm2</w:t>
            </w:r>
            <w: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t>，0.1万/hm</w:t>
            </w:r>
            <w:r>
              <w:rPr>
                <w:rFonts w:ascii="Times New Roman" w:hAnsi="Times New Roman" w:cs="Times New Roman" w:eastAsiaTheme="minorEastAsia"/>
                <w:bCs/>
                <w:snapToGrid w:val="0"/>
                <w:color w:val="000000" w:themeColor="text1"/>
                <w:w w:val="99"/>
                <w:kern w:val="28"/>
                <w:sz w:val="21"/>
                <w:szCs w:val="21"/>
                <w:vertAlign w:val="superscript"/>
                <w:lang w:val="en-US" w:bidi="ar-SA"/>
                <w14:textFill>
                  <w14:solidFill>
                    <w14:schemeClr w14:val="tx1"/>
                  </w14:solidFill>
                </w14:textFill>
              </w:rPr>
              <w:t>2</w:t>
            </w:r>
          </w:p>
        </w:tc>
        <w:tc>
          <w:tcPr>
            <w:tcW w:w="650" w:type="pct"/>
            <w:vAlign w:val="center"/>
          </w:tcPr>
          <w:p w14:paraId="2879800D">
            <w:pPr>
              <w:autoSpaceDE/>
              <w:autoSpaceDN/>
              <w:spacing w:line="320" w:lineRule="exact"/>
              <w:jc w:val="cente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pPr>
            <w: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t>2.3</w:t>
            </w:r>
          </w:p>
        </w:tc>
      </w:tr>
      <w:tr w14:paraId="4F17B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5" w:type="pct"/>
            <w:vMerge w:val="continue"/>
            <w:vAlign w:val="center"/>
          </w:tcPr>
          <w:p w14:paraId="1C821B0F">
            <w:pPr>
              <w:autoSpaceDE/>
              <w:autoSpaceDN/>
              <w:snapToGrid w:val="0"/>
              <w:spacing w:line="320" w:lineRule="exact"/>
              <w:jc w:val="cente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pPr>
          </w:p>
        </w:tc>
        <w:tc>
          <w:tcPr>
            <w:tcW w:w="622" w:type="pct"/>
            <w:vAlign w:val="center"/>
          </w:tcPr>
          <w:p w14:paraId="4654D3FC">
            <w:pPr>
              <w:autoSpaceDE/>
              <w:autoSpaceDN/>
              <w:spacing w:line="320" w:lineRule="exact"/>
              <w:jc w:val="cente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pPr>
            <w: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t>废水</w:t>
            </w:r>
          </w:p>
        </w:tc>
        <w:tc>
          <w:tcPr>
            <w:tcW w:w="1592" w:type="pct"/>
            <w:vAlign w:val="center"/>
          </w:tcPr>
          <w:p w14:paraId="3F55339A">
            <w:pPr>
              <w:autoSpaceDE/>
              <w:autoSpaceDN/>
              <w:spacing w:line="320" w:lineRule="exact"/>
              <w:jc w:val="cente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pPr>
            <w: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t>管道试压废水由罐车拉运至龙一联含油污水处理站处理</w:t>
            </w:r>
          </w:p>
        </w:tc>
        <w:tc>
          <w:tcPr>
            <w:tcW w:w="1891" w:type="pct"/>
            <w:vAlign w:val="center"/>
          </w:tcPr>
          <w:p w14:paraId="42A9789B">
            <w:pPr>
              <w:autoSpaceDE/>
              <w:autoSpaceDN/>
              <w:adjustRightInd w:val="0"/>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0.01万元/m</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，共计</w:t>
            </w:r>
            <w:r>
              <w:rPr>
                <w:rFonts w:ascii="Times New Roman" w:hAnsi="Times New Roman" w:cs="Times New Roman" w:eastAsiaTheme="minorEastAsia"/>
                <w:bCs/>
                <w:color w:val="000000" w:themeColor="text1"/>
                <w:w w:val="99"/>
                <w:kern w:val="2"/>
                <w:sz w:val="21"/>
                <w:szCs w:val="21"/>
                <w:lang w:val="en-US"/>
                <w14:textFill>
                  <w14:solidFill>
                    <w14:schemeClr w14:val="tx1"/>
                  </w14:solidFill>
                </w14:textFill>
              </w:rPr>
              <w:t>225.5</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m</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3</w:t>
            </w:r>
          </w:p>
        </w:tc>
        <w:tc>
          <w:tcPr>
            <w:tcW w:w="650" w:type="pct"/>
            <w:vAlign w:val="center"/>
          </w:tcPr>
          <w:p w14:paraId="7A84AE18">
            <w:pPr>
              <w:autoSpaceDE/>
              <w:autoSpaceDN/>
              <w:adjustRightInd w:val="0"/>
              <w:snapToGrid w:val="0"/>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2.3</w:t>
            </w:r>
          </w:p>
        </w:tc>
      </w:tr>
      <w:tr w14:paraId="67DED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5" w:type="pct"/>
            <w:vMerge w:val="continue"/>
            <w:vAlign w:val="center"/>
          </w:tcPr>
          <w:p w14:paraId="307CAABA">
            <w:pPr>
              <w:autoSpaceDE/>
              <w:autoSpaceDN/>
              <w:snapToGrid w:val="0"/>
              <w:spacing w:line="320" w:lineRule="exact"/>
              <w:jc w:val="cente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pPr>
          </w:p>
        </w:tc>
        <w:tc>
          <w:tcPr>
            <w:tcW w:w="622" w:type="pct"/>
            <w:vMerge w:val="restart"/>
            <w:vAlign w:val="center"/>
          </w:tcPr>
          <w:p w14:paraId="39AE6B86">
            <w:pPr>
              <w:spacing w:line="320" w:lineRule="exact"/>
              <w:jc w:val="cente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pPr>
            <w: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t>固体废物</w:t>
            </w:r>
          </w:p>
        </w:tc>
        <w:tc>
          <w:tcPr>
            <w:tcW w:w="1592" w:type="pct"/>
            <w:vAlign w:val="center"/>
          </w:tcPr>
          <w:p w14:paraId="735FD83B">
            <w:pPr>
              <w:autoSpaceDE/>
              <w:autoSpaceDN/>
              <w:spacing w:line="320" w:lineRule="exact"/>
              <w:jc w:val="cente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pPr>
            <w: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t>清淤油泥由罐车拉运至</w:t>
            </w:r>
            <w:r>
              <w:rPr>
                <w:rFonts w:hint="eastAsia" w:ascii="Times New Roman" w:hAnsi="Times New Roman" w:cs="Times New Roman" w:eastAsiaTheme="minorEastAsia"/>
                <w:bCs/>
                <w:snapToGrid w:val="0"/>
                <w:color w:val="000000" w:themeColor="text1"/>
                <w:w w:val="99"/>
                <w:kern w:val="28"/>
                <w:sz w:val="21"/>
                <w:szCs w:val="21"/>
                <w:lang w:val="en-US" w:eastAsia="zh-CN" w:bidi="ar-SA"/>
                <w14:textFill>
                  <w14:solidFill>
                    <w14:schemeClr w14:val="tx1"/>
                  </w14:solidFill>
                </w14:textFill>
              </w:rPr>
              <w:t>第五采油厂</w:t>
            </w:r>
            <w: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t>含油污泥处理站处理</w:t>
            </w:r>
          </w:p>
        </w:tc>
        <w:tc>
          <w:tcPr>
            <w:tcW w:w="1891" w:type="pct"/>
            <w:vAlign w:val="center"/>
          </w:tcPr>
          <w:p w14:paraId="3EF7467F">
            <w:pPr>
              <w:autoSpaceDE/>
              <w:autoSpaceDN/>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0.1万元/吨，共计4.5t</w:t>
            </w:r>
          </w:p>
        </w:tc>
        <w:tc>
          <w:tcPr>
            <w:tcW w:w="650" w:type="pct"/>
            <w:vAlign w:val="center"/>
          </w:tcPr>
          <w:p w14:paraId="2F5841BE">
            <w:pPr>
              <w:autoSpaceDE/>
              <w:autoSpaceDN/>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0.45</w:t>
            </w:r>
          </w:p>
        </w:tc>
      </w:tr>
      <w:tr w14:paraId="20899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5" w:type="pct"/>
            <w:vMerge w:val="continue"/>
            <w:vAlign w:val="center"/>
          </w:tcPr>
          <w:p w14:paraId="5C9885DE">
            <w:pPr>
              <w:autoSpaceDE/>
              <w:autoSpaceDN/>
              <w:snapToGrid w:val="0"/>
              <w:spacing w:line="320" w:lineRule="exact"/>
              <w:jc w:val="cente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pPr>
          </w:p>
        </w:tc>
        <w:tc>
          <w:tcPr>
            <w:tcW w:w="622" w:type="pct"/>
            <w:vMerge w:val="continue"/>
            <w:vAlign w:val="center"/>
          </w:tcPr>
          <w:p w14:paraId="62546D9D">
            <w:pPr>
              <w:autoSpaceDE/>
              <w:autoSpaceDN/>
              <w:spacing w:line="320" w:lineRule="exact"/>
              <w:jc w:val="cente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pPr>
          </w:p>
        </w:tc>
        <w:tc>
          <w:tcPr>
            <w:tcW w:w="1592" w:type="pct"/>
            <w:vAlign w:val="center"/>
          </w:tcPr>
          <w:p w14:paraId="5BFE0350">
            <w:pPr>
              <w:autoSpaceDE/>
              <w:autoSpaceDN/>
              <w:spacing w:line="320" w:lineRule="exact"/>
              <w:jc w:val="cente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pPr>
            <w: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t>施工废料</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拉运至第八采油厂工业固废填埋场处理</w:t>
            </w:r>
          </w:p>
        </w:tc>
        <w:tc>
          <w:tcPr>
            <w:tcW w:w="1891" w:type="pct"/>
            <w:vAlign w:val="center"/>
          </w:tcPr>
          <w:p w14:paraId="3AD207C1">
            <w:pPr>
              <w:autoSpaceDE/>
              <w:autoSpaceDN/>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0.1万元/吨，共计0.467t</w:t>
            </w:r>
          </w:p>
        </w:tc>
        <w:tc>
          <w:tcPr>
            <w:tcW w:w="650" w:type="pct"/>
            <w:vAlign w:val="center"/>
          </w:tcPr>
          <w:p w14:paraId="26803BF9">
            <w:pPr>
              <w:autoSpaceDE/>
              <w:autoSpaceDN/>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0.05</w:t>
            </w:r>
          </w:p>
        </w:tc>
      </w:tr>
      <w:tr w14:paraId="104CF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5" w:type="pct"/>
            <w:vMerge w:val="continue"/>
            <w:vAlign w:val="center"/>
          </w:tcPr>
          <w:p w14:paraId="59606F11">
            <w:pPr>
              <w:autoSpaceDE/>
              <w:autoSpaceDN/>
              <w:snapToGrid w:val="0"/>
              <w:spacing w:line="320" w:lineRule="exact"/>
              <w:jc w:val="cente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pPr>
          </w:p>
        </w:tc>
        <w:tc>
          <w:tcPr>
            <w:tcW w:w="622" w:type="pct"/>
            <w:vMerge w:val="continue"/>
            <w:vAlign w:val="center"/>
          </w:tcPr>
          <w:p w14:paraId="6391B797">
            <w:pPr>
              <w:autoSpaceDE/>
              <w:autoSpaceDN/>
              <w:spacing w:line="320" w:lineRule="exact"/>
              <w:jc w:val="cente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pPr>
          </w:p>
        </w:tc>
        <w:tc>
          <w:tcPr>
            <w:tcW w:w="1592" w:type="pct"/>
            <w:vAlign w:val="center"/>
          </w:tcPr>
          <w:p w14:paraId="683D0294">
            <w:pPr>
              <w:autoSpaceDE/>
              <w:autoSpaceDN/>
              <w:spacing w:line="320" w:lineRule="exact"/>
              <w:jc w:val="cente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建筑垃圾拉运至大庆市</w:t>
            </w:r>
            <w:r>
              <w:rPr>
                <w:rFonts w:hint="eastAsia" w:ascii="Times New Roman" w:hAnsi="Times New Roman" w:cs="Times New Roman" w:eastAsiaTheme="minorEastAsia"/>
                <w:color w:val="000000" w:themeColor="text1"/>
                <w:w w:val="99"/>
                <w:kern w:val="2"/>
                <w:sz w:val="21"/>
                <w:szCs w:val="21"/>
                <w:lang w:val="en-US" w:eastAsia="zh-CN" w:bidi="ar-SA"/>
                <w14:textFill>
                  <w14:solidFill>
                    <w14:schemeClr w14:val="tx1"/>
                  </w14:solidFill>
                </w14:textFill>
              </w:rPr>
              <w:t>红岗区杏树岗镇</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建筑垃圾消纳场处理</w:t>
            </w:r>
          </w:p>
        </w:tc>
        <w:tc>
          <w:tcPr>
            <w:tcW w:w="1891" w:type="pct"/>
            <w:vAlign w:val="center"/>
          </w:tcPr>
          <w:p w14:paraId="0798E918">
            <w:pPr>
              <w:autoSpaceDE/>
              <w:autoSpaceDN/>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0.01万元/m</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，共计264m</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3</w:t>
            </w:r>
          </w:p>
        </w:tc>
        <w:tc>
          <w:tcPr>
            <w:tcW w:w="650" w:type="pct"/>
            <w:vAlign w:val="center"/>
          </w:tcPr>
          <w:p w14:paraId="103304D4">
            <w:pPr>
              <w:autoSpaceDE/>
              <w:autoSpaceDN/>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2.64</w:t>
            </w:r>
          </w:p>
        </w:tc>
      </w:tr>
      <w:tr w14:paraId="487668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5" w:type="pct"/>
            <w:vMerge w:val="continue"/>
            <w:vAlign w:val="center"/>
          </w:tcPr>
          <w:p w14:paraId="7444367C">
            <w:pPr>
              <w:autoSpaceDE/>
              <w:autoSpaceDN/>
              <w:snapToGrid w:val="0"/>
              <w:spacing w:line="320" w:lineRule="exact"/>
              <w:jc w:val="cente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pPr>
          </w:p>
        </w:tc>
        <w:tc>
          <w:tcPr>
            <w:tcW w:w="622" w:type="pct"/>
            <w:vMerge w:val="continue"/>
            <w:vAlign w:val="center"/>
          </w:tcPr>
          <w:p w14:paraId="77EB16B3">
            <w:pPr>
              <w:autoSpaceDE/>
              <w:autoSpaceDN/>
              <w:spacing w:line="320" w:lineRule="exact"/>
              <w:jc w:val="cente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pPr>
          </w:p>
        </w:tc>
        <w:tc>
          <w:tcPr>
            <w:tcW w:w="1592" w:type="pct"/>
            <w:vAlign w:val="center"/>
          </w:tcPr>
          <w:p w14:paraId="10D2C159">
            <w:pPr>
              <w:autoSpaceDE/>
              <w:autoSpaceDN/>
              <w:spacing w:line="320" w:lineRule="exact"/>
              <w:jc w:val="cente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pPr>
            <w: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t>生活垃圾运至大庆龙清生物科技有限公司处理</w:t>
            </w:r>
          </w:p>
        </w:tc>
        <w:tc>
          <w:tcPr>
            <w:tcW w:w="1891" w:type="pct"/>
            <w:vAlign w:val="center"/>
          </w:tcPr>
          <w:p w14:paraId="0050319A">
            <w:pPr>
              <w:autoSpaceDE/>
              <w:autoSpaceDN/>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0.1万元/吨，共计0.6t</w:t>
            </w:r>
          </w:p>
        </w:tc>
        <w:tc>
          <w:tcPr>
            <w:tcW w:w="650" w:type="pct"/>
            <w:vAlign w:val="center"/>
          </w:tcPr>
          <w:p w14:paraId="1F8B9240">
            <w:pPr>
              <w:autoSpaceDE/>
              <w:autoSpaceDN/>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0.06</w:t>
            </w:r>
          </w:p>
        </w:tc>
      </w:tr>
      <w:tr w14:paraId="70563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5" w:type="pct"/>
            <w:vMerge w:val="continue"/>
            <w:vAlign w:val="center"/>
          </w:tcPr>
          <w:p w14:paraId="0199E13B">
            <w:pPr>
              <w:autoSpaceDE/>
              <w:autoSpaceDN/>
              <w:snapToGrid w:val="0"/>
              <w:spacing w:line="320" w:lineRule="exact"/>
              <w:jc w:val="cente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pPr>
          </w:p>
        </w:tc>
        <w:tc>
          <w:tcPr>
            <w:tcW w:w="622" w:type="pct"/>
            <w:vMerge w:val="restart"/>
            <w:vAlign w:val="center"/>
          </w:tcPr>
          <w:p w14:paraId="07625301">
            <w:pPr>
              <w:autoSpaceDE/>
              <w:autoSpaceDN/>
              <w:spacing w:line="320" w:lineRule="exact"/>
              <w:jc w:val="cente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pPr>
            <w: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t>生态</w:t>
            </w:r>
          </w:p>
        </w:tc>
        <w:tc>
          <w:tcPr>
            <w:tcW w:w="1592" w:type="pct"/>
            <w:vAlign w:val="center"/>
          </w:tcPr>
          <w:p w14:paraId="6216F42D">
            <w:pPr>
              <w:autoSpaceDE/>
              <w:autoSpaceDN/>
              <w:spacing w:line="320" w:lineRule="exact"/>
              <w:jc w:val="center"/>
              <w:rPr>
                <w:rFonts w:hint="eastAsia" w:ascii="Times New Roman" w:hAnsi="Times New Roman" w:cs="Times New Roman" w:eastAsiaTheme="minorEastAsia"/>
                <w:bCs/>
                <w:snapToGrid w:val="0"/>
                <w:color w:val="000000" w:themeColor="text1"/>
                <w:w w:val="99"/>
                <w:kern w:val="28"/>
                <w:sz w:val="21"/>
                <w:szCs w:val="21"/>
                <w:lang w:val="en-US" w:eastAsia="zh-CN"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对临时占用的土地进行恢复、平整，恢复临时占地</w:t>
            </w:r>
            <w:r>
              <w:rPr>
                <w:rFonts w:hint="eastAsia" w:ascii="Times New Roman" w:hAnsi="Times New Roman" w:cs="Times New Roman" w:eastAsiaTheme="minorEastAsia"/>
                <w:bCs/>
                <w:color w:val="000000" w:themeColor="text1"/>
                <w:w w:val="99"/>
                <w:kern w:val="2"/>
                <w:sz w:val="21"/>
                <w:szCs w:val="21"/>
                <w:lang w:val="en-US" w:eastAsia="zh-CN" w:bidi="ar-SA"/>
                <w14:textFill>
                  <w14:solidFill>
                    <w14:schemeClr w14:val="tx1"/>
                  </w14:solidFill>
                </w14:textFill>
              </w:rPr>
              <w:t>4.5hm2</w:t>
            </w:r>
          </w:p>
        </w:tc>
        <w:tc>
          <w:tcPr>
            <w:tcW w:w="1891" w:type="pct"/>
            <w:vAlign w:val="center"/>
          </w:tcPr>
          <w:p w14:paraId="25A24B23">
            <w:pPr>
              <w:autoSpaceDE/>
              <w:autoSpaceDN/>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大田作物的青苗补偿标准为2.10元/m</w:t>
            </w:r>
            <w:r>
              <w:rPr>
                <w:rFonts w:ascii="Times New Roman" w:hAnsi="Times New Roman" w:cs="Times New Roman" w:eastAsiaTheme="minorEastAsia"/>
                <w:color w:val="000000" w:themeColor="text1"/>
                <w:w w:val="99"/>
                <w:kern w:val="2"/>
                <w:sz w:val="21"/>
                <w:szCs w:val="21"/>
                <w:vertAlign w:val="superscript"/>
                <w:lang w:val="en-US"/>
                <w14:textFill>
                  <w14:solidFill>
                    <w14:schemeClr w14:val="tx1"/>
                  </w14:solidFill>
                </w14:textFill>
              </w:rPr>
              <w:t>2</w:t>
            </w: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天然草的补偿标准为0.37元/m</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2</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，补偿3年</w:t>
            </w:r>
          </w:p>
        </w:tc>
        <w:tc>
          <w:tcPr>
            <w:tcW w:w="650" w:type="pct"/>
            <w:vAlign w:val="center"/>
          </w:tcPr>
          <w:p w14:paraId="5E294558">
            <w:pPr>
              <w:autoSpaceDE/>
              <w:autoSpaceDN/>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66.72</w:t>
            </w:r>
          </w:p>
        </w:tc>
      </w:tr>
      <w:tr w14:paraId="27B9B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5" w:type="pct"/>
            <w:vMerge w:val="continue"/>
            <w:vAlign w:val="center"/>
          </w:tcPr>
          <w:p w14:paraId="36099DF0">
            <w:pPr>
              <w:autoSpaceDE/>
              <w:autoSpaceDN/>
              <w:snapToGrid w:val="0"/>
              <w:spacing w:line="320" w:lineRule="exact"/>
              <w:jc w:val="cente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pPr>
          </w:p>
        </w:tc>
        <w:tc>
          <w:tcPr>
            <w:tcW w:w="622" w:type="pct"/>
            <w:vMerge w:val="continue"/>
            <w:vAlign w:val="center"/>
          </w:tcPr>
          <w:p w14:paraId="29FCC041">
            <w:pPr>
              <w:autoSpaceDE/>
              <w:autoSpaceDN/>
              <w:spacing w:line="320" w:lineRule="exact"/>
              <w:jc w:val="cente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pPr>
          </w:p>
        </w:tc>
        <w:tc>
          <w:tcPr>
            <w:tcW w:w="1592" w:type="pct"/>
            <w:vAlign w:val="center"/>
          </w:tcPr>
          <w:p w14:paraId="60683CB4">
            <w:pPr>
              <w:autoSpaceDE/>
              <w:autoSpaceDN/>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水土流失防护、防沙治沙</w:t>
            </w:r>
          </w:p>
        </w:tc>
        <w:tc>
          <w:tcPr>
            <w:tcW w:w="1891" w:type="pct"/>
            <w:vAlign w:val="center"/>
          </w:tcPr>
          <w:p w14:paraId="19ED9CFC">
            <w:pPr>
              <w:autoSpaceDE/>
              <w:autoSpaceDN/>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t>临时占地面积</w:t>
            </w:r>
            <w:r>
              <w:rPr>
                <w:rFonts w:hint="eastAsia" w:ascii="Times New Roman" w:hAnsi="Times New Roman" w:cs="Times New Roman" w:eastAsiaTheme="minorEastAsia"/>
                <w:bCs/>
                <w:snapToGrid w:val="0"/>
                <w:color w:val="000000" w:themeColor="text1"/>
                <w:w w:val="99"/>
                <w:kern w:val="28"/>
                <w:sz w:val="21"/>
                <w:szCs w:val="21"/>
                <w:lang w:val="en-US" w:eastAsia="zh-CN" w:bidi="ar-SA"/>
                <w14:textFill>
                  <w14:solidFill>
                    <w14:schemeClr w14:val="tx1"/>
                  </w14:solidFill>
                </w14:textFill>
              </w:rPr>
              <w:t>4.5hm2</w:t>
            </w:r>
            <w: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t>，0.1万/hm</w:t>
            </w:r>
            <w:r>
              <w:rPr>
                <w:rFonts w:ascii="Times New Roman" w:hAnsi="Times New Roman" w:cs="Times New Roman" w:eastAsiaTheme="minorEastAsia"/>
                <w:bCs/>
                <w:snapToGrid w:val="0"/>
                <w:color w:val="000000" w:themeColor="text1"/>
                <w:w w:val="99"/>
                <w:kern w:val="28"/>
                <w:sz w:val="21"/>
                <w:szCs w:val="21"/>
                <w:vertAlign w:val="superscript"/>
                <w:lang w:val="en-US" w:bidi="ar-SA"/>
                <w14:textFill>
                  <w14:solidFill>
                    <w14:schemeClr w14:val="tx1"/>
                  </w14:solidFill>
                </w14:textFill>
              </w:rPr>
              <w:t>2</w:t>
            </w:r>
          </w:p>
        </w:tc>
        <w:tc>
          <w:tcPr>
            <w:tcW w:w="650" w:type="pct"/>
            <w:vAlign w:val="center"/>
          </w:tcPr>
          <w:p w14:paraId="4BAC2FFC">
            <w:pPr>
              <w:autoSpaceDE/>
              <w:autoSpaceDN/>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2.34</w:t>
            </w:r>
          </w:p>
        </w:tc>
      </w:tr>
      <w:tr w14:paraId="6075C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5" w:type="pct"/>
            <w:vAlign w:val="center"/>
          </w:tcPr>
          <w:p w14:paraId="1AE709AC">
            <w:pPr>
              <w:autoSpaceDE/>
              <w:autoSpaceDN/>
              <w:snapToGrid w:val="0"/>
              <w:spacing w:line="320" w:lineRule="exact"/>
              <w:jc w:val="cente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t>运营期</w:t>
            </w:r>
          </w:p>
        </w:tc>
        <w:tc>
          <w:tcPr>
            <w:tcW w:w="622" w:type="pct"/>
            <w:vAlign w:val="center"/>
          </w:tcPr>
          <w:p w14:paraId="2C6ACDCC">
            <w:pPr>
              <w:autoSpaceDE/>
              <w:autoSpaceDN/>
              <w:spacing w:line="320" w:lineRule="exact"/>
              <w:jc w:val="cente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pPr>
            <w: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t>噪声</w:t>
            </w:r>
          </w:p>
        </w:tc>
        <w:tc>
          <w:tcPr>
            <w:tcW w:w="1592" w:type="pct"/>
            <w:vAlign w:val="center"/>
          </w:tcPr>
          <w:p w14:paraId="1865DB6F">
            <w:pPr>
              <w:autoSpaceDE/>
              <w:autoSpaceDN/>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基础减震</w:t>
            </w:r>
          </w:p>
        </w:tc>
        <w:tc>
          <w:tcPr>
            <w:tcW w:w="1891" w:type="pct"/>
            <w:vAlign w:val="center"/>
          </w:tcPr>
          <w:p w14:paraId="16A00060">
            <w:pPr>
              <w:autoSpaceDE/>
              <w:autoSpaceDN/>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混输泵采取基础减震措施</w:t>
            </w:r>
          </w:p>
        </w:tc>
        <w:tc>
          <w:tcPr>
            <w:tcW w:w="650" w:type="pct"/>
            <w:vAlign w:val="center"/>
          </w:tcPr>
          <w:p w14:paraId="133B2E8E">
            <w:pPr>
              <w:autoSpaceDE/>
              <w:autoSpaceDN/>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0.5</w:t>
            </w:r>
          </w:p>
        </w:tc>
      </w:tr>
      <w:tr w14:paraId="2EB1C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67" w:type="pct"/>
            <w:gridSpan w:val="2"/>
            <w:vAlign w:val="center"/>
          </w:tcPr>
          <w:p w14:paraId="20B72639">
            <w:pPr>
              <w:autoSpaceDE/>
              <w:autoSpaceDN/>
              <w:spacing w:line="320" w:lineRule="exact"/>
              <w:jc w:val="cente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pPr>
            <w: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t>风险防范</w:t>
            </w:r>
          </w:p>
        </w:tc>
        <w:tc>
          <w:tcPr>
            <w:tcW w:w="1592" w:type="pct"/>
            <w:vAlign w:val="center"/>
          </w:tcPr>
          <w:p w14:paraId="2D422CDA">
            <w:pPr>
              <w:autoSpaceDE/>
              <w:autoSpaceDN/>
              <w:spacing w:line="320" w:lineRule="exact"/>
              <w:jc w:val="cente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pPr>
            <w:r>
              <w:rPr>
                <w:rFonts w:ascii="Times New Roman" w:hAnsi="Times New Roman" w:cs="Times New Roman" w:eastAsiaTheme="minorEastAsia"/>
                <w:bCs/>
                <w:snapToGrid w:val="0"/>
                <w:color w:val="000000" w:themeColor="text1"/>
                <w:w w:val="99"/>
                <w:kern w:val="28"/>
                <w:sz w:val="21"/>
                <w:szCs w:val="21"/>
                <w:lang w:val="en-US"/>
                <w14:textFill>
                  <w14:solidFill>
                    <w14:schemeClr w14:val="tx1"/>
                  </w14:solidFill>
                </w14:textFill>
              </w:rPr>
              <w:t>配备应急物资，定期进行管道穿孔等应急演练等风险防范措施及应急措施</w:t>
            </w:r>
          </w:p>
        </w:tc>
        <w:tc>
          <w:tcPr>
            <w:tcW w:w="1891" w:type="pct"/>
            <w:vAlign w:val="center"/>
          </w:tcPr>
          <w:p w14:paraId="5EBF805C">
            <w:pPr>
              <w:autoSpaceDE/>
              <w:autoSpaceDN/>
              <w:spacing w:line="320" w:lineRule="exact"/>
              <w:jc w:val="cente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pPr>
            <w: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t>配备1套</w:t>
            </w:r>
          </w:p>
        </w:tc>
        <w:tc>
          <w:tcPr>
            <w:tcW w:w="650" w:type="pct"/>
            <w:vAlign w:val="center"/>
          </w:tcPr>
          <w:p w14:paraId="73AC291A">
            <w:pPr>
              <w:autoSpaceDE/>
              <w:autoSpaceDN/>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w:t>
            </w:r>
          </w:p>
        </w:tc>
      </w:tr>
      <w:tr w14:paraId="66F74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67" w:type="pct"/>
            <w:gridSpan w:val="2"/>
            <w:vMerge w:val="restart"/>
            <w:vAlign w:val="center"/>
          </w:tcPr>
          <w:p w14:paraId="7575F6F3">
            <w:pPr>
              <w:autoSpaceDE/>
              <w:autoSpaceDN/>
              <w:spacing w:line="320" w:lineRule="exact"/>
              <w:jc w:val="cente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pPr>
            <w: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t>地下水及土壤防范措施</w:t>
            </w:r>
          </w:p>
        </w:tc>
        <w:tc>
          <w:tcPr>
            <w:tcW w:w="1592" w:type="pct"/>
            <w:vAlign w:val="center"/>
          </w:tcPr>
          <w:p w14:paraId="498FB3B9">
            <w:pPr>
              <w:autoSpaceDE/>
              <w:autoSpaceDN/>
              <w:spacing w:line="320" w:lineRule="exact"/>
              <w:jc w:val="cente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pPr>
            <w: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t>分区防渗</w:t>
            </w:r>
          </w:p>
        </w:tc>
        <w:tc>
          <w:tcPr>
            <w:tcW w:w="1891" w:type="pct"/>
            <w:vAlign w:val="center"/>
          </w:tcPr>
          <w:p w14:paraId="28EEAC55">
            <w:pPr>
              <w:autoSpaceDE/>
              <w:autoSpaceDN/>
              <w:spacing w:line="320" w:lineRule="exact"/>
              <w:jc w:val="cente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pPr>
            <w: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t>混输阀组间及管道采取分区防渗措施</w:t>
            </w:r>
          </w:p>
        </w:tc>
        <w:tc>
          <w:tcPr>
            <w:tcW w:w="650" w:type="pct"/>
            <w:vAlign w:val="center"/>
          </w:tcPr>
          <w:p w14:paraId="6755F079">
            <w:pPr>
              <w:autoSpaceDE/>
              <w:autoSpaceDN/>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w:t>
            </w:r>
          </w:p>
        </w:tc>
      </w:tr>
      <w:tr w14:paraId="53FD5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67" w:type="pct"/>
            <w:gridSpan w:val="2"/>
            <w:vMerge w:val="continue"/>
            <w:vAlign w:val="center"/>
          </w:tcPr>
          <w:p w14:paraId="37D00F4F">
            <w:pPr>
              <w:autoSpaceDE/>
              <w:autoSpaceDN/>
              <w:spacing w:line="320" w:lineRule="exact"/>
              <w:jc w:val="cente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pPr>
          </w:p>
        </w:tc>
        <w:tc>
          <w:tcPr>
            <w:tcW w:w="1592" w:type="pct"/>
            <w:vAlign w:val="center"/>
          </w:tcPr>
          <w:p w14:paraId="43E82C88">
            <w:pPr>
              <w:autoSpaceDE/>
              <w:autoSpaceDN/>
              <w:spacing w:line="320" w:lineRule="exact"/>
              <w:jc w:val="cente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pPr>
            <w: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t>依托项目周边村屯2口</w:t>
            </w:r>
            <w:r>
              <w:rPr>
                <w:rFonts w:hint="eastAsia"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t>、</w:t>
            </w:r>
            <w: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t>新建</w:t>
            </w:r>
            <w:r>
              <w:rPr>
                <w:rFonts w:hint="eastAsia"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t>1口</w:t>
            </w:r>
            <w: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t>跟踪监测井，定期跟踪监测地下水</w:t>
            </w:r>
          </w:p>
        </w:tc>
        <w:tc>
          <w:tcPr>
            <w:tcW w:w="1891" w:type="pct"/>
            <w:vAlign w:val="center"/>
          </w:tcPr>
          <w:p w14:paraId="3D012749">
            <w:pPr>
              <w:autoSpaceDE/>
              <w:autoSpaceDN/>
              <w:spacing w:line="320" w:lineRule="exact"/>
              <w:jc w:val="cente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pPr>
            <w: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t>0.1万元/点位，共3个监测点位</w:t>
            </w:r>
          </w:p>
        </w:tc>
        <w:tc>
          <w:tcPr>
            <w:tcW w:w="650" w:type="pct"/>
            <w:vAlign w:val="center"/>
          </w:tcPr>
          <w:p w14:paraId="704CF91A">
            <w:pPr>
              <w:autoSpaceDE/>
              <w:autoSpaceDN/>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0.3</w:t>
            </w:r>
          </w:p>
        </w:tc>
      </w:tr>
      <w:tr w14:paraId="7D8B4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67" w:type="pct"/>
            <w:gridSpan w:val="2"/>
            <w:vMerge w:val="continue"/>
            <w:vAlign w:val="center"/>
          </w:tcPr>
          <w:p w14:paraId="38CACCA4">
            <w:pPr>
              <w:autoSpaceDE/>
              <w:autoSpaceDN/>
              <w:spacing w:line="320" w:lineRule="exact"/>
              <w:jc w:val="cente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pPr>
          </w:p>
        </w:tc>
        <w:tc>
          <w:tcPr>
            <w:tcW w:w="1592" w:type="pct"/>
            <w:vAlign w:val="center"/>
          </w:tcPr>
          <w:p w14:paraId="57199089">
            <w:pPr>
              <w:autoSpaceDE/>
              <w:autoSpaceDN/>
              <w:spacing w:line="320" w:lineRule="exact"/>
              <w:jc w:val="cente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pPr>
            <w: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t>设2个土壤跟踪监测点，定期跟踪监测土壤</w:t>
            </w:r>
          </w:p>
        </w:tc>
        <w:tc>
          <w:tcPr>
            <w:tcW w:w="1891" w:type="pct"/>
            <w:vAlign w:val="center"/>
          </w:tcPr>
          <w:p w14:paraId="0ACAB343">
            <w:pPr>
              <w:autoSpaceDE/>
              <w:autoSpaceDN/>
              <w:spacing w:line="320" w:lineRule="exact"/>
              <w:jc w:val="cente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pPr>
            <w: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t>0.2万元/点位，共2个监测点位</w:t>
            </w:r>
          </w:p>
        </w:tc>
        <w:tc>
          <w:tcPr>
            <w:tcW w:w="650" w:type="pct"/>
            <w:vAlign w:val="center"/>
          </w:tcPr>
          <w:p w14:paraId="1D4BBC80">
            <w:pPr>
              <w:autoSpaceDE/>
              <w:autoSpaceDN/>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0.4</w:t>
            </w:r>
          </w:p>
        </w:tc>
      </w:tr>
      <w:tr w14:paraId="42487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350" w:type="pct"/>
            <w:gridSpan w:val="4"/>
            <w:vAlign w:val="center"/>
          </w:tcPr>
          <w:p w14:paraId="6307781B">
            <w:pPr>
              <w:autoSpaceDE/>
              <w:autoSpaceDN/>
              <w:spacing w:line="320" w:lineRule="exact"/>
              <w:jc w:val="cente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pPr>
            <w:r>
              <w:rPr>
                <w:rFonts w:ascii="Times New Roman" w:hAnsi="Times New Roman" w:cs="Times New Roman" w:eastAsiaTheme="minorEastAsia"/>
                <w:bCs/>
                <w:snapToGrid w:val="0"/>
                <w:color w:val="000000" w:themeColor="text1"/>
                <w:w w:val="99"/>
                <w:kern w:val="28"/>
                <w:sz w:val="21"/>
                <w:szCs w:val="21"/>
                <w:lang w:val="en-US" w:bidi="ar-SA"/>
                <w14:textFill>
                  <w14:solidFill>
                    <w14:schemeClr w14:val="tx1"/>
                  </w14:solidFill>
                </w14:textFill>
              </w:rPr>
              <w:t>合计</w:t>
            </w:r>
          </w:p>
        </w:tc>
        <w:tc>
          <w:tcPr>
            <w:tcW w:w="650" w:type="pct"/>
            <w:vAlign w:val="center"/>
          </w:tcPr>
          <w:p w14:paraId="30979554">
            <w:pPr>
              <w:autoSpaceDE/>
              <w:autoSpaceDN/>
              <w:spacing w:line="32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81.06</w:t>
            </w:r>
          </w:p>
        </w:tc>
      </w:tr>
    </w:tbl>
    <w:p w14:paraId="072D7291">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51" w:name="_Toc117794644"/>
      <w:r>
        <w:rPr>
          <w:rFonts w:ascii="Times New Roman" w:hAnsi="Times New Roman" w:cs="Times New Roman" w:eastAsiaTheme="minorEastAsia"/>
          <w:color w:val="000000" w:themeColor="text1"/>
          <w:w w:val="99"/>
          <w:kern w:val="2"/>
          <w:lang w:val="en-US" w:bidi="ar-SA"/>
          <w14:textFill>
            <w14:solidFill>
              <w14:schemeClr w14:val="tx1"/>
            </w14:solidFill>
          </w14:textFill>
        </w:rPr>
        <w:t>7.2.2 环境效益简要分析</w:t>
      </w:r>
      <w:bookmarkEnd w:id="551"/>
    </w:p>
    <w:p w14:paraId="7590D0BB">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本工程原油集输采用密闭流程，可减少油气损失。项目建设运营中排放的污染物采取了一系列治理措施，大大降低了排入环境中污染物的数量，将取得一定的环境效益。</w:t>
      </w:r>
    </w:p>
    <w:p w14:paraId="4FA48EA4">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552" w:name="_Toc117794645"/>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7.3 环境经济损益分析结论</w:t>
      </w:r>
      <w:bookmarkEnd w:id="552"/>
    </w:p>
    <w:p w14:paraId="77011B64">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该项目的建设，为确保大庆油田的可持续发展、建设百年油田提供了强有力的保证，对保障我国石油供应、发展我国石油化工、繁荣经济、促进改革和社会发展，都将发挥重要的作用。同时，该项目的建设还可以提高项目所在地的税收、增加就业机会、带动当地第三产业的发展，提高当地的生活水平，实现当地经济环境的协调发展。</w:t>
      </w:r>
    </w:p>
    <w:p w14:paraId="0084C82A">
      <w:pPr>
        <w:rPr>
          <w:rFonts w:ascii="Times New Roman" w:hAnsi="Times New Roman" w:cs="Times New Roman" w:eastAsiaTheme="minorEastAsia"/>
          <w:color w:val="000000" w:themeColor="text1"/>
          <w:w w:val="99"/>
          <w14:textFill>
            <w14:solidFill>
              <w14:schemeClr w14:val="tx1"/>
            </w14:solidFill>
          </w14:textFill>
        </w:rPr>
      </w:pPr>
    </w:p>
    <w:p w14:paraId="00FF980D">
      <w:pPr>
        <w:pStyle w:val="101"/>
        <w:spacing w:before="120" w:after="48"/>
        <w:rPr>
          <w:rFonts w:ascii="Times New Roman" w:cs="Times New Roman" w:eastAsiaTheme="minorEastAsia"/>
          <w:color w:val="000000" w:themeColor="text1"/>
          <w:w w:val="99"/>
          <w:lang w:val="zh-CN" w:bidi="zh-CN"/>
          <w14:textFill>
            <w14:solidFill>
              <w14:schemeClr w14:val="tx1"/>
            </w14:solidFill>
          </w14:textFill>
        </w:rPr>
      </w:pPr>
    </w:p>
    <w:p w14:paraId="6878E551">
      <w:pPr>
        <w:rPr>
          <w:rFonts w:ascii="Times New Roman" w:hAnsi="Times New Roman" w:cs="Times New Roman" w:eastAsiaTheme="minorEastAsia"/>
          <w:color w:val="000000" w:themeColor="text1"/>
          <w:w w:val="99"/>
          <w14:textFill>
            <w14:solidFill>
              <w14:schemeClr w14:val="tx1"/>
            </w14:solidFill>
          </w14:textFill>
        </w:rPr>
      </w:pPr>
    </w:p>
    <w:p w14:paraId="01023B6B">
      <w:pPr>
        <w:pStyle w:val="101"/>
        <w:spacing w:before="120" w:after="48"/>
        <w:rPr>
          <w:rFonts w:ascii="Times New Roman" w:cs="Times New Roman" w:eastAsiaTheme="minorEastAsia"/>
          <w:color w:val="000000" w:themeColor="text1"/>
          <w:w w:val="99"/>
          <w:lang w:val="zh-CN" w:bidi="zh-CN"/>
          <w14:textFill>
            <w14:solidFill>
              <w14:schemeClr w14:val="tx1"/>
            </w14:solidFill>
          </w14:textFill>
        </w:rPr>
      </w:pPr>
    </w:p>
    <w:p w14:paraId="4DAE1AB6">
      <w:pPr>
        <w:rPr>
          <w:rFonts w:ascii="Times New Roman" w:hAnsi="Times New Roman" w:cs="Times New Roman" w:eastAsiaTheme="minorEastAsia"/>
          <w:color w:val="000000" w:themeColor="text1"/>
          <w:w w:val="99"/>
          <w14:textFill>
            <w14:solidFill>
              <w14:schemeClr w14:val="tx1"/>
            </w14:solidFill>
          </w14:textFill>
        </w:rPr>
      </w:pPr>
    </w:p>
    <w:p w14:paraId="2B43A3B8">
      <w:pPr>
        <w:pStyle w:val="101"/>
        <w:spacing w:before="120" w:after="48"/>
        <w:rPr>
          <w:rFonts w:ascii="Times New Roman" w:cs="Times New Roman" w:eastAsiaTheme="minorEastAsia"/>
          <w:color w:val="000000" w:themeColor="text1"/>
          <w:w w:val="99"/>
          <w:lang w:val="zh-CN" w:bidi="zh-CN"/>
          <w14:textFill>
            <w14:solidFill>
              <w14:schemeClr w14:val="tx1"/>
            </w14:solidFill>
          </w14:textFill>
        </w:rPr>
      </w:pPr>
    </w:p>
    <w:p w14:paraId="5CEC827D">
      <w:pPr>
        <w:rPr>
          <w:rFonts w:ascii="Times New Roman" w:hAnsi="Times New Roman" w:cs="Times New Roman" w:eastAsiaTheme="minorEastAsia"/>
          <w:color w:val="000000" w:themeColor="text1"/>
          <w:w w:val="99"/>
          <w14:textFill>
            <w14:solidFill>
              <w14:schemeClr w14:val="tx1"/>
            </w14:solidFill>
          </w14:textFill>
        </w:rPr>
      </w:pPr>
    </w:p>
    <w:p w14:paraId="7856DB89">
      <w:pPr>
        <w:pStyle w:val="101"/>
        <w:spacing w:before="120" w:after="48"/>
        <w:rPr>
          <w:rFonts w:ascii="Times New Roman" w:cs="Times New Roman" w:eastAsiaTheme="minorEastAsia"/>
          <w:color w:val="000000" w:themeColor="text1"/>
          <w:w w:val="99"/>
          <w:lang w:val="zh-CN" w:bidi="zh-CN"/>
          <w14:textFill>
            <w14:solidFill>
              <w14:schemeClr w14:val="tx1"/>
            </w14:solidFill>
          </w14:textFill>
        </w:rPr>
      </w:pPr>
    </w:p>
    <w:p w14:paraId="7AE62476">
      <w:pPr>
        <w:pStyle w:val="3"/>
        <w:autoSpaceDE/>
        <w:autoSpaceDN/>
        <w:spacing w:before="180" w:after="180" w:line="440" w:lineRule="exact"/>
        <w:ind w:left="0" w:firstLine="0"/>
        <w:rPr>
          <w:rFonts w:ascii="Times New Roman" w:hAnsi="Times New Roman" w:cs="Times New Roman" w:eastAsiaTheme="minorEastAsia"/>
          <w:b/>
          <w:snapToGrid w:val="0"/>
          <w:color w:val="000000" w:themeColor="text1"/>
          <w:w w:val="99"/>
          <w:kern w:val="2"/>
          <w:sz w:val="30"/>
          <w:szCs w:val="30"/>
          <w:lang w:val="en-US" w:bidi="ar-SA"/>
          <w14:textFill>
            <w14:solidFill>
              <w14:schemeClr w14:val="tx1"/>
            </w14:solidFill>
          </w14:textFill>
        </w:rPr>
      </w:pPr>
      <w:bookmarkStart w:id="553" w:name="_Toc117794646"/>
      <w:r>
        <w:rPr>
          <w:rFonts w:ascii="Times New Roman" w:hAnsi="Times New Roman" w:cs="Times New Roman" w:eastAsiaTheme="minorEastAsia"/>
          <w:b/>
          <w:snapToGrid w:val="0"/>
          <w:color w:val="000000" w:themeColor="text1"/>
          <w:w w:val="99"/>
          <w:kern w:val="2"/>
          <w:sz w:val="30"/>
          <w:szCs w:val="30"/>
          <w:lang w:val="en-US" w:bidi="ar-SA"/>
          <w14:textFill>
            <w14:solidFill>
              <w14:schemeClr w14:val="tx1"/>
            </w14:solidFill>
          </w14:textFill>
        </w:rPr>
        <w:t>8 环境管理与监测计划</w:t>
      </w:r>
      <w:bookmarkEnd w:id="553"/>
    </w:p>
    <w:p w14:paraId="6A11B940">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554" w:name="_Toc117794647"/>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8.1 HSE管理体系的建立和运行</w:t>
      </w:r>
      <w:bookmarkEnd w:id="554"/>
    </w:p>
    <w:p w14:paraId="44FCCC27">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本项目依据《石油天然气工业健康、安全与环境管理体系》（SY/T6276-2014）的要求，在项目的建设期、运营期和退役期等3个阶段建立和实施HSE管理体系。建设期、运营期和退役期的HSE管理分别包括以下内容：</w:t>
      </w:r>
    </w:p>
    <w:p w14:paraId="3130D055">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1</w:t>
      </w:r>
      <w:r>
        <w:rPr>
          <w:rFonts w:ascii="Times New Roman" w:hAnsi="Times New Roman" w:cs="Times New Roman" w:eastAsiaTheme="minorEastAsia"/>
          <w:color w:val="000000" w:themeColor="text1"/>
          <w:w w:val="99"/>
          <w:sz w:val="24"/>
          <w:szCs w:val="24"/>
          <w14:textFill>
            <w14:solidFill>
              <w14:schemeClr w14:val="tx1"/>
            </w14:solidFill>
          </w14:textFill>
        </w:rPr>
        <w:t>）建设期HSE管理主要包括良好的工程（高产、节水、节能）设计、安全、健康与环境保护设施的同时设计、同时施工和同时投入使用，安全、绿色施工等；</w:t>
      </w:r>
    </w:p>
    <w:p w14:paraId="38B51064">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2</w:t>
      </w:r>
      <w:r>
        <w:rPr>
          <w:rFonts w:ascii="Times New Roman" w:hAnsi="Times New Roman" w:cs="Times New Roman" w:eastAsiaTheme="minorEastAsia"/>
          <w:color w:val="000000" w:themeColor="text1"/>
          <w:w w:val="99"/>
          <w:sz w:val="24"/>
          <w:szCs w:val="24"/>
          <w14:textFill>
            <w14:solidFill>
              <w14:schemeClr w14:val="tx1"/>
            </w14:solidFill>
          </w14:textFill>
        </w:rPr>
        <w:t>）运营期HSE管理主要包括：HSE组织机构的建立及职责的确定、文件的编写、风险的识别和管理、应急措施的建立、人员的培训、HSE管理体系的运行及保持、清洁生产等；</w:t>
      </w:r>
    </w:p>
    <w:p w14:paraId="1542990F">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3</w:t>
      </w:r>
      <w:r>
        <w:rPr>
          <w:rFonts w:ascii="Times New Roman" w:hAnsi="Times New Roman" w:cs="Times New Roman" w:eastAsiaTheme="minorEastAsia"/>
          <w:color w:val="000000" w:themeColor="text1"/>
          <w:w w:val="99"/>
          <w:sz w:val="24"/>
          <w:szCs w:val="24"/>
          <w14:textFill>
            <w14:solidFill>
              <w14:schemeClr w14:val="tx1"/>
            </w14:solidFill>
          </w14:textFill>
        </w:rPr>
        <w:t>）退役期HSE管理主要考虑油区退役的安全与环境影响。</w:t>
      </w:r>
    </w:p>
    <w:p w14:paraId="36F687ED">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油田开发建设及其相关辅助性设施对环境主要影响是建设期的各种施工作业活动和运行期的风险事故。为最大限度地减轻油田生产对区域内空气环境、水环境及生态环境的影响，减少事故的发生，以确保油田安全运行，必须建立科学有效的环境管理体制，制定详细周密的环境保护管理计划。</w:t>
      </w:r>
    </w:p>
    <w:p w14:paraId="2AC960C5">
      <w:pPr>
        <w:pStyle w:val="105"/>
        <w:spacing w:before="60" w:beforeLines="0" w:after="60" w:line="440" w:lineRule="exact"/>
        <w:jc w:val="both"/>
        <w:outlineLvl w:val="2"/>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bookmarkStart w:id="555" w:name="_Toc117794648"/>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8.1.1 组织机构</w:t>
      </w:r>
      <w:bookmarkEnd w:id="555"/>
    </w:p>
    <w:p w14:paraId="0A923EF6">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本项目严格实施HSE环境管理体系，本项目环境管理归大庆油田有限责任公司</w:t>
      </w:r>
      <w:r>
        <w:rPr>
          <w:rFonts w:hint="eastAsia" w:ascii="Times New Roman" w:hAnsi="Times New Roman" w:cs="Times New Roman" w:eastAsiaTheme="minorEastAsia"/>
          <w:color w:val="000000" w:themeColor="text1"/>
          <w:w w:val="99"/>
          <w:sz w:val="24"/>
          <w:szCs w:val="24"/>
          <w:lang w:eastAsia="zh-CN"/>
          <w14:textFill>
            <w14:solidFill>
              <w14:schemeClr w14:val="tx1"/>
            </w14:solidFill>
          </w14:textFill>
        </w:rPr>
        <w:t>第五采油厂</w:t>
      </w:r>
      <w:r>
        <w:rPr>
          <w:rFonts w:ascii="Times New Roman" w:hAnsi="Times New Roman" w:cs="Times New Roman" w:eastAsiaTheme="minorEastAsia"/>
          <w:color w:val="000000" w:themeColor="text1"/>
          <w:w w:val="99"/>
          <w:sz w:val="24"/>
          <w:szCs w:val="24"/>
          <w14:textFill>
            <w14:solidFill>
              <w14:schemeClr w14:val="tx1"/>
            </w14:solidFill>
          </w14:textFill>
        </w:rPr>
        <w:t>管理，逐级落实岗位责任制，各层下属单位设环保员1名，相应基层单位经理为HSE管理体系的第一负责人，对单位日常生产过程中的相关环境工作进行管理。</w:t>
      </w:r>
    </w:p>
    <w:p w14:paraId="27860B3B">
      <w:pPr>
        <w:pStyle w:val="105"/>
        <w:spacing w:before="60" w:beforeLines="0" w:after="60" w:line="440" w:lineRule="exact"/>
        <w:jc w:val="both"/>
        <w:outlineLvl w:val="2"/>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bookmarkStart w:id="556" w:name="_Toc117794649"/>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8.1.2 规章制度</w:t>
      </w:r>
      <w:bookmarkEnd w:id="556"/>
    </w:p>
    <w:p w14:paraId="5C69A22F">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油田环保工作必须严格执行国家、黑龙江省的环保法律法规，同时还应制定相应的环境管理规章制度，环保法规及油田内部的各种环境管理规章制度应下发到相应人员，并组织有关人员学习和贯彻执行，以确保环境管理工作的顺利进行。相关法规和规章制度详见表</w:t>
      </w:r>
      <w:r>
        <w:rPr>
          <w:rFonts w:ascii="Times New Roman" w:hAnsi="Times New Roman" w:cs="Times New Roman" w:eastAsiaTheme="minorEastAsia"/>
          <w:color w:val="000000" w:themeColor="text1"/>
          <w:w w:val="99"/>
          <w:sz w:val="24"/>
          <w:szCs w:val="24"/>
          <w:lang w:val="en-US"/>
          <w14:textFill>
            <w14:solidFill>
              <w14:schemeClr w14:val="tx1"/>
            </w14:solidFill>
          </w14:textFill>
        </w:rPr>
        <w:t>8.1-1。</w:t>
      </w:r>
    </w:p>
    <w:p w14:paraId="55E3F43D">
      <w:pPr>
        <w:pStyle w:val="105"/>
        <w:spacing w:beforeLines="0" w:line="440" w:lineRule="exact"/>
        <w:ind w:firstLine="476" w:firstLineChars="200"/>
        <w:jc w:val="both"/>
        <w:rPr>
          <w:rFonts w:ascii="Times New Roman" w:hAnsi="Times New Roman" w:cs="Times New Roman" w:eastAsiaTheme="minorEastAsia"/>
          <w:b/>
          <w:bCs/>
          <w:color w:val="000000" w:themeColor="text1"/>
          <w:w w:val="99"/>
          <w:sz w:val="24"/>
          <w:szCs w:val="24"/>
          <w14:textFill>
            <w14:solidFill>
              <w14:schemeClr w14:val="tx1"/>
            </w14:solidFill>
          </w14:textFill>
        </w:rPr>
      </w:pPr>
    </w:p>
    <w:p w14:paraId="251DB4E2">
      <w:pPr>
        <w:pStyle w:val="105"/>
        <w:spacing w:beforeLines="0" w:line="440" w:lineRule="exact"/>
        <w:ind w:firstLine="476" w:firstLineChars="200"/>
        <w:jc w:val="both"/>
        <w:rPr>
          <w:rFonts w:ascii="Times New Roman" w:hAnsi="Times New Roman" w:cs="Times New Roman" w:eastAsiaTheme="minorEastAsia"/>
          <w:b/>
          <w:bCs/>
          <w:color w:val="000000" w:themeColor="text1"/>
          <w:w w:val="99"/>
          <w:sz w:val="24"/>
          <w:szCs w:val="24"/>
          <w14:textFill>
            <w14:solidFill>
              <w14:schemeClr w14:val="tx1"/>
            </w14:solidFill>
          </w14:textFill>
        </w:rPr>
      </w:pPr>
    </w:p>
    <w:p w14:paraId="7FB10B14">
      <w:pPr>
        <w:pStyle w:val="105"/>
        <w:spacing w:beforeLines="0" w:line="440" w:lineRule="exact"/>
        <w:ind w:firstLine="476" w:firstLineChars="200"/>
        <w:jc w:val="both"/>
        <w:rPr>
          <w:rFonts w:ascii="Times New Roman" w:hAnsi="Times New Roman" w:cs="Times New Roman" w:eastAsiaTheme="minorEastAsia"/>
          <w:b/>
          <w:bCs/>
          <w:color w:val="000000" w:themeColor="text1"/>
          <w:w w:val="99"/>
          <w:sz w:val="24"/>
          <w:szCs w:val="24"/>
          <w14:textFill>
            <w14:solidFill>
              <w14:schemeClr w14:val="tx1"/>
            </w14:solidFill>
          </w14:textFill>
        </w:rPr>
      </w:pPr>
    </w:p>
    <w:p w14:paraId="4602FB52">
      <w:pPr>
        <w:pStyle w:val="105"/>
        <w:spacing w:beforeLines="0" w:line="440" w:lineRule="exact"/>
        <w:ind w:firstLine="476" w:firstLineChars="200"/>
        <w:jc w:val="both"/>
        <w:rPr>
          <w:rFonts w:ascii="Times New Roman" w:hAnsi="Times New Roman" w:cs="Times New Roman" w:eastAsiaTheme="minorEastAsia"/>
          <w:b/>
          <w:bCs/>
          <w:color w:val="000000" w:themeColor="text1"/>
          <w:w w:val="99"/>
          <w:sz w:val="24"/>
          <w:szCs w:val="24"/>
          <w14:textFill>
            <w14:solidFill>
              <w14:schemeClr w14:val="tx1"/>
            </w14:solidFill>
          </w14:textFill>
        </w:rPr>
      </w:pPr>
    </w:p>
    <w:p w14:paraId="7B7058C5">
      <w:pPr>
        <w:pStyle w:val="105"/>
        <w:spacing w:beforeLines="0" w:line="440" w:lineRule="exact"/>
        <w:ind w:firstLine="476" w:firstLineChars="200"/>
        <w:jc w:val="both"/>
        <w:rPr>
          <w:rFonts w:ascii="Times New Roman" w:hAnsi="Times New Roman" w:cs="Times New Roman" w:eastAsiaTheme="minorEastAsia"/>
          <w:b/>
          <w:bCs/>
          <w:color w:val="000000" w:themeColor="text1"/>
          <w:w w:val="99"/>
          <w:sz w:val="24"/>
          <w:szCs w:val="24"/>
          <w14:textFill>
            <w14:solidFill>
              <w14:schemeClr w14:val="tx1"/>
            </w14:solidFill>
          </w14:textFill>
        </w:rPr>
      </w:pPr>
    </w:p>
    <w:p w14:paraId="200A718F">
      <w:pPr>
        <w:pStyle w:val="105"/>
        <w:spacing w:beforeLines="0" w:line="440" w:lineRule="exact"/>
        <w:ind w:firstLine="476" w:firstLineChars="200"/>
        <w:jc w:val="both"/>
        <w:rPr>
          <w:rFonts w:ascii="Times New Roman" w:hAnsi="Times New Roman" w:cs="Times New Roman" w:eastAsiaTheme="minorEastAsia"/>
          <w:b/>
          <w:bCs/>
          <w:color w:val="000000" w:themeColor="text1"/>
          <w:w w:val="99"/>
          <w:sz w:val="24"/>
          <w:szCs w:val="24"/>
          <w14:textFill>
            <w14:solidFill>
              <w14:schemeClr w14:val="tx1"/>
            </w14:solidFill>
          </w14:textFill>
        </w:rPr>
      </w:pPr>
    </w:p>
    <w:p w14:paraId="5B7FD76A">
      <w:pPr>
        <w:pStyle w:val="105"/>
        <w:spacing w:beforeLines="0" w:line="440" w:lineRule="exact"/>
        <w:ind w:firstLine="476" w:firstLineChars="200"/>
        <w:jc w:val="both"/>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r>
        <w:rPr>
          <w:rFonts w:ascii="Times New Roman" w:hAnsi="Times New Roman" w:cs="Times New Roman" w:eastAsiaTheme="minorEastAsia"/>
          <w:b/>
          <w:bCs/>
          <w:color w:val="000000" w:themeColor="text1"/>
          <w:w w:val="99"/>
          <w:sz w:val="24"/>
          <w:szCs w:val="24"/>
          <w14:textFill>
            <w14:solidFill>
              <w14:schemeClr w14:val="tx1"/>
            </w14:solidFill>
          </w14:textFill>
        </w:rPr>
        <w:t>表</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8.1-1         环保法规和规章制度一览表</w:t>
      </w:r>
    </w:p>
    <w:tbl>
      <w:tblPr>
        <w:tblStyle w:val="80"/>
        <w:tblW w:w="92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4"/>
        <w:gridCol w:w="2170"/>
        <w:gridCol w:w="6445"/>
      </w:tblGrid>
      <w:tr w14:paraId="73226B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674" w:type="dxa"/>
            <w:tcBorders>
              <w:tl2br w:val="nil"/>
              <w:tr2bl w:val="nil"/>
            </w:tcBorders>
            <w:vAlign w:val="center"/>
          </w:tcPr>
          <w:p w14:paraId="5277DE64">
            <w:pPr>
              <w:pStyle w:val="108"/>
              <w:adjustRightInd w:val="0"/>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序号</w:t>
            </w:r>
          </w:p>
        </w:tc>
        <w:tc>
          <w:tcPr>
            <w:tcW w:w="2170" w:type="dxa"/>
            <w:tcBorders>
              <w:tl2br w:val="nil"/>
              <w:tr2bl w:val="nil"/>
            </w:tcBorders>
            <w:vAlign w:val="center"/>
          </w:tcPr>
          <w:p w14:paraId="5B9B76D9">
            <w:pPr>
              <w:pStyle w:val="108"/>
              <w:adjustRightInd w:val="0"/>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规章名称</w:t>
            </w:r>
          </w:p>
        </w:tc>
        <w:tc>
          <w:tcPr>
            <w:tcW w:w="6445" w:type="dxa"/>
            <w:tcBorders>
              <w:tl2br w:val="nil"/>
              <w:tr2bl w:val="nil"/>
            </w:tcBorders>
            <w:vAlign w:val="center"/>
          </w:tcPr>
          <w:p w14:paraId="762B3879">
            <w:pPr>
              <w:pStyle w:val="108"/>
              <w:adjustRightInd w:val="0"/>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主要内容</w:t>
            </w:r>
          </w:p>
        </w:tc>
      </w:tr>
      <w:tr w14:paraId="0B59D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674" w:type="dxa"/>
            <w:tcBorders>
              <w:tl2br w:val="nil"/>
              <w:tr2bl w:val="nil"/>
            </w:tcBorders>
            <w:vAlign w:val="center"/>
          </w:tcPr>
          <w:p w14:paraId="0A7F0232">
            <w:pPr>
              <w:pStyle w:val="108"/>
              <w:adjustRightInd w:val="0"/>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1</w:t>
            </w:r>
          </w:p>
        </w:tc>
        <w:tc>
          <w:tcPr>
            <w:tcW w:w="2170" w:type="dxa"/>
            <w:tcBorders>
              <w:tl2br w:val="nil"/>
              <w:tr2bl w:val="nil"/>
            </w:tcBorders>
            <w:vAlign w:val="center"/>
          </w:tcPr>
          <w:p w14:paraId="4583FF6C">
            <w:pPr>
              <w:pStyle w:val="108"/>
              <w:adjustRightInd w:val="0"/>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国家、省市级的相关环保法律法规</w:t>
            </w:r>
          </w:p>
        </w:tc>
        <w:tc>
          <w:tcPr>
            <w:tcW w:w="6445" w:type="dxa"/>
            <w:tcBorders>
              <w:tl2br w:val="nil"/>
              <w:tr2bl w:val="nil"/>
            </w:tcBorders>
            <w:vAlign w:val="center"/>
          </w:tcPr>
          <w:p w14:paraId="73EAA21B">
            <w:pPr>
              <w:pStyle w:val="108"/>
              <w:adjustRightInd w:val="0"/>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国家、省市颁发的环境保护法律、法规。</w:t>
            </w:r>
          </w:p>
        </w:tc>
      </w:tr>
      <w:tr w14:paraId="3210C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jc w:val="center"/>
        </w:trPr>
        <w:tc>
          <w:tcPr>
            <w:tcW w:w="674" w:type="dxa"/>
            <w:tcBorders>
              <w:tl2br w:val="nil"/>
              <w:tr2bl w:val="nil"/>
            </w:tcBorders>
            <w:vAlign w:val="center"/>
          </w:tcPr>
          <w:p w14:paraId="10B7AB69">
            <w:pPr>
              <w:pStyle w:val="108"/>
              <w:adjustRightInd w:val="0"/>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2</w:t>
            </w:r>
          </w:p>
        </w:tc>
        <w:tc>
          <w:tcPr>
            <w:tcW w:w="2170" w:type="dxa"/>
            <w:tcBorders>
              <w:tl2br w:val="nil"/>
              <w:tr2bl w:val="nil"/>
            </w:tcBorders>
            <w:vAlign w:val="center"/>
          </w:tcPr>
          <w:p w14:paraId="7137A4DF">
            <w:pPr>
              <w:pStyle w:val="108"/>
              <w:adjustRightInd w:val="0"/>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油田公司制定的相关环保法律法规</w:t>
            </w:r>
          </w:p>
        </w:tc>
        <w:tc>
          <w:tcPr>
            <w:tcW w:w="6445" w:type="dxa"/>
            <w:tcBorders>
              <w:tl2br w:val="nil"/>
              <w:tr2bl w:val="nil"/>
            </w:tcBorders>
            <w:vAlign w:val="center"/>
          </w:tcPr>
          <w:p w14:paraId="7EBCF505">
            <w:pPr>
              <w:pStyle w:val="108"/>
              <w:adjustRightInd w:val="0"/>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油田公司的环境管理规定及环境管理规章制度（或环境保护条例及事故预案）。</w:t>
            </w:r>
          </w:p>
        </w:tc>
      </w:tr>
      <w:tr w14:paraId="7FBC3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jc w:val="center"/>
        </w:trPr>
        <w:tc>
          <w:tcPr>
            <w:tcW w:w="674" w:type="dxa"/>
            <w:tcBorders>
              <w:tl2br w:val="nil"/>
              <w:tr2bl w:val="nil"/>
            </w:tcBorders>
            <w:vAlign w:val="center"/>
          </w:tcPr>
          <w:p w14:paraId="484828DF">
            <w:pPr>
              <w:pStyle w:val="108"/>
              <w:adjustRightInd w:val="0"/>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3</w:t>
            </w:r>
          </w:p>
        </w:tc>
        <w:tc>
          <w:tcPr>
            <w:tcW w:w="2170" w:type="dxa"/>
            <w:tcBorders>
              <w:tl2br w:val="nil"/>
              <w:tr2bl w:val="nil"/>
            </w:tcBorders>
            <w:vAlign w:val="center"/>
          </w:tcPr>
          <w:p w14:paraId="1354DDDD">
            <w:pPr>
              <w:pStyle w:val="108"/>
              <w:adjustRightInd w:val="0"/>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环保技术规程及标准</w:t>
            </w:r>
          </w:p>
        </w:tc>
        <w:tc>
          <w:tcPr>
            <w:tcW w:w="6445" w:type="dxa"/>
            <w:tcBorders>
              <w:tl2br w:val="nil"/>
              <w:tr2bl w:val="nil"/>
            </w:tcBorders>
            <w:vAlign w:val="center"/>
          </w:tcPr>
          <w:p w14:paraId="39D01B83">
            <w:pPr>
              <w:pStyle w:val="108"/>
              <w:adjustRightInd w:val="0"/>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各级有关环境管理的技术规程、标准，主要包括：国家及省市颁布的相关污染物排放控制标准；油田公司及厂矿等各级单位制定的生产工艺、设备的环境技术管理规程，环境保护设备的操作规程等。</w:t>
            </w:r>
          </w:p>
        </w:tc>
      </w:tr>
      <w:tr w14:paraId="2C7DD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674" w:type="dxa"/>
            <w:tcBorders>
              <w:tl2br w:val="nil"/>
              <w:tr2bl w:val="nil"/>
            </w:tcBorders>
            <w:vAlign w:val="center"/>
          </w:tcPr>
          <w:p w14:paraId="7338A9E2">
            <w:pPr>
              <w:pStyle w:val="108"/>
              <w:adjustRightInd w:val="0"/>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4</w:t>
            </w:r>
          </w:p>
        </w:tc>
        <w:tc>
          <w:tcPr>
            <w:tcW w:w="2170" w:type="dxa"/>
            <w:tcBorders>
              <w:tl2br w:val="nil"/>
              <w:tr2bl w:val="nil"/>
            </w:tcBorders>
            <w:vAlign w:val="center"/>
          </w:tcPr>
          <w:p w14:paraId="5FDA3B82">
            <w:pPr>
              <w:pStyle w:val="108"/>
              <w:adjustRightInd w:val="0"/>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环境保护责任制</w:t>
            </w:r>
          </w:p>
        </w:tc>
        <w:tc>
          <w:tcPr>
            <w:tcW w:w="6445" w:type="dxa"/>
            <w:tcBorders>
              <w:tl2br w:val="nil"/>
              <w:tr2bl w:val="nil"/>
            </w:tcBorders>
            <w:vAlign w:val="center"/>
          </w:tcPr>
          <w:p w14:paraId="5229E688">
            <w:pPr>
              <w:pStyle w:val="108"/>
              <w:adjustRightInd w:val="0"/>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公司各类人员环境保护工作范围，应负的责任以及相应的权力。</w:t>
            </w:r>
          </w:p>
        </w:tc>
      </w:tr>
      <w:tr w14:paraId="46512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jc w:val="center"/>
        </w:trPr>
        <w:tc>
          <w:tcPr>
            <w:tcW w:w="674" w:type="dxa"/>
            <w:tcBorders>
              <w:tl2br w:val="nil"/>
              <w:tr2bl w:val="nil"/>
            </w:tcBorders>
            <w:vAlign w:val="center"/>
          </w:tcPr>
          <w:p w14:paraId="729550EC">
            <w:pPr>
              <w:pStyle w:val="108"/>
              <w:adjustRightInd w:val="0"/>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5</w:t>
            </w:r>
          </w:p>
        </w:tc>
        <w:tc>
          <w:tcPr>
            <w:tcW w:w="2170" w:type="dxa"/>
            <w:tcBorders>
              <w:tl2br w:val="nil"/>
              <w:tr2bl w:val="nil"/>
            </w:tcBorders>
            <w:vAlign w:val="center"/>
          </w:tcPr>
          <w:p w14:paraId="654E7534">
            <w:pPr>
              <w:pStyle w:val="108"/>
              <w:adjustRightInd w:val="0"/>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三废管理制度</w:t>
            </w:r>
          </w:p>
        </w:tc>
        <w:tc>
          <w:tcPr>
            <w:tcW w:w="6445" w:type="dxa"/>
            <w:tcBorders>
              <w:tl2br w:val="nil"/>
              <w:tr2bl w:val="nil"/>
            </w:tcBorders>
            <w:vAlign w:val="center"/>
          </w:tcPr>
          <w:p w14:paraId="0DF33551">
            <w:pPr>
              <w:pStyle w:val="108"/>
              <w:adjustRightInd w:val="0"/>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包括油田开发建设期及生产运行期废水、废气、废渣及噪声等方面的管理制度：在油田投入正常生产过程后，三废管理制度主要应包括油田正常运行过程中对含油污泥、含油污水及挥发烃的治理（回收及利用）等方面的管理制度。</w:t>
            </w:r>
          </w:p>
        </w:tc>
      </w:tr>
      <w:tr w14:paraId="4A5B9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8" w:hRule="atLeast"/>
          <w:jc w:val="center"/>
        </w:trPr>
        <w:tc>
          <w:tcPr>
            <w:tcW w:w="674" w:type="dxa"/>
            <w:tcBorders>
              <w:tl2br w:val="nil"/>
              <w:tr2bl w:val="nil"/>
            </w:tcBorders>
            <w:vAlign w:val="center"/>
          </w:tcPr>
          <w:p w14:paraId="335344F5">
            <w:pPr>
              <w:pStyle w:val="108"/>
              <w:adjustRightInd w:val="0"/>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6</w:t>
            </w:r>
          </w:p>
        </w:tc>
        <w:tc>
          <w:tcPr>
            <w:tcW w:w="2170" w:type="dxa"/>
            <w:tcBorders>
              <w:tl2br w:val="nil"/>
              <w:tr2bl w:val="nil"/>
            </w:tcBorders>
            <w:vAlign w:val="center"/>
          </w:tcPr>
          <w:p w14:paraId="1C893A6E">
            <w:pPr>
              <w:pStyle w:val="108"/>
              <w:adjustRightInd w:val="0"/>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生态保护管理制度</w:t>
            </w:r>
          </w:p>
        </w:tc>
        <w:tc>
          <w:tcPr>
            <w:tcW w:w="6445" w:type="dxa"/>
            <w:tcBorders>
              <w:tl2br w:val="nil"/>
              <w:tr2bl w:val="nil"/>
            </w:tcBorders>
            <w:vAlign w:val="center"/>
          </w:tcPr>
          <w:p w14:paraId="5793561E">
            <w:pPr>
              <w:pStyle w:val="108"/>
              <w:adjustRightInd w:val="0"/>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主要包括油田建设期</w:t>
            </w:r>
            <w:r>
              <w:rPr>
                <w:rFonts w:hint="eastAsia" w:eastAsiaTheme="minorEastAsia"/>
                <w:color w:val="000000" w:themeColor="text1"/>
                <w:w w:val="99"/>
                <w:kern w:val="2"/>
                <w:sz w:val="21"/>
                <w:szCs w:val="21"/>
                <w:lang w:val="en-US" w:bidi="ar-SA"/>
                <w14:textFill>
                  <w14:solidFill>
                    <w14:schemeClr w14:val="tx1"/>
                  </w14:solidFill>
                </w14:textFill>
              </w:rPr>
              <w:t>新建</w:t>
            </w:r>
            <w:r>
              <w:rPr>
                <w:rFonts w:eastAsiaTheme="minorEastAsia"/>
                <w:color w:val="000000" w:themeColor="text1"/>
                <w:w w:val="99"/>
                <w:kern w:val="2"/>
                <w:sz w:val="21"/>
                <w:szCs w:val="21"/>
                <w:lang w:val="en-US" w:bidi="ar-SA"/>
                <w14:textFill>
                  <w14:solidFill>
                    <w14:schemeClr w14:val="tx1"/>
                  </w14:solidFill>
                </w14:textFill>
              </w:rPr>
              <w:t>管线过程对区域内生态环境产生的影响后所做出的恢复计划及生态补偿措施等；在油田进入正常生产运行期后，生态保护制度主要包括油田生产过程中所进行的油井作业过程，同时包括在生产过程中对于一些突发事故可能对周围生态环境产生的影响而制定的生态恢复计划和补偿措施等内容。</w:t>
            </w:r>
          </w:p>
        </w:tc>
      </w:tr>
      <w:tr w14:paraId="0D1DE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674" w:type="dxa"/>
            <w:tcBorders>
              <w:tl2br w:val="nil"/>
              <w:tr2bl w:val="nil"/>
            </w:tcBorders>
            <w:vAlign w:val="center"/>
          </w:tcPr>
          <w:p w14:paraId="363CC7A3">
            <w:pPr>
              <w:pStyle w:val="108"/>
              <w:adjustRightInd w:val="0"/>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7</w:t>
            </w:r>
          </w:p>
        </w:tc>
        <w:tc>
          <w:tcPr>
            <w:tcW w:w="2170" w:type="dxa"/>
            <w:tcBorders>
              <w:tl2br w:val="nil"/>
              <w:tr2bl w:val="nil"/>
            </w:tcBorders>
            <w:vAlign w:val="center"/>
          </w:tcPr>
          <w:p w14:paraId="54C37AC0">
            <w:pPr>
              <w:pStyle w:val="108"/>
              <w:adjustRightInd w:val="0"/>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事故管理预案</w:t>
            </w:r>
          </w:p>
        </w:tc>
        <w:tc>
          <w:tcPr>
            <w:tcW w:w="6445" w:type="dxa"/>
            <w:tcBorders>
              <w:tl2br w:val="nil"/>
              <w:tr2bl w:val="nil"/>
            </w:tcBorders>
            <w:vAlign w:val="center"/>
          </w:tcPr>
          <w:p w14:paraId="6A48FCFA">
            <w:pPr>
              <w:pStyle w:val="108"/>
              <w:adjustRightInd w:val="0"/>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明确油田开发建设过程中的诸如油注入井作业、集油管道所可能存在的突发事故的预防管理措施。</w:t>
            </w:r>
          </w:p>
        </w:tc>
      </w:tr>
    </w:tbl>
    <w:p w14:paraId="4FEE96D0">
      <w:pPr>
        <w:pStyle w:val="105"/>
        <w:spacing w:before="60" w:beforeLines="0" w:after="60" w:line="440" w:lineRule="exact"/>
        <w:jc w:val="both"/>
        <w:outlineLvl w:val="2"/>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bookmarkStart w:id="557" w:name="_Toc117794650"/>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8.1.3 管理措施</w:t>
      </w:r>
      <w:bookmarkEnd w:id="557"/>
    </w:p>
    <w:p w14:paraId="0F1C8A60">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1</w:t>
      </w:r>
      <w:r>
        <w:rPr>
          <w:rFonts w:ascii="Times New Roman" w:hAnsi="Times New Roman" w:cs="Times New Roman" w:eastAsiaTheme="minorEastAsia"/>
          <w:color w:val="000000" w:themeColor="text1"/>
          <w:w w:val="99"/>
          <w:sz w:val="24"/>
          <w:szCs w:val="24"/>
          <w14:textFill>
            <w14:solidFill>
              <w14:schemeClr w14:val="tx1"/>
            </w14:solidFill>
          </w14:textFill>
        </w:rPr>
        <w:t>）最高领导层将HSE管理放在与企业生产和经营管理同等重要的位置上；</w:t>
      </w:r>
    </w:p>
    <w:p w14:paraId="54F52C10">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2</w:t>
      </w:r>
      <w:r>
        <w:rPr>
          <w:rFonts w:ascii="Times New Roman" w:hAnsi="Times New Roman" w:cs="Times New Roman" w:eastAsiaTheme="minorEastAsia"/>
          <w:color w:val="000000" w:themeColor="text1"/>
          <w:w w:val="99"/>
          <w:sz w:val="24"/>
          <w:szCs w:val="24"/>
          <w14:textFill>
            <w14:solidFill>
              <w14:schemeClr w14:val="tx1"/>
            </w14:solidFill>
          </w14:textFill>
        </w:rPr>
        <w:t>）公司员工时刻将HSE责任放在心中；</w:t>
      </w:r>
    </w:p>
    <w:p w14:paraId="5CA83B93">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3</w:t>
      </w:r>
      <w:r>
        <w:rPr>
          <w:rFonts w:ascii="Times New Roman" w:hAnsi="Times New Roman" w:cs="Times New Roman" w:eastAsiaTheme="minorEastAsia"/>
          <w:color w:val="000000" w:themeColor="text1"/>
          <w:w w:val="99"/>
          <w:sz w:val="24"/>
          <w:szCs w:val="24"/>
          <w14:textFill>
            <w14:solidFill>
              <w14:schemeClr w14:val="tx1"/>
            </w14:solidFill>
          </w14:textFill>
        </w:rPr>
        <w:t>）制定和落实一岗一责制；</w:t>
      </w:r>
    </w:p>
    <w:p w14:paraId="3D026778">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4</w:t>
      </w:r>
      <w:r>
        <w:rPr>
          <w:rFonts w:ascii="Times New Roman" w:hAnsi="Times New Roman" w:cs="Times New Roman" w:eastAsiaTheme="minorEastAsia"/>
          <w:color w:val="000000" w:themeColor="text1"/>
          <w:w w:val="99"/>
          <w:sz w:val="24"/>
          <w:szCs w:val="24"/>
          <w14:textFill>
            <w14:solidFill>
              <w14:schemeClr w14:val="tx1"/>
            </w14:solidFill>
          </w14:textFill>
        </w:rPr>
        <w:t>）加强生产技术及HSE教育和培训；</w:t>
      </w:r>
    </w:p>
    <w:p w14:paraId="2048441B">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5</w:t>
      </w:r>
      <w:r>
        <w:rPr>
          <w:rFonts w:ascii="Times New Roman" w:hAnsi="Times New Roman" w:cs="Times New Roman" w:eastAsiaTheme="minorEastAsia"/>
          <w:color w:val="000000" w:themeColor="text1"/>
          <w:w w:val="99"/>
          <w:sz w:val="24"/>
          <w:szCs w:val="24"/>
          <w14:textFill>
            <w14:solidFill>
              <w14:schemeClr w14:val="tx1"/>
            </w14:solidFill>
          </w14:textFill>
        </w:rPr>
        <w:t>）做好现场审核和整改；</w:t>
      </w:r>
    </w:p>
    <w:p w14:paraId="0F698DAA">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6</w:t>
      </w:r>
      <w:r>
        <w:rPr>
          <w:rFonts w:ascii="Times New Roman" w:hAnsi="Times New Roman" w:cs="Times New Roman" w:eastAsiaTheme="minorEastAsia"/>
          <w:color w:val="000000" w:themeColor="text1"/>
          <w:w w:val="99"/>
          <w:sz w:val="24"/>
          <w:szCs w:val="24"/>
          <w14:textFill>
            <w14:solidFill>
              <w14:schemeClr w14:val="tx1"/>
            </w14:solidFill>
          </w14:textFill>
        </w:rPr>
        <w:t>）奖优罚劣，持续改进HSE表现。</w:t>
      </w:r>
    </w:p>
    <w:p w14:paraId="5F6C5BAB">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558" w:name="_Toc117794651"/>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8.2 环境监控</w:t>
      </w:r>
      <w:bookmarkEnd w:id="558"/>
    </w:p>
    <w:p w14:paraId="5B058FB4">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59" w:name="_Toc117794652"/>
      <w:r>
        <w:rPr>
          <w:rFonts w:ascii="Times New Roman" w:hAnsi="Times New Roman" w:cs="Times New Roman" w:eastAsiaTheme="minorEastAsia"/>
          <w:color w:val="000000" w:themeColor="text1"/>
          <w:w w:val="99"/>
          <w:kern w:val="2"/>
          <w:lang w:val="en-US" w:bidi="ar-SA"/>
          <w14:textFill>
            <w14:solidFill>
              <w14:schemeClr w14:val="tx1"/>
            </w14:solidFill>
          </w14:textFill>
        </w:rPr>
        <w:t>8.2.1 环境监控实施计划</w:t>
      </w:r>
      <w:bookmarkEnd w:id="559"/>
    </w:p>
    <w:p w14:paraId="7F66CB65">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由</w:t>
      </w:r>
      <w:r>
        <w:rPr>
          <w:rFonts w:ascii="Times New Roman" w:hAnsi="Times New Roman" w:cs="Times New Roman" w:eastAsiaTheme="minorEastAsia"/>
          <w:color w:val="000000" w:themeColor="text1"/>
          <w:w w:val="99"/>
          <w:sz w:val="24"/>
          <w:szCs w:val="24"/>
          <w:lang w:val="en-US"/>
          <w14:textFill>
            <w14:solidFill>
              <w14:schemeClr w14:val="tx1"/>
            </w14:solidFill>
          </w14:textFill>
        </w:rPr>
        <w:t>大庆油田有限责任公司</w:t>
      </w:r>
      <w:r>
        <w:rPr>
          <w:rFonts w:hint="eastAsia" w:ascii="Times New Roman" w:hAnsi="Times New Roman" w:cs="Times New Roman" w:eastAsiaTheme="minorEastAsia"/>
          <w:color w:val="000000" w:themeColor="text1"/>
          <w:w w:val="99"/>
          <w:sz w:val="24"/>
          <w:szCs w:val="24"/>
          <w:lang w:val="en-US" w:eastAsia="zh-CN"/>
          <w14:textFill>
            <w14:solidFill>
              <w14:schemeClr w14:val="tx1"/>
            </w14:solidFill>
          </w14:textFill>
        </w:rPr>
        <w:t>第五采油厂</w:t>
      </w:r>
      <w:r>
        <w:rPr>
          <w:rFonts w:ascii="Times New Roman" w:hAnsi="Times New Roman" w:cs="Times New Roman" w:eastAsiaTheme="minorEastAsia"/>
          <w:color w:val="000000" w:themeColor="text1"/>
          <w:w w:val="99"/>
          <w:sz w:val="24"/>
          <w:szCs w:val="24"/>
          <w14:textFill>
            <w14:solidFill>
              <w14:schemeClr w14:val="tx1"/>
            </w14:solidFill>
          </w14:textFill>
        </w:rPr>
        <w:t>安全环保部对油田建设环境保护工作进行全过程监控，对环境保护措施强制推行，以加强设计和施工阶段的环境管理，控制施工阶段的环境污染和生态破坏；同时在日常生产管理过程中对相应的环境管理机构、人员及环境管理制度必须切实落实和执行。尤其在建设施工期，除设置油田专职环保员一名外，还应根据现场实际情况，建立健全相应的二级HSE管理网络，在油田已有HSE指挥部的基础上，分别配备数名HSE现场监督人员。分别配备协调员，实行逐级负责制。</w:t>
      </w:r>
    </w:p>
    <w:p w14:paraId="2595EE2F">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HSE机构在环境管理上的主要任务包括；负责制定本油田施工作业的环境管理方案，制定发生事故的应急计划，监督各项环保措施的落实及环保工程的检查和预验收，负责协调与地方环保、水利、土地等部门的关系以及负责有关环保文件、技术资料的收集建档等。</w:t>
      </w:r>
    </w:p>
    <w:p w14:paraId="03DF4ABC">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60" w:name="_Toc117794653"/>
      <w:r>
        <w:rPr>
          <w:rFonts w:ascii="Times New Roman" w:hAnsi="Times New Roman" w:cs="Times New Roman" w:eastAsiaTheme="minorEastAsia"/>
          <w:color w:val="000000" w:themeColor="text1"/>
          <w:w w:val="99"/>
          <w:kern w:val="2"/>
          <w:lang w:val="en-US" w:bidi="ar-SA"/>
          <w14:textFill>
            <w14:solidFill>
              <w14:schemeClr w14:val="tx1"/>
            </w14:solidFill>
          </w14:textFill>
        </w:rPr>
        <w:t>8.2.2 环境管理工作的重点</w:t>
      </w:r>
      <w:bookmarkEnd w:id="560"/>
    </w:p>
    <w:p w14:paraId="2842B09E">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工程投产运行后，油田环境管理工作由</w:t>
      </w:r>
      <w:r>
        <w:rPr>
          <w:rFonts w:ascii="Times New Roman" w:hAnsi="Times New Roman" w:cs="Times New Roman" w:eastAsiaTheme="minorEastAsia"/>
          <w:color w:val="000000" w:themeColor="text1"/>
          <w:w w:val="99"/>
          <w:sz w:val="24"/>
          <w:szCs w:val="24"/>
          <w:lang w:val="en-US"/>
          <w14:textFill>
            <w14:solidFill>
              <w14:schemeClr w14:val="tx1"/>
            </w14:solidFill>
          </w14:textFill>
        </w:rPr>
        <w:t>大庆油田有限责任公司</w:t>
      </w:r>
      <w:r>
        <w:rPr>
          <w:rFonts w:hint="eastAsia" w:ascii="Times New Roman" w:hAnsi="Times New Roman" w:cs="Times New Roman" w:eastAsiaTheme="minorEastAsia"/>
          <w:color w:val="000000" w:themeColor="text1"/>
          <w:w w:val="99"/>
          <w:sz w:val="24"/>
          <w:szCs w:val="24"/>
          <w:lang w:val="en-US" w:eastAsia="zh-CN"/>
          <w14:textFill>
            <w14:solidFill>
              <w14:schemeClr w14:val="tx1"/>
            </w14:solidFill>
          </w14:textFill>
        </w:rPr>
        <w:t>第五采油厂</w:t>
      </w:r>
      <w:r>
        <w:rPr>
          <w:rFonts w:ascii="Times New Roman" w:hAnsi="Times New Roman" w:cs="Times New Roman" w:eastAsiaTheme="minorEastAsia"/>
          <w:color w:val="000000" w:themeColor="text1"/>
          <w:w w:val="99"/>
          <w:sz w:val="24"/>
          <w:szCs w:val="24"/>
          <w14:textFill>
            <w14:solidFill>
              <w14:schemeClr w14:val="tx1"/>
            </w14:solidFill>
          </w14:textFill>
        </w:rPr>
        <w:t>安全环保部负责，在油田生产运行期，环境管理除抓好日常站场各种环保设施的运行、维护等工作外，工作重点应针对油气集输生产和管理情况及油井作业过程管理、场站事故、集输管线破裂后油水泄漏等事故的预防和处理上。为此，必须制定相应的事故预防措施、事故应急措施以及恢复补偿措施等。正常油气集输过程中的检查重点为油井及集输管道。油井主要检查现场原油泄漏情况和油井环境维护状况，如抽油机有无泄漏及油井更换管线是否平整干净，有无落地油等。集输管道的监控内容为管道运营是否正常，是否有穿孔等潜在危害存在，以杜绝原油泄漏。井下作业工艺过程检查应包括井下作业中的设备器材的搬迁、工前准备、井下作业施工和完工的全过程。</w:t>
      </w:r>
    </w:p>
    <w:p w14:paraId="217E5838">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61" w:name="_Toc117794654"/>
      <w:r>
        <w:rPr>
          <w:rFonts w:ascii="Times New Roman" w:hAnsi="Times New Roman" w:cs="Times New Roman" w:eastAsiaTheme="minorEastAsia"/>
          <w:color w:val="000000" w:themeColor="text1"/>
          <w:w w:val="99"/>
          <w:kern w:val="2"/>
          <w:lang w:val="en-US" w:bidi="ar-SA"/>
          <w14:textFill>
            <w14:solidFill>
              <w14:schemeClr w14:val="tx1"/>
            </w14:solidFill>
          </w14:textFill>
        </w:rPr>
        <w:t>8.2.3 环境管理人员的基本职责</w:t>
      </w:r>
      <w:bookmarkEnd w:id="561"/>
    </w:p>
    <w:p w14:paraId="070B2660">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1</w:t>
      </w:r>
      <w:r>
        <w:rPr>
          <w:rFonts w:ascii="Times New Roman" w:hAnsi="Times New Roman" w:cs="Times New Roman" w:eastAsiaTheme="minorEastAsia"/>
          <w:color w:val="000000" w:themeColor="text1"/>
          <w:w w:val="99"/>
          <w:sz w:val="24"/>
          <w:szCs w:val="24"/>
          <w14:textFill>
            <w14:solidFill>
              <w14:schemeClr w14:val="tx1"/>
            </w14:solidFill>
          </w14:textFill>
        </w:rPr>
        <w:t>）协助有关环保部门进行环境保护设施的竣工验收工作；</w:t>
      </w:r>
    </w:p>
    <w:p w14:paraId="51CBF608">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2</w:t>
      </w:r>
      <w:r>
        <w:rPr>
          <w:rFonts w:ascii="Times New Roman" w:hAnsi="Times New Roman" w:cs="Times New Roman" w:eastAsiaTheme="minorEastAsia"/>
          <w:color w:val="000000" w:themeColor="text1"/>
          <w:w w:val="99"/>
          <w:sz w:val="24"/>
          <w:szCs w:val="24"/>
          <w14:textFill>
            <w14:solidFill>
              <w14:schemeClr w14:val="tx1"/>
            </w14:solidFill>
          </w14:textFill>
        </w:rPr>
        <w:t>）定期进行环保安全检查和召开有关会议；</w:t>
      </w:r>
    </w:p>
    <w:p w14:paraId="18AA83D9">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3</w:t>
      </w:r>
      <w:r>
        <w:rPr>
          <w:rFonts w:ascii="Times New Roman" w:hAnsi="Times New Roman" w:cs="Times New Roman" w:eastAsiaTheme="minorEastAsia"/>
          <w:color w:val="000000" w:themeColor="text1"/>
          <w:w w:val="99"/>
          <w:sz w:val="24"/>
          <w:szCs w:val="24"/>
          <w14:textFill>
            <w14:solidFill>
              <w14:schemeClr w14:val="tx1"/>
            </w14:solidFill>
          </w14:textFill>
        </w:rPr>
        <w:t>）对领导和职工特别是兼职环保人员进行环保安全方面的培训；</w:t>
      </w:r>
    </w:p>
    <w:p w14:paraId="6090E7BC">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4</w:t>
      </w:r>
      <w:r>
        <w:rPr>
          <w:rFonts w:ascii="Times New Roman" w:hAnsi="Times New Roman" w:cs="Times New Roman" w:eastAsiaTheme="minorEastAsia"/>
          <w:color w:val="000000" w:themeColor="text1"/>
          <w:w w:val="99"/>
          <w:sz w:val="24"/>
          <w:szCs w:val="24"/>
          <w14:textFill>
            <w14:solidFill>
              <w14:schemeClr w14:val="tx1"/>
            </w14:solidFill>
          </w14:textFill>
        </w:rPr>
        <w:t>）制定各种可能发生事故的应急计划，定期进行演练；配备各种必要的维护、抢修器材和设备，保证在发生事故时能及时到位；</w:t>
      </w:r>
    </w:p>
    <w:p w14:paraId="3216F136">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lang w:val="en-US"/>
          <w14:textFill>
            <w14:solidFill>
              <w14:schemeClr w14:val="tx1"/>
            </w14:solidFill>
          </w14:textFill>
        </w:rPr>
        <w:t>5</w:t>
      </w:r>
      <w:r>
        <w:rPr>
          <w:rFonts w:ascii="Times New Roman" w:hAnsi="Times New Roman" w:cs="Times New Roman" w:eastAsiaTheme="minorEastAsia"/>
          <w:color w:val="000000" w:themeColor="text1"/>
          <w:w w:val="99"/>
          <w:sz w:val="24"/>
          <w:szCs w:val="24"/>
          <w14:textFill>
            <w14:solidFill>
              <w14:schemeClr w14:val="tx1"/>
            </w14:solidFill>
          </w14:textFill>
        </w:rPr>
        <w:t>）主管环保的人员应参加生产调度和管理工作会议，针对生产运行中存在的环境问题，向公司领导和生产部门提出建议和技术处理措施</w:t>
      </w:r>
    </w:p>
    <w:p w14:paraId="35307D42">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62" w:name="_Toc117794655"/>
      <w:r>
        <w:rPr>
          <w:rFonts w:ascii="Times New Roman" w:hAnsi="Times New Roman" w:cs="Times New Roman" w:eastAsiaTheme="minorEastAsia"/>
          <w:color w:val="000000" w:themeColor="text1"/>
          <w:w w:val="99"/>
          <w:kern w:val="2"/>
          <w:lang w:val="en-US" w:bidi="ar-SA"/>
          <w14:textFill>
            <w14:solidFill>
              <w14:schemeClr w14:val="tx1"/>
            </w14:solidFill>
          </w14:textFill>
        </w:rPr>
        <w:t>8.2.4 环境监控基本内容</w:t>
      </w:r>
      <w:bookmarkEnd w:id="562"/>
    </w:p>
    <w:p w14:paraId="2042223F">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为了油田开发区域内环境的持续改进，对油田开发建设的各项活动进行全过程、全方位的监控。包括更换管线、场站建设及相应配套设施建设，以及油田正常生产情况下的相应作业施工建设等过程。油田运营期的环境监控主要是采油、井下作业和原油集输过程中的环境保护措施执行情况。日常监控主要由本站的环保员组织定期进行，由上级部门核查。核查采用检查现场、检查记录、与员工座谈等形式进行；检查和核查应形成记录。</w:t>
      </w:r>
    </w:p>
    <w:p w14:paraId="2428997D">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563" w:name="_Toc117794656"/>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8.3 本工程污染源排放清单</w:t>
      </w:r>
      <w:bookmarkEnd w:id="563"/>
    </w:p>
    <w:p w14:paraId="449518A4">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本项目施工期污染物排放清单见表</w:t>
      </w:r>
      <w:r>
        <w:rPr>
          <w:rFonts w:ascii="Times New Roman" w:hAnsi="Times New Roman" w:cs="Times New Roman" w:eastAsiaTheme="minorEastAsia"/>
          <w:color w:val="000000" w:themeColor="text1"/>
          <w:w w:val="99"/>
          <w:sz w:val="24"/>
          <w:szCs w:val="24"/>
          <w:lang w:val="en-US"/>
          <w14:textFill>
            <w14:solidFill>
              <w14:schemeClr w14:val="tx1"/>
            </w14:solidFill>
          </w14:textFill>
        </w:rPr>
        <w:t>8.3-1。</w:t>
      </w:r>
    </w:p>
    <w:p w14:paraId="26DF2951">
      <w:pPr>
        <w:pStyle w:val="105"/>
        <w:spacing w:beforeLines="0" w:line="440" w:lineRule="exact"/>
        <w:ind w:firstLine="476" w:firstLineChars="200"/>
        <w:jc w:val="both"/>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r>
        <w:rPr>
          <w:rFonts w:ascii="Times New Roman" w:hAnsi="Times New Roman" w:cs="Times New Roman" w:eastAsiaTheme="minorEastAsia"/>
          <w:b/>
          <w:bCs/>
          <w:color w:val="000000" w:themeColor="text1"/>
          <w:w w:val="99"/>
          <w:sz w:val="24"/>
          <w:szCs w:val="24"/>
          <w14:textFill>
            <w14:solidFill>
              <w14:schemeClr w14:val="tx1"/>
            </w14:solidFill>
          </w14:textFill>
        </w:rPr>
        <w:t>表</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8.3-1        施工期污染物排放清单</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35"/>
        <w:gridCol w:w="1108"/>
        <w:gridCol w:w="798"/>
        <w:gridCol w:w="1417"/>
        <w:gridCol w:w="2126"/>
        <w:gridCol w:w="2700"/>
      </w:tblGrid>
      <w:tr w14:paraId="06897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515" w:type="pct"/>
            <w:tcBorders>
              <w:tl2br w:val="nil"/>
              <w:tr2bl w:val="nil"/>
            </w:tcBorders>
            <w:vAlign w:val="center"/>
          </w:tcPr>
          <w:p w14:paraId="01CB6F34">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污染物种类</w:t>
            </w:r>
          </w:p>
        </w:tc>
        <w:tc>
          <w:tcPr>
            <w:tcW w:w="610" w:type="pct"/>
            <w:tcBorders>
              <w:tl2br w:val="nil"/>
              <w:tr2bl w:val="nil"/>
            </w:tcBorders>
            <w:vAlign w:val="center"/>
          </w:tcPr>
          <w:p w14:paraId="7475D93B">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污染物名称</w:t>
            </w:r>
          </w:p>
        </w:tc>
        <w:tc>
          <w:tcPr>
            <w:tcW w:w="439" w:type="pct"/>
            <w:tcBorders>
              <w:tl2br w:val="nil"/>
              <w:tr2bl w:val="nil"/>
            </w:tcBorders>
            <w:vAlign w:val="center"/>
          </w:tcPr>
          <w:p w14:paraId="681BA73E">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主要污染因子</w:t>
            </w:r>
          </w:p>
        </w:tc>
        <w:tc>
          <w:tcPr>
            <w:tcW w:w="780" w:type="pct"/>
            <w:tcBorders>
              <w:tl2br w:val="nil"/>
              <w:tr2bl w:val="nil"/>
            </w:tcBorders>
            <w:vAlign w:val="center"/>
          </w:tcPr>
          <w:p w14:paraId="07EBDB34">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排放量</w:t>
            </w:r>
          </w:p>
        </w:tc>
        <w:tc>
          <w:tcPr>
            <w:tcW w:w="1170" w:type="pct"/>
            <w:tcBorders>
              <w:tl2br w:val="nil"/>
              <w:tr2bl w:val="nil"/>
            </w:tcBorders>
            <w:vAlign w:val="center"/>
          </w:tcPr>
          <w:p w14:paraId="7E452005">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控制措施及去向</w:t>
            </w:r>
          </w:p>
        </w:tc>
        <w:tc>
          <w:tcPr>
            <w:tcW w:w="1486" w:type="pct"/>
            <w:tcBorders>
              <w:tl2br w:val="nil"/>
              <w:tr2bl w:val="nil"/>
            </w:tcBorders>
            <w:vAlign w:val="center"/>
          </w:tcPr>
          <w:p w14:paraId="3CEA609E">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排放管理要求</w:t>
            </w:r>
          </w:p>
        </w:tc>
      </w:tr>
      <w:tr w14:paraId="0DC47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515" w:type="pct"/>
            <w:vMerge w:val="restart"/>
            <w:tcBorders>
              <w:tl2br w:val="nil"/>
              <w:tr2bl w:val="nil"/>
            </w:tcBorders>
            <w:vAlign w:val="center"/>
          </w:tcPr>
          <w:p w14:paraId="0A8CEF37">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废气</w:t>
            </w:r>
          </w:p>
        </w:tc>
        <w:tc>
          <w:tcPr>
            <w:tcW w:w="610" w:type="pct"/>
            <w:tcBorders>
              <w:tl2br w:val="nil"/>
              <w:tr2bl w:val="nil"/>
            </w:tcBorders>
            <w:vAlign w:val="center"/>
          </w:tcPr>
          <w:p w14:paraId="5BC1C0EF">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扬尘</w:t>
            </w:r>
          </w:p>
        </w:tc>
        <w:tc>
          <w:tcPr>
            <w:tcW w:w="439" w:type="pct"/>
            <w:tcBorders>
              <w:tl2br w:val="nil"/>
              <w:tr2bl w:val="nil"/>
            </w:tcBorders>
            <w:vAlign w:val="center"/>
          </w:tcPr>
          <w:p w14:paraId="33137441">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颗粒物</w:t>
            </w:r>
          </w:p>
        </w:tc>
        <w:tc>
          <w:tcPr>
            <w:tcW w:w="780" w:type="pct"/>
            <w:tcBorders>
              <w:tl2br w:val="nil"/>
              <w:tr2bl w:val="nil"/>
            </w:tcBorders>
            <w:vAlign w:val="center"/>
          </w:tcPr>
          <w:p w14:paraId="0C5FBCE1">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bCs/>
                <w:color w:val="000000" w:themeColor="text1"/>
                <w:w w:val="99"/>
                <w:kern w:val="2"/>
                <w:sz w:val="21"/>
                <w:szCs w:val="21"/>
                <w:lang w:val="en-US" w:bidi="ar-SA"/>
                <w14:textFill>
                  <w14:solidFill>
                    <w14:schemeClr w14:val="tx1"/>
                  </w14:solidFill>
                </w14:textFill>
              </w:rPr>
              <w:t>5.97t</w:t>
            </w:r>
          </w:p>
        </w:tc>
        <w:tc>
          <w:tcPr>
            <w:tcW w:w="1170" w:type="pct"/>
            <w:vMerge w:val="restart"/>
            <w:tcBorders>
              <w:tl2br w:val="nil"/>
              <w:tr2bl w:val="nil"/>
            </w:tcBorders>
            <w:vAlign w:val="center"/>
          </w:tcPr>
          <w:p w14:paraId="4FDDC05B">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排入大气</w:t>
            </w:r>
          </w:p>
        </w:tc>
        <w:tc>
          <w:tcPr>
            <w:tcW w:w="1486" w:type="pct"/>
            <w:vMerge w:val="restart"/>
            <w:tcBorders>
              <w:tl2br w:val="nil"/>
              <w:tr2bl w:val="nil"/>
            </w:tcBorders>
            <w:vAlign w:val="center"/>
          </w:tcPr>
          <w:p w14:paraId="09293AE1">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执行《大气污染物综合排放标准》（GB16297-1996）表2中无组织排放监控浓度限值要求</w:t>
            </w:r>
          </w:p>
        </w:tc>
      </w:tr>
      <w:tr w14:paraId="7F5C4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515" w:type="pct"/>
            <w:vMerge w:val="continue"/>
            <w:tcBorders>
              <w:tl2br w:val="nil"/>
              <w:tr2bl w:val="nil"/>
            </w:tcBorders>
            <w:vAlign w:val="center"/>
          </w:tcPr>
          <w:p w14:paraId="2201378C">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p>
        </w:tc>
        <w:tc>
          <w:tcPr>
            <w:tcW w:w="610" w:type="pct"/>
            <w:tcBorders>
              <w:tl2br w:val="nil"/>
              <w:tr2bl w:val="nil"/>
            </w:tcBorders>
            <w:vAlign w:val="center"/>
          </w:tcPr>
          <w:p w14:paraId="23BCB2A1">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焊接烟尘</w:t>
            </w:r>
          </w:p>
        </w:tc>
        <w:tc>
          <w:tcPr>
            <w:tcW w:w="439" w:type="pct"/>
            <w:tcBorders>
              <w:tl2br w:val="nil"/>
              <w:tr2bl w:val="nil"/>
            </w:tcBorders>
            <w:vAlign w:val="center"/>
          </w:tcPr>
          <w:p w14:paraId="191D89E1">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颗粒物</w:t>
            </w:r>
          </w:p>
        </w:tc>
        <w:tc>
          <w:tcPr>
            <w:tcW w:w="780" w:type="pct"/>
            <w:tcBorders>
              <w:tl2br w:val="nil"/>
              <w:tr2bl w:val="nil"/>
            </w:tcBorders>
            <w:vAlign w:val="center"/>
          </w:tcPr>
          <w:p w14:paraId="1D3F49D8">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0.0027t</w:t>
            </w:r>
          </w:p>
        </w:tc>
        <w:tc>
          <w:tcPr>
            <w:tcW w:w="1170" w:type="pct"/>
            <w:vMerge w:val="continue"/>
            <w:tcBorders>
              <w:tl2br w:val="nil"/>
              <w:tr2bl w:val="nil"/>
            </w:tcBorders>
            <w:vAlign w:val="center"/>
          </w:tcPr>
          <w:p w14:paraId="2000936D">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p>
        </w:tc>
        <w:tc>
          <w:tcPr>
            <w:tcW w:w="1486" w:type="pct"/>
            <w:vMerge w:val="continue"/>
            <w:tcBorders>
              <w:tl2br w:val="nil"/>
              <w:tr2bl w:val="nil"/>
            </w:tcBorders>
            <w:vAlign w:val="center"/>
          </w:tcPr>
          <w:p w14:paraId="512479AA">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p>
        </w:tc>
      </w:tr>
      <w:tr w14:paraId="36F3A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4" w:hRule="atLeast"/>
          <w:jc w:val="center"/>
        </w:trPr>
        <w:tc>
          <w:tcPr>
            <w:tcW w:w="515" w:type="pct"/>
            <w:vMerge w:val="restart"/>
            <w:tcBorders>
              <w:tl2br w:val="nil"/>
              <w:tr2bl w:val="nil"/>
            </w:tcBorders>
            <w:vAlign w:val="center"/>
          </w:tcPr>
          <w:p w14:paraId="5C14A69E">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废水</w:t>
            </w:r>
          </w:p>
        </w:tc>
        <w:tc>
          <w:tcPr>
            <w:tcW w:w="610" w:type="pct"/>
            <w:tcBorders>
              <w:tl2br w:val="nil"/>
              <w:tr2bl w:val="nil"/>
            </w:tcBorders>
            <w:vAlign w:val="center"/>
          </w:tcPr>
          <w:p w14:paraId="1F48D983">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生活污水</w:t>
            </w:r>
          </w:p>
        </w:tc>
        <w:tc>
          <w:tcPr>
            <w:tcW w:w="439" w:type="pct"/>
            <w:tcBorders>
              <w:tl2br w:val="nil"/>
              <w:tr2bl w:val="nil"/>
            </w:tcBorders>
            <w:vAlign w:val="center"/>
          </w:tcPr>
          <w:p w14:paraId="48CD2F76">
            <w:pPr>
              <w:adjustRightInd w:val="0"/>
              <w:snapToGrid w:val="0"/>
              <w:spacing w:line="36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COD</w:t>
            </w:r>
          </w:p>
          <w:p w14:paraId="02A2968A">
            <w:pPr>
              <w:adjustRightInd w:val="0"/>
              <w:snapToGrid w:val="0"/>
              <w:spacing w:line="36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NH</w:t>
            </w:r>
            <w:r>
              <w:rPr>
                <w:rFonts w:ascii="Times New Roman" w:hAnsi="Times New Roman" w:cs="Times New Roman" w:eastAsiaTheme="minorEastAsia"/>
                <w:color w:val="000000" w:themeColor="text1"/>
                <w:w w:val="99"/>
                <w:sz w:val="21"/>
                <w:szCs w:val="21"/>
                <w:vertAlign w:val="subscript"/>
                <w14:textFill>
                  <w14:solidFill>
                    <w14:schemeClr w14:val="tx1"/>
                  </w14:solidFill>
                </w14:textFill>
              </w:rPr>
              <w:t>3</w:t>
            </w:r>
            <w:r>
              <w:rPr>
                <w:rFonts w:ascii="Times New Roman" w:hAnsi="Times New Roman" w:cs="Times New Roman" w:eastAsiaTheme="minorEastAsia"/>
                <w:color w:val="000000" w:themeColor="text1"/>
                <w:w w:val="99"/>
                <w:sz w:val="21"/>
                <w:szCs w:val="21"/>
                <w14:textFill>
                  <w14:solidFill>
                    <w14:schemeClr w14:val="tx1"/>
                  </w14:solidFill>
                </w14:textFill>
              </w:rPr>
              <w:t>-N</w:t>
            </w:r>
          </w:p>
        </w:tc>
        <w:tc>
          <w:tcPr>
            <w:tcW w:w="780" w:type="pct"/>
            <w:tcBorders>
              <w:tl2br w:val="nil"/>
              <w:tr2bl w:val="nil"/>
            </w:tcBorders>
            <w:vAlign w:val="center"/>
          </w:tcPr>
          <w:p w14:paraId="3275E95A">
            <w:pPr>
              <w:adjustRightInd w:val="0"/>
              <w:snapToGrid w:val="0"/>
              <w:spacing w:line="36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76.8t</w:t>
            </w:r>
          </w:p>
        </w:tc>
        <w:tc>
          <w:tcPr>
            <w:tcW w:w="1170" w:type="pct"/>
            <w:tcBorders>
              <w:tl2br w:val="nil"/>
              <w:tr2bl w:val="nil"/>
            </w:tcBorders>
            <w:vAlign w:val="center"/>
          </w:tcPr>
          <w:p w14:paraId="7085E488">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排入拉油点已建防渗旱厕，定期清掏外运堆肥处理</w:t>
            </w:r>
          </w:p>
        </w:tc>
        <w:tc>
          <w:tcPr>
            <w:tcW w:w="1486" w:type="pct"/>
            <w:tcBorders>
              <w:tl2br w:val="nil"/>
              <w:tr2bl w:val="nil"/>
            </w:tcBorders>
            <w:vAlign w:val="center"/>
          </w:tcPr>
          <w:p w14:paraId="5B9D2725">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不外排</w:t>
            </w:r>
          </w:p>
        </w:tc>
      </w:tr>
      <w:tr w14:paraId="286EC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4" w:hRule="atLeast"/>
          <w:jc w:val="center"/>
        </w:trPr>
        <w:tc>
          <w:tcPr>
            <w:tcW w:w="515" w:type="pct"/>
            <w:vMerge w:val="continue"/>
            <w:tcBorders>
              <w:tl2br w:val="nil"/>
              <w:tr2bl w:val="nil"/>
            </w:tcBorders>
            <w:vAlign w:val="center"/>
          </w:tcPr>
          <w:p w14:paraId="51B9844B">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p>
        </w:tc>
        <w:tc>
          <w:tcPr>
            <w:tcW w:w="610" w:type="pct"/>
            <w:tcBorders>
              <w:tl2br w:val="nil"/>
              <w:tr2bl w:val="nil"/>
            </w:tcBorders>
            <w:vAlign w:val="center"/>
          </w:tcPr>
          <w:p w14:paraId="5515193F">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试压废水</w:t>
            </w:r>
          </w:p>
        </w:tc>
        <w:tc>
          <w:tcPr>
            <w:tcW w:w="439" w:type="pct"/>
            <w:tcBorders>
              <w:tl2br w:val="nil"/>
              <w:tr2bl w:val="nil"/>
            </w:tcBorders>
            <w:vAlign w:val="center"/>
          </w:tcPr>
          <w:p w14:paraId="25766439">
            <w:pPr>
              <w:adjustRightInd w:val="0"/>
              <w:snapToGrid w:val="0"/>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SS</w:t>
            </w:r>
          </w:p>
        </w:tc>
        <w:tc>
          <w:tcPr>
            <w:tcW w:w="780" w:type="pct"/>
            <w:tcBorders>
              <w:tl2br w:val="nil"/>
              <w:tr2bl w:val="nil"/>
            </w:tcBorders>
            <w:vAlign w:val="center"/>
          </w:tcPr>
          <w:p w14:paraId="49EFAC7B">
            <w:pPr>
              <w:adjustRightInd w:val="0"/>
              <w:snapToGrid w:val="0"/>
              <w:spacing w:line="36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ascii="Times New Roman" w:hAnsi="Times New Roman" w:cs="Times New Roman" w:eastAsiaTheme="minorEastAsia"/>
                <w:bCs/>
                <w:color w:val="000000" w:themeColor="text1"/>
                <w:w w:val="99"/>
                <w:sz w:val="21"/>
                <w:szCs w:val="21"/>
                <w14:textFill>
                  <w14:solidFill>
                    <w14:schemeClr w14:val="tx1"/>
                  </w14:solidFill>
                </w14:textFill>
              </w:rPr>
              <w:t>225.5m</w:t>
            </w:r>
            <w:r>
              <w:rPr>
                <w:rFonts w:ascii="Times New Roman" w:hAnsi="Times New Roman" w:cs="Times New Roman" w:eastAsiaTheme="minorEastAsia"/>
                <w:bCs/>
                <w:color w:val="000000" w:themeColor="text1"/>
                <w:w w:val="99"/>
                <w:sz w:val="21"/>
                <w:szCs w:val="21"/>
                <w:vertAlign w:val="superscript"/>
                <w14:textFill>
                  <w14:solidFill>
                    <w14:schemeClr w14:val="tx1"/>
                  </w14:solidFill>
                </w14:textFill>
              </w:rPr>
              <w:t>3</w:t>
            </w:r>
          </w:p>
        </w:tc>
        <w:tc>
          <w:tcPr>
            <w:tcW w:w="1170" w:type="pct"/>
            <w:tcBorders>
              <w:tl2br w:val="nil"/>
              <w:tr2bl w:val="nil"/>
            </w:tcBorders>
            <w:vAlign w:val="center"/>
          </w:tcPr>
          <w:p w14:paraId="0AB8D95B">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由罐车拉运至龙一联含油污水处理站处理后回注</w:t>
            </w:r>
            <w:r>
              <w:rPr>
                <w:rFonts w:ascii="Times New Roman" w:hAnsi="Times New Roman" w:cs="Times New Roman" w:eastAsiaTheme="minorEastAsia"/>
                <w:color w:val="000000" w:themeColor="text1"/>
                <w:w w:val="99"/>
                <w:sz w:val="21"/>
                <w:szCs w:val="21"/>
                <w:lang w:val="en-US"/>
                <w14:textFill>
                  <w14:solidFill>
                    <w14:schemeClr w14:val="tx1"/>
                  </w14:solidFill>
                </w14:textFill>
              </w:rPr>
              <w:t>油层</w:t>
            </w:r>
            <w:r>
              <w:rPr>
                <w:rFonts w:ascii="Times New Roman" w:hAnsi="Times New Roman" w:cs="Times New Roman" w:eastAsiaTheme="minorEastAsia"/>
                <w:color w:val="000000" w:themeColor="text1"/>
                <w:w w:val="99"/>
                <w:sz w:val="21"/>
                <w:szCs w:val="21"/>
                <w14:textFill>
                  <w14:solidFill>
                    <w14:schemeClr w14:val="tx1"/>
                  </w14:solidFill>
                </w14:textFill>
              </w:rPr>
              <w:t>，不外排</w:t>
            </w:r>
          </w:p>
        </w:tc>
        <w:tc>
          <w:tcPr>
            <w:tcW w:w="1486" w:type="pct"/>
            <w:tcBorders>
              <w:tl2br w:val="nil"/>
              <w:tr2bl w:val="nil"/>
            </w:tcBorders>
            <w:vAlign w:val="center"/>
          </w:tcPr>
          <w:p w14:paraId="70773665">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执行《大庆油田地面工程建设设计规定》（Q/SYDQ0639-2015）限值要求“含油量≤8mg/L、悬浮固体含量≤3mg/L、粒径中值≤2μm”</w:t>
            </w:r>
          </w:p>
        </w:tc>
      </w:tr>
      <w:tr w14:paraId="4F8C2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515" w:type="pct"/>
            <w:vMerge w:val="restart"/>
            <w:tcBorders>
              <w:tl2br w:val="nil"/>
              <w:tr2bl w:val="nil"/>
            </w:tcBorders>
            <w:vAlign w:val="center"/>
          </w:tcPr>
          <w:p w14:paraId="7D44D136">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固废</w:t>
            </w:r>
          </w:p>
        </w:tc>
        <w:tc>
          <w:tcPr>
            <w:tcW w:w="610" w:type="pct"/>
            <w:tcBorders>
              <w:tl2br w:val="nil"/>
              <w:tr2bl w:val="nil"/>
            </w:tcBorders>
            <w:vAlign w:val="center"/>
          </w:tcPr>
          <w:p w14:paraId="541AFEC0">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清淤油泥</w:t>
            </w:r>
          </w:p>
        </w:tc>
        <w:tc>
          <w:tcPr>
            <w:tcW w:w="439" w:type="pct"/>
            <w:tcBorders>
              <w:tl2br w:val="nil"/>
              <w:tr2bl w:val="nil"/>
            </w:tcBorders>
            <w:vAlign w:val="center"/>
          </w:tcPr>
          <w:p w14:paraId="2AABE896">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780" w:type="pct"/>
            <w:tcBorders>
              <w:tl2br w:val="nil"/>
              <w:tr2bl w:val="nil"/>
            </w:tcBorders>
            <w:vAlign w:val="center"/>
          </w:tcPr>
          <w:p w14:paraId="20069E5B">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4.5t</w:t>
            </w:r>
          </w:p>
        </w:tc>
        <w:tc>
          <w:tcPr>
            <w:tcW w:w="1170" w:type="pct"/>
            <w:tcBorders>
              <w:tl2br w:val="nil"/>
              <w:tr2bl w:val="nil"/>
            </w:tcBorders>
            <w:vAlign w:val="center"/>
          </w:tcPr>
          <w:p w14:paraId="38F5D70F">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bCs/>
                <w:color w:val="000000" w:themeColor="text1"/>
                <w:w w:val="99"/>
                <w:kern w:val="2"/>
                <w:sz w:val="21"/>
                <w:szCs w:val="21"/>
                <w:lang w:val="en-US" w:bidi="ar-SA"/>
                <w14:textFill>
                  <w14:solidFill>
                    <w14:schemeClr w14:val="tx1"/>
                  </w14:solidFill>
                </w14:textFill>
              </w:rPr>
              <w:t>由罐车拉运至</w:t>
            </w:r>
            <w:r>
              <w:rPr>
                <w:rFonts w:hint="eastAsia" w:eastAsiaTheme="minorEastAsia"/>
                <w:bCs/>
                <w:color w:val="000000" w:themeColor="text1"/>
                <w:w w:val="99"/>
                <w:kern w:val="2"/>
                <w:sz w:val="21"/>
                <w:szCs w:val="21"/>
                <w:lang w:val="en-US" w:eastAsia="zh-CN" w:bidi="ar-SA"/>
                <w14:textFill>
                  <w14:solidFill>
                    <w14:schemeClr w14:val="tx1"/>
                  </w14:solidFill>
                </w14:textFill>
              </w:rPr>
              <w:t>第五采油厂</w:t>
            </w:r>
            <w:r>
              <w:rPr>
                <w:rFonts w:eastAsiaTheme="minorEastAsia"/>
                <w:bCs/>
                <w:color w:val="000000" w:themeColor="text1"/>
                <w:w w:val="99"/>
                <w:kern w:val="2"/>
                <w:sz w:val="21"/>
                <w:szCs w:val="21"/>
                <w:lang w:val="en-US" w:bidi="ar-SA"/>
                <w14:textFill>
                  <w14:solidFill>
                    <w14:schemeClr w14:val="tx1"/>
                  </w14:solidFill>
                </w14:textFill>
              </w:rPr>
              <w:t>含油污泥处理站处理</w:t>
            </w:r>
          </w:p>
        </w:tc>
        <w:tc>
          <w:tcPr>
            <w:tcW w:w="1486" w:type="pct"/>
            <w:tcBorders>
              <w:tl2br w:val="nil"/>
              <w:tr2bl w:val="nil"/>
            </w:tcBorders>
            <w:vAlign w:val="center"/>
          </w:tcPr>
          <w:p w14:paraId="4A4837A9">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执行</w:t>
            </w:r>
            <w:r>
              <w:rPr>
                <w:rFonts w:eastAsiaTheme="minorEastAsia"/>
                <w:bCs/>
                <w:color w:val="000000" w:themeColor="text1"/>
                <w:w w:val="99"/>
                <w:kern w:val="2"/>
                <w:sz w:val="21"/>
                <w:szCs w:val="21"/>
                <w:lang w:val="en-US" w:bidi="ar-SA"/>
                <w14:textFill>
                  <w14:solidFill>
                    <w14:schemeClr w14:val="tx1"/>
                  </w14:solidFill>
                </w14:textFill>
              </w:rPr>
              <w:t>《油田含油污泥处置与利用污染控制要求》（DB23/T 3104-2022）表1中限制要求</w:t>
            </w:r>
          </w:p>
        </w:tc>
      </w:tr>
      <w:tr w14:paraId="38992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515" w:type="pct"/>
            <w:vMerge w:val="continue"/>
            <w:tcBorders>
              <w:tl2br w:val="nil"/>
              <w:tr2bl w:val="nil"/>
            </w:tcBorders>
            <w:vAlign w:val="center"/>
          </w:tcPr>
          <w:p w14:paraId="778B7DB3">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p>
        </w:tc>
        <w:tc>
          <w:tcPr>
            <w:tcW w:w="610" w:type="pct"/>
            <w:tcBorders>
              <w:tl2br w:val="nil"/>
              <w:tr2bl w:val="nil"/>
            </w:tcBorders>
            <w:vAlign w:val="center"/>
          </w:tcPr>
          <w:p w14:paraId="3D622860">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施工废料</w:t>
            </w:r>
          </w:p>
        </w:tc>
        <w:tc>
          <w:tcPr>
            <w:tcW w:w="439" w:type="pct"/>
            <w:tcBorders>
              <w:tl2br w:val="nil"/>
              <w:tr2bl w:val="nil"/>
            </w:tcBorders>
            <w:vAlign w:val="center"/>
          </w:tcPr>
          <w:p w14:paraId="79B3B786">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780" w:type="pct"/>
            <w:tcBorders>
              <w:tl2br w:val="nil"/>
              <w:tr2bl w:val="nil"/>
            </w:tcBorders>
            <w:vAlign w:val="center"/>
          </w:tcPr>
          <w:p w14:paraId="7E9488E9">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0.467t</w:t>
            </w:r>
          </w:p>
        </w:tc>
        <w:tc>
          <w:tcPr>
            <w:tcW w:w="1170" w:type="pct"/>
            <w:tcBorders>
              <w:tl2br w:val="nil"/>
              <w:tr2bl w:val="nil"/>
            </w:tcBorders>
            <w:vAlign w:val="center"/>
          </w:tcPr>
          <w:p w14:paraId="23554EF4">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14:textFill>
                  <w14:solidFill>
                    <w14:schemeClr w14:val="tx1"/>
                  </w14:solidFill>
                </w14:textFill>
              </w:rPr>
              <w:t>拉运至</w:t>
            </w:r>
            <w:r>
              <w:rPr>
                <w:rFonts w:eastAsiaTheme="minorEastAsia"/>
                <w:color w:val="000000" w:themeColor="text1"/>
                <w:w w:val="99"/>
                <w:kern w:val="2"/>
                <w:sz w:val="21"/>
                <w:szCs w:val="21"/>
                <w:lang w:val="en-US" w:bidi="ar-SA"/>
                <w14:textFill>
                  <w14:solidFill>
                    <w14:schemeClr w14:val="tx1"/>
                  </w14:solidFill>
                </w14:textFill>
              </w:rPr>
              <w:t>第八采油厂工业固废填埋场</w:t>
            </w:r>
            <w:r>
              <w:rPr>
                <w:rFonts w:eastAsiaTheme="minorEastAsia"/>
                <w:color w:val="000000" w:themeColor="text1"/>
                <w:w w:val="99"/>
                <w:kern w:val="2"/>
                <w:sz w:val="21"/>
                <w:szCs w:val="21"/>
                <w:lang w:val="en-US"/>
                <w14:textFill>
                  <w14:solidFill>
                    <w14:schemeClr w14:val="tx1"/>
                  </w14:solidFill>
                </w14:textFill>
              </w:rPr>
              <w:t>处理</w:t>
            </w:r>
          </w:p>
        </w:tc>
        <w:tc>
          <w:tcPr>
            <w:tcW w:w="1486" w:type="pct"/>
            <w:tcBorders>
              <w:tl2br w:val="nil"/>
              <w:tr2bl w:val="nil"/>
            </w:tcBorders>
            <w:vAlign w:val="center"/>
          </w:tcPr>
          <w:p w14:paraId="1AC2A74E">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snapToGrid w:val="0"/>
                <w:color w:val="000000" w:themeColor="text1"/>
                <w:w w:val="99"/>
                <w:sz w:val="21"/>
                <w:szCs w:val="21"/>
                <w14:textFill>
                  <w14:solidFill>
                    <w14:schemeClr w14:val="tx1"/>
                  </w14:solidFill>
                </w14:textFill>
              </w:rPr>
              <w:t>100%处置</w:t>
            </w:r>
          </w:p>
        </w:tc>
      </w:tr>
      <w:tr w14:paraId="1BE7C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515" w:type="pct"/>
            <w:vMerge w:val="continue"/>
            <w:tcBorders>
              <w:tl2br w:val="nil"/>
              <w:tr2bl w:val="nil"/>
            </w:tcBorders>
            <w:vAlign w:val="center"/>
          </w:tcPr>
          <w:p w14:paraId="474FD1A4">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p>
        </w:tc>
        <w:tc>
          <w:tcPr>
            <w:tcW w:w="610" w:type="pct"/>
            <w:tcBorders>
              <w:tl2br w:val="nil"/>
              <w:tr2bl w:val="nil"/>
            </w:tcBorders>
            <w:vAlign w:val="center"/>
          </w:tcPr>
          <w:p w14:paraId="5C2A5924">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建筑垃圾</w:t>
            </w:r>
          </w:p>
        </w:tc>
        <w:tc>
          <w:tcPr>
            <w:tcW w:w="439" w:type="pct"/>
            <w:tcBorders>
              <w:tl2br w:val="nil"/>
              <w:tr2bl w:val="nil"/>
            </w:tcBorders>
            <w:vAlign w:val="center"/>
          </w:tcPr>
          <w:p w14:paraId="5FAAAEBD">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780" w:type="pct"/>
            <w:tcBorders>
              <w:tl2br w:val="nil"/>
              <w:tr2bl w:val="nil"/>
            </w:tcBorders>
            <w:vAlign w:val="center"/>
          </w:tcPr>
          <w:p w14:paraId="31FE81BF">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264m</w:t>
            </w:r>
            <w:r>
              <w:rPr>
                <w:rFonts w:ascii="Times New Roman" w:hAnsi="Times New Roman" w:cs="Times New Roman" w:eastAsiaTheme="minorEastAsia"/>
                <w:color w:val="000000" w:themeColor="text1"/>
                <w:w w:val="99"/>
                <w:kern w:val="2"/>
                <w:sz w:val="21"/>
                <w:szCs w:val="21"/>
                <w:vertAlign w:val="superscript"/>
                <w:lang w:val="en-US"/>
                <w14:textFill>
                  <w14:solidFill>
                    <w14:schemeClr w14:val="tx1"/>
                  </w14:solidFill>
                </w14:textFill>
              </w:rPr>
              <w:t>3</w:t>
            </w:r>
          </w:p>
        </w:tc>
        <w:tc>
          <w:tcPr>
            <w:tcW w:w="1170" w:type="pct"/>
            <w:tcBorders>
              <w:tl2br w:val="nil"/>
              <w:tr2bl w:val="nil"/>
            </w:tcBorders>
            <w:vAlign w:val="center"/>
          </w:tcPr>
          <w:p w14:paraId="0BC4443F">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14:textFill>
                  <w14:solidFill>
                    <w14:schemeClr w14:val="tx1"/>
                  </w14:solidFill>
                </w14:textFill>
              </w:rPr>
              <w:t>由施工单位拉运至大庆市</w:t>
            </w:r>
            <w:r>
              <w:rPr>
                <w:rFonts w:hint="eastAsia" w:eastAsiaTheme="minorEastAsia"/>
                <w:color w:val="000000" w:themeColor="text1"/>
                <w:w w:val="99"/>
                <w:kern w:val="2"/>
                <w:sz w:val="21"/>
                <w:szCs w:val="21"/>
                <w:lang w:val="en-US" w:eastAsia="zh-CN"/>
                <w14:textFill>
                  <w14:solidFill>
                    <w14:schemeClr w14:val="tx1"/>
                  </w14:solidFill>
                </w14:textFill>
              </w:rPr>
              <w:t>红岗区杏树岗镇</w:t>
            </w:r>
            <w:r>
              <w:rPr>
                <w:rFonts w:eastAsiaTheme="minorEastAsia"/>
                <w:color w:val="000000" w:themeColor="text1"/>
                <w:w w:val="99"/>
                <w:kern w:val="2"/>
                <w:sz w:val="21"/>
                <w:szCs w:val="21"/>
                <w:lang w:val="en-US"/>
                <w14:textFill>
                  <w14:solidFill>
                    <w14:schemeClr w14:val="tx1"/>
                  </w14:solidFill>
                </w14:textFill>
              </w:rPr>
              <w:t>建筑垃圾消纳场处理</w:t>
            </w:r>
          </w:p>
        </w:tc>
        <w:tc>
          <w:tcPr>
            <w:tcW w:w="1486" w:type="pct"/>
            <w:tcBorders>
              <w:tl2br w:val="nil"/>
              <w:tr2bl w:val="nil"/>
            </w:tcBorders>
            <w:vAlign w:val="center"/>
          </w:tcPr>
          <w:p w14:paraId="037ADFC9">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14:textFill>
                  <w14:solidFill>
                    <w14:schemeClr w14:val="tx1"/>
                  </w14:solidFill>
                </w14:textFill>
              </w:rPr>
              <w:t>100%处置</w:t>
            </w:r>
          </w:p>
        </w:tc>
      </w:tr>
      <w:tr w14:paraId="2C1D2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515" w:type="pct"/>
            <w:vMerge w:val="continue"/>
            <w:tcBorders>
              <w:tl2br w:val="nil"/>
              <w:tr2bl w:val="nil"/>
            </w:tcBorders>
            <w:vAlign w:val="center"/>
          </w:tcPr>
          <w:p w14:paraId="26A30A12">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p>
        </w:tc>
        <w:tc>
          <w:tcPr>
            <w:tcW w:w="610" w:type="pct"/>
            <w:tcBorders>
              <w:tl2br w:val="nil"/>
              <w:tr2bl w:val="nil"/>
            </w:tcBorders>
            <w:vAlign w:val="center"/>
          </w:tcPr>
          <w:p w14:paraId="57C6217D">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废旧设备</w:t>
            </w:r>
          </w:p>
        </w:tc>
        <w:tc>
          <w:tcPr>
            <w:tcW w:w="439" w:type="pct"/>
            <w:tcBorders>
              <w:tl2br w:val="nil"/>
              <w:tr2bl w:val="nil"/>
            </w:tcBorders>
            <w:vAlign w:val="center"/>
          </w:tcPr>
          <w:p w14:paraId="66FFA727">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780" w:type="pct"/>
            <w:tcBorders>
              <w:tl2br w:val="nil"/>
              <w:tr2bl w:val="nil"/>
            </w:tcBorders>
            <w:vAlign w:val="center"/>
          </w:tcPr>
          <w:p w14:paraId="78BC6ED6">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322t</w:t>
            </w:r>
          </w:p>
        </w:tc>
        <w:tc>
          <w:tcPr>
            <w:tcW w:w="1170" w:type="pct"/>
            <w:tcBorders>
              <w:tl2br w:val="nil"/>
              <w:tr2bl w:val="nil"/>
            </w:tcBorders>
            <w:vAlign w:val="center"/>
          </w:tcPr>
          <w:p w14:paraId="6FF5089E">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bCs/>
                <w:color w:val="000000" w:themeColor="text1"/>
                <w:w w:val="99"/>
                <w:kern w:val="2"/>
                <w:sz w:val="21"/>
                <w:szCs w:val="21"/>
                <w:lang w:val="en-US"/>
                <w14:textFill>
                  <w14:solidFill>
                    <w14:schemeClr w14:val="tx1"/>
                  </w14:solidFill>
                </w14:textFill>
              </w:rPr>
              <w:t>全部</w:t>
            </w:r>
            <w:r>
              <w:rPr>
                <w:rFonts w:eastAsiaTheme="minorEastAsia"/>
                <w:color w:val="000000" w:themeColor="text1"/>
                <w:w w:val="99"/>
                <w:kern w:val="2"/>
                <w:sz w:val="21"/>
                <w:szCs w:val="21"/>
                <w:lang w:val="en-US"/>
                <w14:textFill>
                  <w14:solidFill>
                    <w14:schemeClr w14:val="tx1"/>
                  </w14:solidFill>
                </w14:textFill>
              </w:rPr>
              <w:t>回收至</w:t>
            </w:r>
            <w:r>
              <w:rPr>
                <w:rFonts w:hint="eastAsia" w:eastAsiaTheme="minorEastAsia"/>
                <w:color w:val="000000" w:themeColor="text1"/>
                <w:w w:val="99"/>
                <w:kern w:val="2"/>
                <w:sz w:val="21"/>
                <w:szCs w:val="21"/>
                <w:lang w:val="en-US" w:eastAsia="zh-CN"/>
                <w14:textFill>
                  <w14:solidFill>
                    <w14:schemeClr w14:val="tx1"/>
                  </w14:solidFill>
                </w14:textFill>
              </w:rPr>
              <w:t>第五采油厂</w:t>
            </w:r>
            <w:r>
              <w:rPr>
                <w:rFonts w:eastAsiaTheme="minorEastAsia"/>
                <w:color w:val="000000" w:themeColor="text1"/>
                <w:w w:val="99"/>
                <w:kern w:val="2"/>
                <w:sz w:val="21"/>
                <w:szCs w:val="21"/>
                <w:lang w:val="en-US"/>
                <w14:textFill>
                  <w14:solidFill>
                    <w14:schemeClr w14:val="tx1"/>
                  </w14:solidFill>
                </w14:textFill>
              </w:rPr>
              <w:t>物资库再利用</w:t>
            </w:r>
          </w:p>
        </w:tc>
        <w:tc>
          <w:tcPr>
            <w:tcW w:w="1486" w:type="pct"/>
            <w:tcBorders>
              <w:tl2br w:val="nil"/>
              <w:tr2bl w:val="nil"/>
            </w:tcBorders>
            <w:vAlign w:val="center"/>
          </w:tcPr>
          <w:p w14:paraId="26587F6D">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snapToGrid w:val="0"/>
                <w:color w:val="000000" w:themeColor="text1"/>
                <w:w w:val="99"/>
                <w:sz w:val="21"/>
                <w:szCs w:val="21"/>
                <w14:textFill>
                  <w14:solidFill>
                    <w14:schemeClr w14:val="tx1"/>
                  </w14:solidFill>
                </w14:textFill>
              </w:rPr>
              <w:t>回收利用</w:t>
            </w:r>
          </w:p>
        </w:tc>
      </w:tr>
      <w:tr w14:paraId="10BCB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0" w:hRule="atLeast"/>
          <w:jc w:val="center"/>
        </w:trPr>
        <w:tc>
          <w:tcPr>
            <w:tcW w:w="515" w:type="pct"/>
            <w:vMerge w:val="continue"/>
            <w:tcBorders>
              <w:tl2br w:val="nil"/>
              <w:tr2bl w:val="nil"/>
            </w:tcBorders>
            <w:vAlign w:val="center"/>
          </w:tcPr>
          <w:p w14:paraId="57D82A2B">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p>
        </w:tc>
        <w:tc>
          <w:tcPr>
            <w:tcW w:w="610" w:type="pct"/>
            <w:tcBorders>
              <w:tl2br w:val="nil"/>
              <w:tr2bl w:val="nil"/>
            </w:tcBorders>
            <w:vAlign w:val="center"/>
          </w:tcPr>
          <w:p w14:paraId="1AD6A0B8">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生活垃圾</w:t>
            </w:r>
          </w:p>
        </w:tc>
        <w:tc>
          <w:tcPr>
            <w:tcW w:w="439" w:type="pct"/>
            <w:tcBorders>
              <w:tl2br w:val="nil"/>
              <w:tr2bl w:val="nil"/>
            </w:tcBorders>
            <w:vAlign w:val="center"/>
          </w:tcPr>
          <w:p w14:paraId="36E0784E">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w:t>
            </w:r>
          </w:p>
        </w:tc>
        <w:tc>
          <w:tcPr>
            <w:tcW w:w="780" w:type="pct"/>
            <w:tcBorders>
              <w:tl2br w:val="nil"/>
              <w:tr2bl w:val="nil"/>
            </w:tcBorders>
            <w:vAlign w:val="center"/>
          </w:tcPr>
          <w:p w14:paraId="5C740A6C">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0.6t</w:t>
            </w:r>
          </w:p>
        </w:tc>
        <w:tc>
          <w:tcPr>
            <w:tcW w:w="1170" w:type="pct"/>
            <w:tcBorders>
              <w:tl2br w:val="nil"/>
              <w:tr2bl w:val="nil"/>
            </w:tcBorders>
            <w:vAlign w:val="center"/>
          </w:tcPr>
          <w:p w14:paraId="6AC0B303">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
                <w14:textFill>
                  <w14:solidFill>
                    <w14:schemeClr w14:val="tx1"/>
                  </w14:solidFill>
                </w14:textFill>
              </w:rPr>
              <w:t>收集后运至大庆龙清生物科技有限公司处理</w:t>
            </w:r>
          </w:p>
        </w:tc>
        <w:tc>
          <w:tcPr>
            <w:tcW w:w="1486" w:type="pct"/>
            <w:tcBorders>
              <w:tl2br w:val="nil"/>
              <w:tr2bl w:val="nil"/>
            </w:tcBorders>
            <w:vAlign w:val="center"/>
          </w:tcPr>
          <w:p w14:paraId="7DA07BDD">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100%处置</w:t>
            </w:r>
          </w:p>
        </w:tc>
      </w:tr>
      <w:tr w14:paraId="40A5D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jc w:val="center"/>
        </w:trPr>
        <w:tc>
          <w:tcPr>
            <w:tcW w:w="515" w:type="pct"/>
            <w:tcBorders>
              <w:tl2br w:val="nil"/>
              <w:tr2bl w:val="nil"/>
            </w:tcBorders>
            <w:vAlign w:val="center"/>
          </w:tcPr>
          <w:p w14:paraId="3EF0AB32">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噪声</w:t>
            </w:r>
          </w:p>
        </w:tc>
        <w:tc>
          <w:tcPr>
            <w:tcW w:w="610" w:type="pct"/>
            <w:tcBorders>
              <w:tl2br w:val="nil"/>
              <w:tr2bl w:val="nil"/>
            </w:tcBorders>
            <w:vAlign w:val="center"/>
          </w:tcPr>
          <w:p w14:paraId="31E46792">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机械噪声</w:t>
            </w:r>
          </w:p>
        </w:tc>
        <w:tc>
          <w:tcPr>
            <w:tcW w:w="439" w:type="pct"/>
            <w:tcBorders>
              <w:tl2br w:val="nil"/>
              <w:tr2bl w:val="nil"/>
            </w:tcBorders>
            <w:vAlign w:val="center"/>
          </w:tcPr>
          <w:p w14:paraId="22660DAE">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噪声</w:t>
            </w:r>
          </w:p>
        </w:tc>
        <w:tc>
          <w:tcPr>
            <w:tcW w:w="780" w:type="pct"/>
            <w:tcBorders>
              <w:tl2br w:val="nil"/>
              <w:tr2bl w:val="nil"/>
            </w:tcBorders>
            <w:vAlign w:val="center"/>
          </w:tcPr>
          <w:p w14:paraId="4027842F">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60~104dB</w:t>
            </w:r>
          </w:p>
          <w:p w14:paraId="4706CCDA">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（A）</w:t>
            </w:r>
          </w:p>
        </w:tc>
        <w:tc>
          <w:tcPr>
            <w:tcW w:w="1170" w:type="pct"/>
            <w:tcBorders>
              <w:tl2br w:val="nil"/>
              <w:tr2bl w:val="nil"/>
            </w:tcBorders>
            <w:vAlign w:val="center"/>
          </w:tcPr>
          <w:p w14:paraId="6AED8F80">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排入周围环境</w:t>
            </w:r>
          </w:p>
        </w:tc>
        <w:tc>
          <w:tcPr>
            <w:tcW w:w="1486" w:type="pct"/>
            <w:tcBorders>
              <w:tl2br w:val="nil"/>
              <w:tr2bl w:val="nil"/>
            </w:tcBorders>
            <w:vAlign w:val="center"/>
          </w:tcPr>
          <w:p w14:paraId="36A70634">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执行《建筑施工场界环境噪声排放标准》（GB12523-2011）要求</w:t>
            </w:r>
          </w:p>
        </w:tc>
      </w:tr>
    </w:tbl>
    <w:p w14:paraId="5A8CB287">
      <w:pPr>
        <w:autoSpaceDE/>
        <w:autoSpaceDN/>
        <w:spacing w:line="440" w:lineRule="exact"/>
        <w:ind w:firstLine="474" w:firstLineChars="200"/>
        <w:jc w:val="both"/>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本工程运行期污染物排放清单见表8.3-2。</w:t>
      </w:r>
    </w:p>
    <w:p w14:paraId="4BB33551">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p>
    <w:p w14:paraId="62A9CE64">
      <w:pPr>
        <w:autoSpaceDE/>
        <w:autoSpaceDN/>
        <w:spacing w:line="440" w:lineRule="exact"/>
        <w:ind w:firstLine="476" w:firstLineChars="200"/>
        <w:jc w:val="both"/>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表8.3-2    本工程运行期污染物排放清单</w:t>
      </w:r>
    </w:p>
    <w:tbl>
      <w:tblPr>
        <w:tblStyle w:val="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24"/>
        <w:gridCol w:w="1009"/>
        <w:gridCol w:w="1037"/>
        <w:gridCol w:w="1198"/>
        <w:gridCol w:w="1812"/>
        <w:gridCol w:w="3510"/>
      </w:tblGrid>
      <w:tr w14:paraId="04FE3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0" w:type="pct"/>
            <w:vAlign w:val="center"/>
          </w:tcPr>
          <w:p w14:paraId="275FBB01">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种类</w:t>
            </w:r>
          </w:p>
        </w:tc>
        <w:tc>
          <w:tcPr>
            <w:tcW w:w="543" w:type="pct"/>
            <w:vAlign w:val="center"/>
          </w:tcPr>
          <w:p w14:paraId="1E95E5B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污染</w:t>
            </w:r>
            <w:r>
              <w:rPr>
                <w:rFonts w:hint="eastAsia" w:ascii="Times New Roman" w:hAnsi="Times New Roman" w:cs="Times New Roman" w:eastAsiaTheme="minorEastAsia"/>
                <w:color w:val="000000" w:themeColor="text1"/>
                <w:w w:val="99"/>
                <w:sz w:val="21"/>
                <w:szCs w:val="21"/>
                <w:lang w:val="en-US" w:bidi="ar-SA"/>
                <w14:textFill>
                  <w14:solidFill>
                    <w14:schemeClr w14:val="tx1"/>
                  </w14:solidFill>
                </w14:textFill>
              </w:rPr>
              <w:t>源</w:t>
            </w:r>
          </w:p>
        </w:tc>
        <w:tc>
          <w:tcPr>
            <w:tcW w:w="558" w:type="pct"/>
            <w:vAlign w:val="center"/>
          </w:tcPr>
          <w:p w14:paraId="77995FF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主要污染因子</w:t>
            </w:r>
          </w:p>
        </w:tc>
        <w:tc>
          <w:tcPr>
            <w:tcW w:w="645" w:type="pct"/>
            <w:vAlign w:val="center"/>
          </w:tcPr>
          <w:p w14:paraId="5204389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排放量</w:t>
            </w:r>
          </w:p>
        </w:tc>
        <w:tc>
          <w:tcPr>
            <w:tcW w:w="975" w:type="pct"/>
            <w:vAlign w:val="center"/>
          </w:tcPr>
          <w:p w14:paraId="06FBBE05">
            <w:pPr>
              <w:widowControl/>
              <w:autoSpaceDE/>
              <w:autoSpaceDN/>
              <w:snapToGrid w:val="0"/>
              <w:spacing w:line="36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控制措施及去向</w:t>
            </w:r>
          </w:p>
        </w:tc>
        <w:tc>
          <w:tcPr>
            <w:tcW w:w="1890" w:type="pct"/>
            <w:vAlign w:val="center"/>
          </w:tcPr>
          <w:p w14:paraId="02B56C0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排放管理要求</w:t>
            </w:r>
          </w:p>
        </w:tc>
      </w:tr>
      <w:tr w14:paraId="0FCEF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0" w:type="pct"/>
            <w:vAlign w:val="center"/>
          </w:tcPr>
          <w:p w14:paraId="1E333643">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废气</w:t>
            </w:r>
          </w:p>
        </w:tc>
        <w:tc>
          <w:tcPr>
            <w:tcW w:w="543" w:type="pct"/>
            <w:vAlign w:val="center"/>
          </w:tcPr>
          <w:p w14:paraId="2DB56E06">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阀门、泵</w:t>
            </w:r>
          </w:p>
        </w:tc>
        <w:tc>
          <w:tcPr>
            <w:tcW w:w="558" w:type="pct"/>
            <w:vAlign w:val="center"/>
          </w:tcPr>
          <w:p w14:paraId="244AB32C">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非甲烷总烃</w:t>
            </w:r>
          </w:p>
        </w:tc>
        <w:tc>
          <w:tcPr>
            <w:tcW w:w="645" w:type="pct"/>
            <w:vAlign w:val="center"/>
          </w:tcPr>
          <w:p w14:paraId="60C87467">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14:textFill>
                  <w14:solidFill>
                    <w14:schemeClr w14:val="tx1"/>
                  </w14:solidFill>
                </w14:textFill>
              </w:rPr>
            </w:pPr>
            <w:r>
              <w:rPr>
                <w:rFonts w:hint="eastAsia" w:ascii="Times New Roman" w:hAnsi="Times New Roman" w:cs="Times New Roman" w:eastAsiaTheme="minorEastAsia"/>
                <w:color w:val="000000" w:themeColor="text1"/>
                <w:w w:val="99"/>
                <w:sz w:val="21"/>
                <w:szCs w:val="21"/>
                <w:lang w:val="en-US"/>
                <w14:textFill>
                  <w14:solidFill>
                    <w14:schemeClr w14:val="tx1"/>
                  </w14:solidFill>
                </w14:textFill>
              </w:rPr>
              <w:t>0.002</w:t>
            </w:r>
            <w:r>
              <w:rPr>
                <w:rFonts w:ascii="Times New Roman" w:hAnsi="Times New Roman" w:cs="Times New Roman" w:eastAsiaTheme="minorEastAsia"/>
                <w:color w:val="000000" w:themeColor="text1"/>
                <w:w w:val="99"/>
                <w:sz w:val="21"/>
                <w:szCs w:val="21"/>
                <w:lang w:val="en-US"/>
                <w14:textFill>
                  <w14:solidFill>
                    <w14:schemeClr w14:val="tx1"/>
                  </w14:solidFill>
                </w14:textFill>
              </w:rPr>
              <w:t>t/a</w:t>
            </w:r>
          </w:p>
        </w:tc>
        <w:tc>
          <w:tcPr>
            <w:tcW w:w="975" w:type="pct"/>
            <w:vAlign w:val="center"/>
          </w:tcPr>
          <w:p w14:paraId="05266FF5">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密闭</w:t>
            </w:r>
            <w:r>
              <w:rPr>
                <w:rFonts w:hint="eastAsia" w:ascii="Times New Roman" w:hAnsi="Times New Roman" w:cs="Times New Roman" w:eastAsiaTheme="minorEastAsia"/>
                <w:color w:val="000000" w:themeColor="text1"/>
                <w:w w:val="99"/>
                <w:sz w:val="21"/>
                <w:szCs w:val="21"/>
                <w:lang w:val="en-US" w:bidi="ar-SA"/>
                <w14:textFill>
                  <w14:solidFill>
                    <w14:schemeClr w14:val="tx1"/>
                  </w14:solidFill>
                </w14:textFill>
              </w:rPr>
              <w:t>集输</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工艺流程</w:t>
            </w:r>
            <w:r>
              <w:rPr>
                <w:rFonts w:ascii="Times New Roman" w:hAnsi="Times New Roman" w:cs="Times New Roman" w:eastAsiaTheme="minorEastAsia"/>
                <w:color w:val="000000" w:themeColor="text1"/>
                <w:w w:val="99"/>
                <w:sz w:val="21"/>
                <w:szCs w:val="21"/>
                <w:lang w:val="en-US"/>
                <w14:textFill>
                  <w14:solidFill>
                    <w14:schemeClr w14:val="tx1"/>
                  </w14:solidFill>
                </w14:textFill>
              </w:rPr>
              <w:t>，阀门、泵等密封</w:t>
            </w:r>
            <w:r>
              <w:rPr>
                <w:rFonts w:hint="eastAsia" w:ascii="Times New Roman" w:hAnsi="Times New Roman" w:cs="Times New Roman" w:eastAsiaTheme="minorEastAsia"/>
                <w:color w:val="000000" w:themeColor="text1"/>
                <w:w w:val="99"/>
                <w:sz w:val="21"/>
                <w:szCs w:val="21"/>
                <w:lang w:val="en-US"/>
                <w14:textFill>
                  <w14:solidFill>
                    <w14:schemeClr w14:val="tx1"/>
                  </w14:solidFill>
                </w14:textFill>
              </w:rPr>
              <w:t>点</w:t>
            </w:r>
            <w:r>
              <w:rPr>
                <w:rFonts w:ascii="Times New Roman" w:hAnsi="Times New Roman" w:cs="Times New Roman" w:eastAsiaTheme="minorEastAsia"/>
                <w:color w:val="000000" w:themeColor="text1"/>
                <w:w w:val="99"/>
                <w:sz w:val="21"/>
                <w:szCs w:val="21"/>
                <w:lang w:val="en-US"/>
                <w14:textFill>
                  <w14:solidFill>
                    <w14:schemeClr w14:val="tx1"/>
                  </w14:solidFill>
                </w14:textFill>
              </w:rPr>
              <w:t>安装密封垫</w:t>
            </w:r>
          </w:p>
        </w:tc>
        <w:tc>
          <w:tcPr>
            <w:tcW w:w="1890" w:type="pct"/>
            <w:vAlign w:val="center"/>
          </w:tcPr>
          <w:p w14:paraId="2EA1C9FE">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边界</w:t>
            </w:r>
            <w:r>
              <w:rPr>
                <w:rFonts w:hint="eastAsia" w:ascii="Times New Roman" w:hAnsi="Times New Roman" w:cs="Times New Roman" w:eastAsiaTheme="minorEastAsia"/>
                <w:bCs/>
                <w:color w:val="000000" w:themeColor="text1"/>
                <w:w w:val="99"/>
                <w:sz w:val="21"/>
                <w:szCs w:val="21"/>
                <w:lang w:val="en-US" w:bidi="ar-SA"/>
                <w14:textFill>
                  <w14:solidFill>
                    <w14:schemeClr w14:val="tx1"/>
                  </w14:solidFill>
                </w14:textFill>
              </w:rPr>
              <w:t>执行</w:t>
            </w: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《陆上石油天然气开采工业大气污染物排放标准》（GB39728-2020）5.9中规定要求，</w:t>
            </w:r>
            <w:r>
              <w:rPr>
                <w:rFonts w:ascii="Times New Roman" w:hAnsi="Times New Roman" w:cs="Times New Roman" w:eastAsiaTheme="minorEastAsia"/>
                <w:color w:val="000000" w:themeColor="text1"/>
                <w:w w:val="99"/>
                <w:sz w:val="21"/>
                <w:szCs w:val="21"/>
                <w:lang w:val="en-US"/>
                <w14:textFill>
                  <w14:solidFill>
                    <w14:schemeClr w14:val="tx1"/>
                  </w14:solidFill>
                </w14:textFill>
              </w:rPr>
              <w:t>厂区内</w:t>
            </w:r>
            <w:r>
              <w:rPr>
                <w:rFonts w:hint="eastAsia" w:ascii="Times New Roman" w:hAnsi="Times New Roman" w:cs="Times New Roman" w:eastAsiaTheme="minorEastAsia"/>
                <w:color w:val="000000" w:themeColor="text1"/>
                <w:w w:val="99"/>
                <w:sz w:val="21"/>
                <w:szCs w:val="21"/>
                <w:lang w:val="en-US"/>
                <w14:textFill>
                  <w14:solidFill>
                    <w14:schemeClr w14:val="tx1"/>
                  </w14:solidFill>
                </w14:textFill>
              </w:rPr>
              <w:t>执行</w:t>
            </w:r>
            <w:r>
              <w:rPr>
                <w:rFonts w:ascii="Times New Roman" w:hAnsi="Times New Roman" w:cs="Times New Roman" w:eastAsiaTheme="minorEastAsia"/>
                <w:color w:val="000000" w:themeColor="text1"/>
                <w:w w:val="99"/>
                <w:sz w:val="21"/>
                <w:szCs w:val="21"/>
                <w:lang w:val="en-US"/>
                <w14:textFill>
                  <w14:solidFill>
                    <w14:schemeClr w14:val="tx1"/>
                  </w14:solidFill>
                </w14:textFill>
              </w:rPr>
              <w:t>《挥发性有机物无组织排放控制标准》（GB 37822-2019）附录A 中VOCs 无组织排放一般限值要求</w:t>
            </w:r>
          </w:p>
        </w:tc>
      </w:tr>
      <w:tr w14:paraId="421C9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90" w:type="pct"/>
            <w:vAlign w:val="center"/>
          </w:tcPr>
          <w:p w14:paraId="136EBC9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噪声</w:t>
            </w:r>
          </w:p>
        </w:tc>
        <w:tc>
          <w:tcPr>
            <w:tcW w:w="543" w:type="pct"/>
            <w:vAlign w:val="center"/>
          </w:tcPr>
          <w:p w14:paraId="1A44AA92">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混输泵</w:t>
            </w:r>
          </w:p>
        </w:tc>
        <w:tc>
          <w:tcPr>
            <w:tcW w:w="558" w:type="pct"/>
            <w:vAlign w:val="center"/>
          </w:tcPr>
          <w:p w14:paraId="575056B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噪声</w:t>
            </w:r>
          </w:p>
        </w:tc>
        <w:tc>
          <w:tcPr>
            <w:tcW w:w="645" w:type="pct"/>
            <w:vAlign w:val="center"/>
          </w:tcPr>
          <w:p w14:paraId="401C773D">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102-109</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dB(A)</w:t>
            </w:r>
          </w:p>
        </w:tc>
        <w:tc>
          <w:tcPr>
            <w:tcW w:w="975" w:type="pct"/>
            <w:vAlign w:val="center"/>
          </w:tcPr>
          <w:p w14:paraId="1F172C30">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低噪声设备、基础减振、厂房隔声</w:t>
            </w:r>
          </w:p>
        </w:tc>
        <w:tc>
          <w:tcPr>
            <w:tcW w:w="1890" w:type="pct"/>
            <w:vAlign w:val="center"/>
          </w:tcPr>
          <w:p w14:paraId="5706FCC9">
            <w:pPr>
              <w:widowControl/>
              <w:autoSpaceDE/>
              <w:autoSpaceDN/>
              <w:spacing w:line="36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执行《工业企业厂界环境噪声排放标准》（GB12348-2008）中2类标准</w:t>
            </w:r>
          </w:p>
        </w:tc>
      </w:tr>
    </w:tbl>
    <w:p w14:paraId="354A1954">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564" w:name="_Toc117794657"/>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8.4 总量控制</w:t>
      </w:r>
      <w:bookmarkEnd w:id="564"/>
    </w:p>
    <w:p w14:paraId="76BA89B3">
      <w:pPr>
        <w:ind w:firstLine="474" w:firstLineChars="200"/>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本工程为管线项目不新增污染物，整体区域总量不增加。</w:t>
      </w:r>
    </w:p>
    <w:p w14:paraId="6D417E3A">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565" w:name="_Toc117794658"/>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8.5 施工期环境管理与监测计划</w:t>
      </w:r>
      <w:bookmarkEnd w:id="565"/>
    </w:p>
    <w:p w14:paraId="04946DFC">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66" w:name="_Toc117794659"/>
      <w:r>
        <w:rPr>
          <w:rFonts w:ascii="Times New Roman" w:hAnsi="Times New Roman" w:cs="Times New Roman" w:eastAsiaTheme="minorEastAsia"/>
          <w:color w:val="000000" w:themeColor="text1"/>
          <w:w w:val="99"/>
          <w:kern w:val="2"/>
          <w:lang w:val="en-US" w:bidi="ar-SA"/>
          <w14:textFill>
            <w14:solidFill>
              <w14:schemeClr w14:val="tx1"/>
            </w14:solidFill>
          </w14:textFill>
        </w:rPr>
        <w:t>8.5.1 加强工程承包方管理</w:t>
      </w:r>
      <w:bookmarkEnd w:id="566"/>
    </w:p>
    <w:p w14:paraId="4D4C1A36">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要与具有相关资质的施工作业单位签定《工程服务安全生产合同》，执行HSE管理体系，对项目实施HSE立卷管理，并按其内容执行。针对工程的承包方，应加强环境管理，制定出严格的环保管理制度：</w:t>
      </w:r>
    </w:p>
    <w:p w14:paraId="7B967643">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（1）在承包方的选择上应优先选择那些环保管理水平高、环保业绩好的单位；</w:t>
      </w:r>
    </w:p>
    <w:p w14:paraId="5643D0B7">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（2）在承包合同中应明确有关环境保护条款，如环境保护目标，采取的水、气、声和生态保护措施等，将环保工作的好坏作为工程验收的标准之一；</w:t>
      </w:r>
    </w:p>
    <w:p w14:paraId="02AAD75F">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（3）各分承包方应按照项目部的环境管理制度要求，建立相应的环境管理机构，明确环保管理人员，明确人员职责等；</w:t>
      </w:r>
    </w:p>
    <w:p w14:paraId="6F1517A6">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（4）各分承包方在施工之前，编制详细的“环境管理方案”，并连同施工计划一起呈报项目经理部以及有关的环保部门，批准后方可以开工。</w:t>
      </w:r>
    </w:p>
    <w:p w14:paraId="173927BB">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67" w:name="8.5.1.2注重人员培训"/>
      <w:bookmarkEnd w:id="567"/>
      <w:bookmarkStart w:id="568" w:name="_Toc117794660"/>
      <w:r>
        <w:rPr>
          <w:rFonts w:ascii="Times New Roman" w:hAnsi="Times New Roman" w:cs="Times New Roman" w:eastAsiaTheme="minorEastAsia"/>
          <w:color w:val="000000" w:themeColor="text1"/>
          <w:w w:val="99"/>
          <w:kern w:val="2"/>
          <w:lang w:val="en-US" w:bidi="ar-SA"/>
          <w14:textFill>
            <w14:solidFill>
              <w14:schemeClr w14:val="tx1"/>
            </w14:solidFill>
          </w14:textFill>
        </w:rPr>
        <w:t>8.5.2 注重人员培训</w:t>
      </w:r>
      <w:bookmarkEnd w:id="568"/>
    </w:p>
    <w:p w14:paraId="06B5F50C">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施工作业之前必须对全体施工人员进行环保知识、意识和能力的培训，其中环保能力的培训主要包括：保护生态环境的规定；减少和收集、处理固体废物的方法；管理、存放及处理危险品的方法等，此外，人员培训的内容还包括有国家的法规和规章制度，主要为国家及当地政府的环境保护法律、法规等。</w:t>
      </w:r>
    </w:p>
    <w:p w14:paraId="0D86851C">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69" w:name="_Toc117794661"/>
      <w:r>
        <w:rPr>
          <w:rFonts w:ascii="Times New Roman" w:hAnsi="Times New Roman" w:cs="Times New Roman" w:eastAsiaTheme="minorEastAsia"/>
          <w:color w:val="000000" w:themeColor="text1"/>
          <w:w w:val="99"/>
          <w:kern w:val="2"/>
          <w:lang w:val="en-US" w:bidi="ar-SA"/>
          <w14:textFill>
            <w14:solidFill>
              <w14:schemeClr w14:val="tx1"/>
            </w14:solidFill>
          </w14:textFill>
        </w:rPr>
        <w:t>8.5.3 施工期环境监测计划</w:t>
      </w:r>
      <w:bookmarkEnd w:id="569"/>
    </w:p>
    <w:p w14:paraId="7CAD3C0A">
      <w:pPr>
        <w:pStyle w:val="101"/>
        <w:spacing w:before="120" w:after="48" w:line="440" w:lineRule="exact"/>
        <w:ind w:firstLine="434" w:firstLineChars="200"/>
        <w:jc w:val="left"/>
        <w:rPr>
          <w:rFonts w:ascii="Times New Roman" w:cs="Times New Roman" w:eastAsiaTheme="minorEastAsia"/>
          <w:b w:val="0"/>
          <w:color w:val="000000" w:themeColor="text1"/>
          <w:w w:val="99"/>
          <w:lang w:bidi="zh-CN"/>
          <w14:textFill>
            <w14:solidFill>
              <w14:schemeClr w14:val="tx1"/>
            </w14:solidFill>
          </w14:textFill>
        </w:rPr>
      </w:pPr>
      <w:r>
        <w:rPr>
          <w:rFonts w:ascii="Times New Roman" w:cs="Times New Roman" w:eastAsiaTheme="minorEastAsia"/>
          <w:b w:val="0"/>
          <w:color w:val="000000" w:themeColor="text1"/>
          <w:w w:val="99"/>
          <w:lang w:bidi="zh-CN"/>
          <w14:textFill>
            <w14:solidFill>
              <w14:schemeClr w14:val="tx1"/>
            </w14:solidFill>
          </w14:textFill>
        </w:rPr>
        <w:t>施工期的环境监测包括对作业场所的控制监测和事故发生后的影响监测。主要监测对象有土壤、植被、施工作业废气、废水和噪声等。对作业场所的控制监测根据当地具体情况、当地环保部门要求等情况而定。</w:t>
      </w:r>
    </w:p>
    <w:p w14:paraId="1CE546AB">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570" w:name="_Toc117794662"/>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8.6 运营期环境管理与监测计划</w:t>
      </w:r>
      <w:bookmarkEnd w:id="570"/>
    </w:p>
    <w:p w14:paraId="22D4CB7D">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71" w:name="_Toc117794663"/>
      <w:r>
        <w:rPr>
          <w:rFonts w:ascii="Times New Roman" w:hAnsi="Times New Roman" w:cs="Times New Roman" w:eastAsiaTheme="minorEastAsia"/>
          <w:color w:val="000000" w:themeColor="text1"/>
          <w:w w:val="99"/>
          <w:kern w:val="2"/>
          <w:lang w:val="en-US" w:bidi="ar-SA"/>
          <w14:textFill>
            <w14:solidFill>
              <w14:schemeClr w14:val="tx1"/>
            </w14:solidFill>
          </w14:textFill>
        </w:rPr>
        <w:t>8.6.1 运营期环境管理</w:t>
      </w:r>
      <w:bookmarkEnd w:id="571"/>
    </w:p>
    <w:p w14:paraId="588F4B2F">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（1）进行环境监测，掌握污染现状；</w:t>
      </w:r>
    </w:p>
    <w:p w14:paraId="0C441C93">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（2）定时定点监测周围环境，及时掌握环境状况的资料，促进环境管理的深入和污染治理的落实；</w:t>
      </w:r>
    </w:p>
    <w:p w14:paraId="2C08E65B">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（3）落实环境管理制度；</w:t>
      </w:r>
    </w:p>
    <w:p w14:paraId="6C79F850">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（4）制定环保经济责任考核制度，提高各部门对环境保护的责任感；</w:t>
      </w:r>
    </w:p>
    <w:p w14:paraId="1E380B4D">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（5）强化专业人员培训。</w:t>
      </w:r>
      <w:r>
        <w:rPr>
          <w:rFonts w:ascii="Times New Roman" w:hAnsi="Times New Roman" w:cs="Times New Roman" w:eastAsiaTheme="minorEastAsia"/>
          <w:color w:val="000000" w:themeColor="text1"/>
          <w:w w:val="99"/>
          <w:sz w:val="24"/>
          <w:szCs w:val="24"/>
          <w:lang w:val="en-US"/>
          <w14:textFill>
            <w14:solidFill>
              <w14:schemeClr w14:val="tx1"/>
            </w14:solidFill>
          </w14:textFill>
        </w:rPr>
        <w:tab/>
      </w:r>
    </w:p>
    <w:p w14:paraId="671654B9">
      <w:pPr>
        <w:pStyle w:val="5"/>
        <w:autoSpaceDE/>
        <w:autoSpaceDN/>
        <w:spacing w:before="60" w:after="60" w:line="44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72" w:name="_Toc117794664"/>
      <w:r>
        <w:rPr>
          <w:rFonts w:ascii="Times New Roman" w:hAnsi="Times New Roman" w:cs="Times New Roman" w:eastAsiaTheme="minorEastAsia"/>
          <w:color w:val="000000" w:themeColor="text1"/>
          <w:w w:val="99"/>
          <w:kern w:val="2"/>
          <w:lang w:val="en-US" w:bidi="ar-SA"/>
          <w14:textFill>
            <w14:solidFill>
              <w14:schemeClr w14:val="tx1"/>
            </w14:solidFill>
          </w14:textFill>
        </w:rPr>
        <w:t>8.6.2 运营期环境监测计划</w:t>
      </w:r>
      <w:bookmarkEnd w:id="572"/>
    </w:p>
    <w:p w14:paraId="5EBD2F8C">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本工程生产运行期需要进行的环境监测任务委托取得相关资质的地方环境监测单位进行。环境监测应按国家和地方的环保要求进行，应采用国家规定的标准监测方法，并应按照规定，定期向有关环境保护主管部门上报监测结果。根据油田运行期环境污染的特点，环境监测计划主要针对油田污染物排放、油田开发区生态恢复情况、事故而制定，具体见表8.6-1。</w:t>
      </w:r>
    </w:p>
    <w:p w14:paraId="1AD5EEBF">
      <w:pPr>
        <w:pStyle w:val="105"/>
        <w:spacing w:before="120"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运行期根据《排污单位自行监测技术指南 陆上石油天然气开采工业》（HJ1248-2022）要求，结合油田运行期环境污染的特点，主要针对油田污染物排放、油田开发区生态恢复情况、事故等制定监测计划，包括污染源监测计划、环境质量监测计划及生态调查方案，具体见下表：</w:t>
      </w:r>
    </w:p>
    <w:p w14:paraId="78F89CFD">
      <w:pPr>
        <w:spacing w:line="440" w:lineRule="exact"/>
        <w:ind w:firstLine="436" w:firstLineChars="200"/>
        <w:jc w:val="both"/>
        <w:rPr>
          <w:rFonts w:ascii="Times New Roman" w:hAnsi="Times New Roman" w:cs="Times New Roman" w:eastAsiaTheme="minorEastAsia"/>
          <w:b/>
          <w:color w:val="000000" w:themeColor="text1"/>
          <w:w w:val="99"/>
          <w:kern w:val="2"/>
          <w14:textFill>
            <w14:solidFill>
              <w14:schemeClr w14:val="tx1"/>
            </w14:solidFill>
          </w14:textFill>
        </w:rPr>
      </w:pPr>
      <w:r>
        <w:rPr>
          <w:rFonts w:ascii="Times New Roman" w:hAnsi="Times New Roman" w:cs="Times New Roman" w:eastAsiaTheme="minorEastAsia"/>
          <w:b/>
          <w:color w:val="000000" w:themeColor="text1"/>
          <w:w w:val="99"/>
          <w:kern w:val="2"/>
          <w14:textFill>
            <w14:solidFill>
              <w14:schemeClr w14:val="tx1"/>
            </w14:solidFill>
          </w14:textFill>
        </w:rPr>
        <w:t>表8.6-1   工程运行期污染物排放监测计划表</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737"/>
        <w:gridCol w:w="1057"/>
        <w:gridCol w:w="3059"/>
        <w:gridCol w:w="2692"/>
        <w:gridCol w:w="1585"/>
      </w:tblGrid>
      <w:tr w14:paraId="7140D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tblHeader/>
          <w:jc w:val="center"/>
        </w:trPr>
        <w:tc>
          <w:tcPr>
            <w:tcW w:w="404" w:type="pct"/>
            <w:tcMar>
              <w:top w:w="28" w:type="dxa"/>
              <w:bottom w:w="28" w:type="dxa"/>
            </w:tcMar>
            <w:vAlign w:val="center"/>
          </w:tcPr>
          <w:p w14:paraId="74AB8733">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序号</w:t>
            </w:r>
          </w:p>
        </w:tc>
        <w:tc>
          <w:tcPr>
            <w:tcW w:w="579" w:type="pct"/>
            <w:tcMar>
              <w:top w:w="28" w:type="dxa"/>
              <w:bottom w:w="28" w:type="dxa"/>
            </w:tcMar>
            <w:vAlign w:val="center"/>
          </w:tcPr>
          <w:p w14:paraId="736EA1F1">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监测内容</w:t>
            </w:r>
          </w:p>
        </w:tc>
        <w:tc>
          <w:tcPr>
            <w:tcW w:w="1675" w:type="pct"/>
            <w:tcMar>
              <w:top w:w="28" w:type="dxa"/>
              <w:bottom w:w="28" w:type="dxa"/>
            </w:tcMar>
            <w:vAlign w:val="center"/>
          </w:tcPr>
          <w:p w14:paraId="76478279">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监测（检查）项目</w:t>
            </w:r>
          </w:p>
        </w:tc>
        <w:tc>
          <w:tcPr>
            <w:tcW w:w="1474" w:type="pct"/>
            <w:tcMar>
              <w:top w:w="28" w:type="dxa"/>
              <w:bottom w:w="28" w:type="dxa"/>
            </w:tcMar>
            <w:vAlign w:val="center"/>
          </w:tcPr>
          <w:p w14:paraId="306559C3">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监测点位</w:t>
            </w:r>
          </w:p>
        </w:tc>
        <w:tc>
          <w:tcPr>
            <w:tcW w:w="868" w:type="pct"/>
            <w:tcMar>
              <w:top w:w="28" w:type="dxa"/>
              <w:bottom w:w="28" w:type="dxa"/>
            </w:tcMar>
            <w:vAlign w:val="center"/>
          </w:tcPr>
          <w:p w14:paraId="3B3166C8">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监测频次</w:t>
            </w:r>
          </w:p>
        </w:tc>
      </w:tr>
      <w:tr w14:paraId="0DF49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04" w:type="pct"/>
            <w:tcMar>
              <w:top w:w="28" w:type="dxa"/>
              <w:bottom w:w="28" w:type="dxa"/>
            </w:tcMar>
            <w:vAlign w:val="center"/>
          </w:tcPr>
          <w:p w14:paraId="417AC1D8">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hint="eastAsia" w:ascii="Times New Roman" w:hAnsi="Times New Roman" w:cs="Times New Roman" w:eastAsiaTheme="minorEastAsia"/>
                <w:color w:val="000000" w:themeColor="text1"/>
                <w:w w:val="99"/>
                <w:sz w:val="21"/>
                <w:szCs w:val="21"/>
                <w14:textFill>
                  <w14:solidFill>
                    <w14:schemeClr w14:val="tx1"/>
                  </w14:solidFill>
                </w14:textFill>
              </w:rPr>
              <w:t>1</w:t>
            </w:r>
          </w:p>
        </w:tc>
        <w:tc>
          <w:tcPr>
            <w:tcW w:w="579" w:type="pct"/>
            <w:tcMar>
              <w:top w:w="28" w:type="dxa"/>
              <w:bottom w:w="28" w:type="dxa"/>
            </w:tcMar>
            <w:vAlign w:val="center"/>
          </w:tcPr>
          <w:p w14:paraId="1D6B4281">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废气</w:t>
            </w:r>
          </w:p>
        </w:tc>
        <w:tc>
          <w:tcPr>
            <w:tcW w:w="1675" w:type="pct"/>
            <w:tcMar>
              <w:top w:w="28" w:type="dxa"/>
              <w:bottom w:w="28" w:type="dxa"/>
            </w:tcMar>
            <w:vAlign w:val="center"/>
          </w:tcPr>
          <w:p w14:paraId="36E309D5">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非甲烷总烃</w:t>
            </w:r>
          </w:p>
        </w:tc>
        <w:tc>
          <w:tcPr>
            <w:tcW w:w="1474" w:type="pct"/>
            <w:tcMar>
              <w:top w:w="28" w:type="dxa"/>
              <w:bottom w:w="28" w:type="dxa"/>
            </w:tcMar>
            <w:vAlign w:val="center"/>
          </w:tcPr>
          <w:p w14:paraId="3EFD0858">
            <w:pPr>
              <w:adjustRightInd w:val="0"/>
              <w:spacing w:line="360" w:lineRule="exact"/>
              <w:jc w:val="both"/>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t>混输阀组间</w:t>
            </w:r>
            <w:r>
              <w:rPr>
                <w:rFonts w:hint="eastAsia"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t>边界</w:t>
            </w:r>
          </w:p>
        </w:tc>
        <w:tc>
          <w:tcPr>
            <w:tcW w:w="868" w:type="pct"/>
            <w:tcMar>
              <w:top w:w="28" w:type="dxa"/>
              <w:bottom w:w="28" w:type="dxa"/>
            </w:tcMar>
            <w:vAlign w:val="center"/>
          </w:tcPr>
          <w:p w14:paraId="0C35FB41">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1次/</w:t>
            </w:r>
            <w:r>
              <w:rPr>
                <w:rFonts w:hint="eastAsia" w:ascii="Times New Roman" w:hAnsi="Times New Roman" w:cs="Times New Roman" w:eastAsiaTheme="minorEastAsia"/>
                <w:color w:val="000000" w:themeColor="text1"/>
                <w:w w:val="99"/>
                <w:sz w:val="21"/>
                <w:szCs w:val="21"/>
                <w:lang w:val="en-US"/>
                <w14:textFill>
                  <w14:solidFill>
                    <w14:schemeClr w14:val="tx1"/>
                  </w14:solidFill>
                </w14:textFill>
              </w:rPr>
              <w:t>季</w:t>
            </w:r>
          </w:p>
        </w:tc>
      </w:tr>
      <w:tr w14:paraId="2AE11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04" w:type="pct"/>
            <w:tcMar>
              <w:top w:w="28" w:type="dxa"/>
              <w:bottom w:w="28" w:type="dxa"/>
            </w:tcMar>
            <w:vAlign w:val="center"/>
          </w:tcPr>
          <w:p w14:paraId="5EAF73CD">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2</w:t>
            </w:r>
          </w:p>
        </w:tc>
        <w:tc>
          <w:tcPr>
            <w:tcW w:w="579" w:type="pct"/>
            <w:tcMar>
              <w:top w:w="28" w:type="dxa"/>
              <w:bottom w:w="28" w:type="dxa"/>
            </w:tcMar>
            <w:vAlign w:val="center"/>
          </w:tcPr>
          <w:p w14:paraId="0BFA6FA5">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噪声</w:t>
            </w:r>
          </w:p>
        </w:tc>
        <w:tc>
          <w:tcPr>
            <w:tcW w:w="1675" w:type="pct"/>
            <w:tcMar>
              <w:top w:w="28" w:type="dxa"/>
              <w:bottom w:w="28" w:type="dxa"/>
            </w:tcMar>
            <w:vAlign w:val="center"/>
          </w:tcPr>
          <w:p w14:paraId="2199BD33">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连续等效A声级</w:t>
            </w:r>
          </w:p>
        </w:tc>
        <w:tc>
          <w:tcPr>
            <w:tcW w:w="1474" w:type="pct"/>
            <w:tcMar>
              <w:top w:w="28" w:type="dxa"/>
              <w:bottom w:w="28" w:type="dxa"/>
            </w:tcMar>
            <w:vAlign w:val="center"/>
          </w:tcPr>
          <w:p w14:paraId="21FC001B">
            <w:pPr>
              <w:adjustRightInd w:val="0"/>
              <w:spacing w:line="360" w:lineRule="exact"/>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t>混输阀组间厂界</w:t>
            </w:r>
          </w:p>
        </w:tc>
        <w:tc>
          <w:tcPr>
            <w:tcW w:w="868" w:type="pct"/>
            <w:tcMar>
              <w:top w:w="28" w:type="dxa"/>
              <w:bottom w:w="28" w:type="dxa"/>
            </w:tcMar>
            <w:vAlign w:val="center"/>
          </w:tcPr>
          <w:p w14:paraId="5B9CD696">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1次/季</w:t>
            </w:r>
          </w:p>
        </w:tc>
      </w:tr>
      <w:tr w14:paraId="09683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04" w:type="pct"/>
            <w:tcMar>
              <w:top w:w="28" w:type="dxa"/>
              <w:bottom w:w="28" w:type="dxa"/>
            </w:tcMar>
            <w:vAlign w:val="center"/>
          </w:tcPr>
          <w:p w14:paraId="2B873E5A">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3</w:t>
            </w:r>
          </w:p>
        </w:tc>
        <w:tc>
          <w:tcPr>
            <w:tcW w:w="579" w:type="pct"/>
            <w:tcMar>
              <w:top w:w="28" w:type="dxa"/>
              <w:bottom w:w="28" w:type="dxa"/>
            </w:tcMar>
            <w:vAlign w:val="center"/>
          </w:tcPr>
          <w:p w14:paraId="7E6FCB5F">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事故监测</w:t>
            </w:r>
          </w:p>
        </w:tc>
        <w:tc>
          <w:tcPr>
            <w:tcW w:w="1675" w:type="pct"/>
            <w:tcMar>
              <w:top w:w="28" w:type="dxa"/>
              <w:bottom w:w="28" w:type="dxa"/>
            </w:tcMar>
            <w:vAlign w:val="center"/>
          </w:tcPr>
          <w:p w14:paraId="21DA030F">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空气：非甲烷总烃；土壤：石油烃；地下水：石油类；地表水：石油类</w:t>
            </w:r>
          </w:p>
        </w:tc>
        <w:tc>
          <w:tcPr>
            <w:tcW w:w="1474" w:type="pct"/>
            <w:tcMar>
              <w:top w:w="28" w:type="dxa"/>
              <w:bottom w:w="28" w:type="dxa"/>
            </w:tcMar>
            <w:vAlign w:val="center"/>
          </w:tcPr>
          <w:p w14:paraId="43B4208E">
            <w:pPr>
              <w:adjustRightInd w:val="0"/>
              <w:spacing w:line="360" w:lineRule="exact"/>
              <w:jc w:val="both"/>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空气及土壤为事故地点；地表水及地下水为事故地点周围区域。</w:t>
            </w:r>
          </w:p>
        </w:tc>
        <w:tc>
          <w:tcPr>
            <w:tcW w:w="868" w:type="pct"/>
            <w:tcMar>
              <w:top w:w="28" w:type="dxa"/>
              <w:bottom w:w="28" w:type="dxa"/>
            </w:tcMar>
            <w:vAlign w:val="center"/>
          </w:tcPr>
          <w:p w14:paraId="7051B3B6">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事故发生24小时内</w:t>
            </w:r>
          </w:p>
        </w:tc>
      </w:tr>
    </w:tbl>
    <w:p w14:paraId="3511515F">
      <w:pPr>
        <w:pStyle w:val="105"/>
        <w:spacing w:beforeLines="0" w:line="440" w:lineRule="exact"/>
        <w:ind w:firstLine="476" w:firstLineChars="200"/>
        <w:jc w:val="both"/>
        <w:rPr>
          <w:rFonts w:ascii="Times New Roman" w:hAnsi="Times New Roman" w:cs="Times New Roman" w:eastAsiaTheme="minorEastAsia"/>
          <w:b/>
          <w:bCs/>
          <w:color w:val="000000" w:themeColor="text1"/>
          <w:w w:val="99"/>
          <w:sz w:val="24"/>
          <w:szCs w:val="24"/>
          <w14:textFill>
            <w14:solidFill>
              <w14:schemeClr w14:val="tx1"/>
            </w14:solidFill>
          </w14:textFill>
        </w:rPr>
      </w:pPr>
    </w:p>
    <w:p w14:paraId="1C34C38C">
      <w:pPr>
        <w:pStyle w:val="105"/>
        <w:spacing w:beforeLines="0" w:line="440" w:lineRule="exact"/>
        <w:ind w:firstLine="476" w:firstLineChars="200"/>
        <w:jc w:val="both"/>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r>
        <w:rPr>
          <w:rFonts w:ascii="Times New Roman" w:hAnsi="Times New Roman" w:cs="Times New Roman" w:eastAsiaTheme="minorEastAsia"/>
          <w:b/>
          <w:bCs/>
          <w:color w:val="000000" w:themeColor="text1"/>
          <w:w w:val="99"/>
          <w:sz w:val="24"/>
          <w:szCs w:val="24"/>
          <w14:textFill>
            <w14:solidFill>
              <w14:schemeClr w14:val="tx1"/>
            </w14:solidFill>
          </w14:textFill>
        </w:rPr>
        <w:t>表</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8.6-2       运营期环境质量监测计划表</w:t>
      </w:r>
    </w:p>
    <w:tbl>
      <w:tblPr>
        <w:tblStyle w:val="80"/>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33"/>
        <w:gridCol w:w="926"/>
        <w:gridCol w:w="1874"/>
        <w:gridCol w:w="4318"/>
        <w:gridCol w:w="1277"/>
      </w:tblGrid>
      <w:tr w14:paraId="243DE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33" w:type="dxa"/>
            <w:tcBorders>
              <w:tl2br w:val="nil"/>
              <w:tr2bl w:val="nil"/>
            </w:tcBorders>
            <w:tcMar>
              <w:top w:w="28" w:type="dxa"/>
              <w:left w:w="28" w:type="dxa"/>
              <w:bottom w:w="28" w:type="dxa"/>
              <w:right w:w="28" w:type="dxa"/>
            </w:tcMar>
            <w:vAlign w:val="center"/>
          </w:tcPr>
          <w:p w14:paraId="2F3E8124">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序号</w:t>
            </w:r>
          </w:p>
        </w:tc>
        <w:tc>
          <w:tcPr>
            <w:tcW w:w="926" w:type="dxa"/>
            <w:tcBorders>
              <w:tl2br w:val="nil"/>
              <w:tr2bl w:val="nil"/>
            </w:tcBorders>
            <w:tcMar>
              <w:top w:w="28" w:type="dxa"/>
              <w:left w:w="28" w:type="dxa"/>
              <w:bottom w:w="28" w:type="dxa"/>
              <w:right w:w="28" w:type="dxa"/>
            </w:tcMar>
            <w:vAlign w:val="center"/>
          </w:tcPr>
          <w:p w14:paraId="0BED0D29">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监测内容</w:t>
            </w:r>
          </w:p>
        </w:tc>
        <w:tc>
          <w:tcPr>
            <w:tcW w:w="1874" w:type="dxa"/>
            <w:tcBorders>
              <w:tl2br w:val="nil"/>
              <w:tr2bl w:val="nil"/>
            </w:tcBorders>
            <w:tcMar>
              <w:top w:w="28" w:type="dxa"/>
              <w:left w:w="28" w:type="dxa"/>
              <w:bottom w:w="28" w:type="dxa"/>
              <w:right w:w="28" w:type="dxa"/>
            </w:tcMar>
            <w:vAlign w:val="center"/>
          </w:tcPr>
          <w:p w14:paraId="201E9186">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监测（检查）项目</w:t>
            </w:r>
          </w:p>
        </w:tc>
        <w:tc>
          <w:tcPr>
            <w:tcW w:w="4318" w:type="dxa"/>
            <w:tcBorders>
              <w:tl2br w:val="nil"/>
              <w:tr2bl w:val="nil"/>
            </w:tcBorders>
            <w:tcMar>
              <w:top w:w="28" w:type="dxa"/>
              <w:left w:w="28" w:type="dxa"/>
              <w:bottom w:w="28" w:type="dxa"/>
              <w:right w:w="28" w:type="dxa"/>
            </w:tcMar>
            <w:vAlign w:val="center"/>
          </w:tcPr>
          <w:p w14:paraId="4FC17AED">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监测点位</w:t>
            </w:r>
          </w:p>
        </w:tc>
        <w:tc>
          <w:tcPr>
            <w:tcW w:w="1277" w:type="dxa"/>
            <w:tcBorders>
              <w:tl2br w:val="nil"/>
              <w:tr2bl w:val="nil"/>
            </w:tcBorders>
            <w:tcMar>
              <w:top w:w="28" w:type="dxa"/>
              <w:left w:w="28" w:type="dxa"/>
              <w:bottom w:w="28" w:type="dxa"/>
              <w:right w:w="28" w:type="dxa"/>
            </w:tcMar>
            <w:vAlign w:val="center"/>
          </w:tcPr>
          <w:p w14:paraId="4C95A73F">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监测频次</w:t>
            </w:r>
          </w:p>
        </w:tc>
      </w:tr>
      <w:tr w14:paraId="38685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33" w:type="dxa"/>
            <w:tcBorders>
              <w:tl2br w:val="nil"/>
              <w:tr2bl w:val="nil"/>
            </w:tcBorders>
            <w:vAlign w:val="center"/>
          </w:tcPr>
          <w:p w14:paraId="7667E4FE">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w:t>
            </w:r>
          </w:p>
        </w:tc>
        <w:tc>
          <w:tcPr>
            <w:tcW w:w="926" w:type="dxa"/>
            <w:tcBorders>
              <w:tl2br w:val="nil"/>
              <w:tr2bl w:val="nil"/>
            </w:tcBorders>
            <w:vAlign w:val="center"/>
          </w:tcPr>
          <w:p w14:paraId="0AC8D3C5">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地下水</w:t>
            </w:r>
          </w:p>
        </w:tc>
        <w:tc>
          <w:tcPr>
            <w:tcW w:w="1874" w:type="dxa"/>
            <w:tcBorders>
              <w:tl2br w:val="nil"/>
              <w:tr2bl w:val="nil"/>
            </w:tcBorders>
            <w:tcMar>
              <w:top w:w="28" w:type="dxa"/>
              <w:left w:w="28" w:type="dxa"/>
              <w:bottom w:w="28" w:type="dxa"/>
              <w:right w:w="28" w:type="dxa"/>
            </w:tcMar>
            <w:vAlign w:val="center"/>
          </w:tcPr>
          <w:p w14:paraId="5570EAD5">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pH、</w:t>
            </w: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石油类、石油烃（</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C</w:t>
            </w:r>
            <w:r>
              <w:rPr>
                <w:rFonts w:ascii="Times New Roman" w:hAnsi="Times New Roman" w:cs="Times New Roman" w:eastAsiaTheme="minorEastAsia"/>
                <w:color w:val="000000" w:themeColor="text1"/>
                <w:w w:val="99"/>
                <w:kern w:val="2"/>
                <w:sz w:val="21"/>
                <w:szCs w:val="21"/>
                <w:vertAlign w:val="subscript"/>
                <w:lang w:val="en-US" w:bidi="ar-SA"/>
                <w14:textFill>
                  <w14:solidFill>
                    <w14:schemeClr w14:val="tx1"/>
                  </w14:solidFill>
                </w14:textFill>
              </w:rPr>
              <w:t>6</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~C</w:t>
            </w:r>
            <w:r>
              <w:rPr>
                <w:rFonts w:ascii="Times New Roman" w:hAnsi="Times New Roman" w:cs="Times New Roman" w:eastAsiaTheme="minorEastAsia"/>
                <w:color w:val="000000" w:themeColor="text1"/>
                <w:w w:val="99"/>
                <w:kern w:val="2"/>
                <w:sz w:val="21"/>
                <w:szCs w:val="21"/>
                <w:vertAlign w:val="subscript"/>
                <w:lang w:val="en-US" w:bidi="ar-SA"/>
                <w14:textFill>
                  <w14:solidFill>
                    <w14:schemeClr w14:val="tx1"/>
                  </w14:solidFill>
                </w14:textFill>
              </w:rPr>
              <w:t>9</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）、石油烃（C</w:t>
            </w:r>
            <w:r>
              <w:rPr>
                <w:rFonts w:ascii="Times New Roman" w:hAnsi="Times New Roman" w:cs="Times New Roman" w:eastAsiaTheme="minorEastAsia"/>
                <w:color w:val="000000" w:themeColor="text1"/>
                <w:w w:val="99"/>
                <w:kern w:val="2"/>
                <w:sz w:val="21"/>
                <w:szCs w:val="21"/>
                <w:vertAlign w:val="subscript"/>
                <w:lang w:val="en-US" w:bidi="ar-SA"/>
                <w14:textFill>
                  <w14:solidFill>
                    <w14:schemeClr w14:val="tx1"/>
                  </w14:solidFill>
                </w14:textFill>
              </w:rPr>
              <w:t>10</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~C</w:t>
            </w:r>
            <w:r>
              <w:rPr>
                <w:rFonts w:ascii="Times New Roman" w:hAnsi="Times New Roman" w:cs="Times New Roman" w:eastAsiaTheme="minorEastAsia"/>
                <w:color w:val="000000" w:themeColor="text1"/>
                <w:w w:val="99"/>
                <w:kern w:val="2"/>
                <w:sz w:val="21"/>
                <w:szCs w:val="21"/>
                <w:vertAlign w:val="subscript"/>
                <w:lang w:val="en-US" w:bidi="ar-SA"/>
                <w14:textFill>
                  <w14:solidFill>
                    <w14:schemeClr w14:val="tx1"/>
                  </w14:solidFill>
                </w14:textFill>
              </w:rPr>
              <w:t>40</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）、汞、砷、六价铬、</w:t>
            </w:r>
            <w:r>
              <w:rPr>
                <w:rFonts w:hint="eastAsia" w:ascii="Times New Roman" w:hAnsi="Times New Roman" w:cs="Times New Roman" w:eastAsiaTheme="minorEastAsia"/>
                <w:color w:val="000000" w:themeColor="text1"/>
                <w:w w:val="99"/>
                <w:kern w:val="2"/>
                <w:sz w:val="21"/>
                <w:szCs w:val="21"/>
                <w:lang w:val="en-US" w:bidi="ar-SA"/>
                <w14:textFill>
                  <w14:solidFill>
                    <w14:schemeClr w14:val="tx1"/>
                  </w14:solidFill>
                </w14:textFill>
              </w:rPr>
              <w:t>挥发酚、氨氮、耗氧量</w:t>
            </w:r>
          </w:p>
        </w:tc>
        <w:tc>
          <w:tcPr>
            <w:tcW w:w="4318" w:type="dxa"/>
            <w:tcBorders>
              <w:tl2br w:val="nil"/>
              <w:tr2bl w:val="nil"/>
            </w:tcBorders>
            <w:tcMar>
              <w:top w:w="28" w:type="dxa"/>
              <w:left w:w="28" w:type="dxa"/>
              <w:bottom w:w="28" w:type="dxa"/>
              <w:right w:w="28" w:type="dxa"/>
            </w:tcMar>
            <w:vAlign w:val="center"/>
          </w:tcPr>
          <w:p w14:paraId="67EDC50B">
            <w:pPr>
              <w:autoSpaceDE/>
              <w:autoSpaceDN/>
              <w:adjustRightInd w:val="0"/>
              <w:snapToGrid w:val="0"/>
              <w:spacing w:line="360" w:lineRule="exact"/>
              <w:jc w:val="both"/>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区块上游</w:t>
            </w:r>
            <w:r>
              <w:rPr>
                <w:rFonts w:ascii="Times New Roman" w:hAnsi="Times New Roman" w:cs="Times New Roman" w:eastAsiaTheme="minorEastAsia"/>
                <w:bCs/>
                <w:color w:val="000000" w:themeColor="text1"/>
                <w:w w:val="99"/>
                <w:sz w:val="21"/>
                <w:szCs w:val="21"/>
                <w:lang w:val="en-US"/>
                <w14:textFill>
                  <w14:solidFill>
                    <w14:schemeClr w14:val="tx1"/>
                  </w14:solidFill>
                </w14:textFill>
              </w:rPr>
              <w:t>好尔陶牧场苏家水井</w:t>
            </w:r>
            <w:r>
              <w:rPr>
                <w:rFonts w:ascii="Times New Roman" w:hAnsi="Times New Roman" w:cs="Times New Roman" w:eastAsiaTheme="minorEastAsia"/>
                <w:bCs/>
                <w:color w:val="000000" w:themeColor="text1"/>
                <w:w w:val="99"/>
                <w:sz w:val="21"/>
                <w:szCs w:val="21"/>
                <w14:textFill>
                  <w14:solidFill>
                    <w14:schemeClr w14:val="tx1"/>
                  </w14:solidFill>
                </w14:textFill>
              </w:rPr>
              <w:t>（</w:t>
            </w:r>
            <w:r>
              <w:rPr>
                <w:rFonts w:ascii="Times New Roman" w:hAnsi="Times New Roman" w:cs="Times New Roman" w:eastAsiaTheme="minorEastAsia"/>
                <w:bCs/>
                <w:color w:val="000000" w:themeColor="text1"/>
                <w:w w:val="99"/>
                <w:sz w:val="21"/>
                <w:szCs w:val="21"/>
                <w:lang w:val="en-US"/>
                <w14:textFill>
                  <w14:solidFill>
                    <w14:schemeClr w14:val="tx1"/>
                  </w14:solidFill>
                </w14:textFill>
              </w:rPr>
              <w:t>东经124°24′25.92″，北纬46°22′57.32″</w:t>
            </w:r>
            <w:r>
              <w:rPr>
                <w:rFonts w:ascii="Times New Roman" w:hAnsi="Times New Roman" w:cs="Times New Roman" w:eastAsiaTheme="minorEastAsia"/>
                <w:bCs/>
                <w:color w:val="000000" w:themeColor="text1"/>
                <w:w w:val="99"/>
                <w:sz w:val="21"/>
                <w:szCs w:val="21"/>
                <w14:textFill>
                  <w14:solidFill>
                    <w14:schemeClr w14:val="tx1"/>
                  </w14:solidFill>
                </w14:textFill>
              </w:rPr>
              <w:t>），区块内</w:t>
            </w:r>
            <w:r>
              <w:rPr>
                <w:rFonts w:ascii="Times New Roman" w:hAnsi="Times New Roman" w:cs="Times New Roman" w:eastAsiaTheme="minorEastAsia"/>
                <w:bCs/>
                <w:color w:val="000000" w:themeColor="text1"/>
                <w:w w:val="99"/>
                <w:sz w:val="21"/>
                <w:szCs w:val="21"/>
                <w:lang w:val="en-US"/>
                <w14:textFill>
                  <w14:solidFill>
                    <w14:schemeClr w14:val="tx1"/>
                  </w14:solidFill>
                </w14:textFill>
              </w:rPr>
              <w:t>杏树岗村张家水井</w:t>
            </w:r>
            <w:r>
              <w:rPr>
                <w:rFonts w:ascii="Times New Roman" w:hAnsi="Times New Roman" w:cs="Times New Roman" w:eastAsiaTheme="minorEastAsia"/>
                <w:bCs/>
                <w:color w:val="000000" w:themeColor="text1"/>
                <w:w w:val="99"/>
                <w:sz w:val="21"/>
                <w:szCs w:val="21"/>
                <w14:textFill>
                  <w14:solidFill>
                    <w14:schemeClr w14:val="tx1"/>
                  </w14:solidFill>
                </w14:textFill>
              </w:rPr>
              <w:t>（</w:t>
            </w:r>
            <w:r>
              <w:rPr>
                <w:rFonts w:ascii="Times New Roman" w:hAnsi="Times New Roman" w:cs="Times New Roman" w:eastAsiaTheme="minorEastAsia"/>
                <w:bCs/>
                <w:color w:val="000000" w:themeColor="text1"/>
                <w:w w:val="99"/>
                <w:sz w:val="21"/>
                <w:szCs w:val="21"/>
                <w:lang w:val="en-US"/>
                <w14:textFill>
                  <w14:solidFill>
                    <w14:schemeClr w14:val="tx1"/>
                  </w14:solidFill>
                </w14:textFill>
              </w:rPr>
              <w:t>东经124°25′45.192″，北纬46°19′10.704″</w:t>
            </w:r>
            <w:r>
              <w:rPr>
                <w:rFonts w:ascii="Times New Roman" w:hAnsi="Times New Roman" w:cs="Times New Roman" w:eastAsiaTheme="minorEastAsia"/>
                <w:bCs/>
                <w:color w:val="000000" w:themeColor="text1"/>
                <w:w w:val="99"/>
                <w:sz w:val="21"/>
                <w:szCs w:val="21"/>
                <w14:textFill>
                  <w14:solidFill>
                    <w14:schemeClr w14:val="tx1"/>
                  </w14:solidFill>
                </w14:textFill>
              </w:rPr>
              <w:t>）、</w:t>
            </w:r>
            <w:r>
              <w:rPr>
                <w:rFonts w:hint="eastAsia" w:ascii="Times New Roman" w:hAnsi="Times New Roman" w:cs="Times New Roman" w:eastAsiaTheme="minorEastAsia"/>
                <w:bCs/>
                <w:color w:val="000000" w:themeColor="text1"/>
                <w:w w:val="99"/>
                <w:sz w:val="21"/>
                <w:szCs w:val="21"/>
                <w14:textFill>
                  <w14:solidFill>
                    <w14:schemeClr w14:val="tx1"/>
                  </w14:solidFill>
                </w14:textFill>
              </w:rPr>
              <w:t>区块下游跟踪监测井</w:t>
            </w:r>
            <w:r>
              <w:rPr>
                <w:rFonts w:ascii="Times New Roman" w:hAnsi="Times New Roman" w:cs="Times New Roman" w:eastAsiaTheme="minorEastAsia"/>
                <w:bCs/>
                <w:color w:val="000000" w:themeColor="text1"/>
                <w:w w:val="99"/>
                <w:sz w:val="21"/>
                <w:szCs w:val="21"/>
                <w14:textFill>
                  <w14:solidFill>
                    <w14:schemeClr w14:val="tx1"/>
                  </w14:solidFill>
                </w14:textFill>
              </w:rPr>
              <w:t>（</w:t>
            </w:r>
            <w:r>
              <w:rPr>
                <w:rFonts w:hint="eastAsia" w:ascii="Times New Roman" w:hAnsi="Times New Roman" w:cs="Times New Roman" w:eastAsiaTheme="minorEastAsia"/>
                <w:bCs/>
                <w:color w:val="000000" w:themeColor="text1"/>
                <w:w w:val="99"/>
                <w:sz w:val="21"/>
                <w:szCs w:val="21"/>
                <w:lang w:val="en-US"/>
                <w14:textFill>
                  <w14:solidFill>
                    <w14:schemeClr w14:val="tx1"/>
                  </w14:solidFill>
                </w14:textFill>
              </w:rPr>
              <w:t>东经</w:t>
            </w:r>
            <w:r>
              <w:rPr>
                <w:rFonts w:ascii="Times New Roman" w:hAnsi="Times New Roman" w:cs="Times New Roman" w:eastAsiaTheme="minorEastAsia"/>
                <w:bCs/>
                <w:color w:val="000000" w:themeColor="text1"/>
                <w:w w:val="99"/>
                <w:sz w:val="21"/>
                <w:szCs w:val="21"/>
                <w:lang w:val="en-US"/>
                <w14:textFill>
                  <w14:solidFill>
                    <w14:schemeClr w14:val="tx1"/>
                  </w14:solidFill>
                </w14:textFill>
              </w:rPr>
              <w:t xml:space="preserve"> 124°24′31.428″，北纬46°17′7.368″</w:t>
            </w:r>
            <w:r>
              <w:rPr>
                <w:rFonts w:ascii="Times New Roman" w:hAnsi="Times New Roman" w:cs="Times New Roman" w:eastAsiaTheme="minorEastAsia"/>
                <w:bCs/>
                <w:color w:val="000000" w:themeColor="text1"/>
                <w:w w:val="99"/>
                <w:sz w:val="21"/>
                <w:szCs w:val="21"/>
                <w14:textFill>
                  <w14:solidFill>
                    <w14:schemeClr w14:val="tx1"/>
                  </w14:solidFill>
                </w14:textFill>
              </w:rPr>
              <w:t>）</w:t>
            </w:r>
          </w:p>
        </w:tc>
        <w:tc>
          <w:tcPr>
            <w:tcW w:w="1277" w:type="dxa"/>
            <w:tcBorders>
              <w:tl2br w:val="nil"/>
              <w:tr2bl w:val="nil"/>
            </w:tcBorders>
            <w:tcMar>
              <w:top w:w="28" w:type="dxa"/>
              <w:left w:w="28" w:type="dxa"/>
              <w:bottom w:w="28" w:type="dxa"/>
              <w:right w:w="28" w:type="dxa"/>
            </w:tcMar>
            <w:vAlign w:val="center"/>
          </w:tcPr>
          <w:p w14:paraId="27AD24C5">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1次/半年</w:t>
            </w:r>
          </w:p>
        </w:tc>
      </w:tr>
      <w:tr w14:paraId="329E4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33" w:type="dxa"/>
            <w:tcBorders>
              <w:tl2br w:val="nil"/>
              <w:tr2bl w:val="nil"/>
            </w:tcBorders>
            <w:tcMar>
              <w:top w:w="28" w:type="dxa"/>
              <w:left w:w="28" w:type="dxa"/>
              <w:bottom w:w="28" w:type="dxa"/>
              <w:right w:w="28" w:type="dxa"/>
            </w:tcMar>
            <w:vAlign w:val="center"/>
          </w:tcPr>
          <w:p w14:paraId="14F8C9D1">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2</w:t>
            </w:r>
          </w:p>
        </w:tc>
        <w:tc>
          <w:tcPr>
            <w:tcW w:w="926" w:type="dxa"/>
            <w:tcBorders>
              <w:tl2br w:val="nil"/>
              <w:tr2bl w:val="nil"/>
            </w:tcBorders>
            <w:tcMar>
              <w:top w:w="28" w:type="dxa"/>
              <w:left w:w="28" w:type="dxa"/>
              <w:bottom w:w="28" w:type="dxa"/>
              <w:right w:w="28" w:type="dxa"/>
            </w:tcMar>
            <w:vAlign w:val="center"/>
          </w:tcPr>
          <w:p w14:paraId="276315B8">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土壤</w:t>
            </w:r>
          </w:p>
        </w:tc>
        <w:tc>
          <w:tcPr>
            <w:tcW w:w="1874" w:type="dxa"/>
            <w:tcBorders>
              <w:tl2br w:val="nil"/>
              <w:tr2bl w:val="nil"/>
            </w:tcBorders>
            <w:tcMar>
              <w:top w:w="28" w:type="dxa"/>
              <w:left w:w="28" w:type="dxa"/>
              <w:bottom w:w="28" w:type="dxa"/>
              <w:right w:w="28" w:type="dxa"/>
            </w:tcMar>
            <w:vAlign w:val="center"/>
          </w:tcPr>
          <w:p w14:paraId="1F44EF90">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pH、</w:t>
            </w:r>
            <w:r>
              <w:rPr>
                <w:rFonts w:hint="eastAsia" w:ascii="Times New Roman" w:hAnsi="Times New Roman" w:cs="Times New Roman" w:eastAsiaTheme="minorEastAsia"/>
                <w:color w:val="000000" w:themeColor="text1"/>
                <w:w w:val="99"/>
                <w:sz w:val="21"/>
                <w:szCs w:val="21"/>
                <w14:textFill>
                  <w14:solidFill>
                    <w14:schemeClr w14:val="tx1"/>
                  </w14:solidFill>
                </w14:textFill>
              </w:rPr>
              <w:t>石油类、石油烃（</w:t>
            </w:r>
            <w:r>
              <w:rPr>
                <w:rFonts w:ascii="Times New Roman" w:hAnsi="Times New Roman" w:cs="Times New Roman" w:eastAsiaTheme="minorEastAsia"/>
                <w:color w:val="000000" w:themeColor="text1"/>
                <w:w w:val="99"/>
                <w:sz w:val="21"/>
                <w:szCs w:val="21"/>
                <w14:textFill>
                  <w14:solidFill>
                    <w14:schemeClr w14:val="tx1"/>
                  </w14:solidFill>
                </w14:textFill>
              </w:rPr>
              <w:t>C</w:t>
            </w:r>
            <w:r>
              <w:rPr>
                <w:rFonts w:ascii="Times New Roman" w:hAnsi="Times New Roman" w:cs="Times New Roman" w:eastAsiaTheme="minorEastAsia"/>
                <w:color w:val="000000" w:themeColor="text1"/>
                <w:w w:val="99"/>
                <w:sz w:val="21"/>
                <w:szCs w:val="21"/>
                <w:vertAlign w:val="subscript"/>
                <w14:textFill>
                  <w14:solidFill>
                    <w14:schemeClr w14:val="tx1"/>
                  </w14:solidFill>
                </w14:textFill>
              </w:rPr>
              <w:t>6</w:t>
            </w:r>
            <w:r>
              <w:rPr>
                <w:rFonts w:ascii="Times New Roman" w:hAnsi="Times New Roman" w:cs="Times New Roman" w:eastAsiaTheme="minorEastAsia"/>
                <w:color w:val="000000" w:themeColor="text1"/>
                <w:w w:val="99"/>
                <w:sz w:val="21"/>
                <w:szCs w:val="21"/>
                <w14:textFill>
                  <w14:solidFill>
                    <w14:schemeClr w14:val="tx1"/>
                  </w14:solidFill>
                </w14:textFill>
              </w:rPr>
              <w:t>~C</w:t>
            </w:r>
            <w:r>
              <w:rPr>
                <w:rFonts w:ascii="Times New Roman" w:hAnsi="Times New Roman" w:cs="Times New Roman" w:eastAsiaTheme="minorEastAsia"/>
                <w:color w:val="000000" w:themeColor="text1"/>
                <w:w w:val="99"/>
                <w:sz w:val="21"/>
                <w:szCs w:val="21"/>
                <w:vertAlign w:val="subscript"/>
                <w14:textFill>
                  <w14:solidFill>
                    <w14:schemeClr w14:val="tx1"/>
                  </w14:solidFill>
                </w14:textFill>
              </w:rPr>
              <w:t>9</w:t>
            </w:r>
            <w:r>
              <w:rPr>
                <w:rFonts w:ascii="Times New Roman" w:hAnsi="Times New Roman" w:cs="Times New Roman" w:eastAsiaTheme="minorEastAsia"/>
                <w:color w:val="000000" w:themeColor="text1"/>
                <w:w w:val="99"/>
                <w:sz w:val="21"/>
                <w:szCs w:val="21"/>
                <w14:textFill>
                  <w14:solidFill>
                    <w14:schemeClr w14:val="tx1"/>
                  </w14:solidFill>
                </w14:textFill>
              </w:rPr>
              <w:t>）、石油烃（C</w:t>
            </w:r>
            <w:r>
              <w:rPr>
                <w:rFonts w:ascii="Times New Roman" w:hAnsi="Times New Roman" w:cs="Times New Roman" w:eastAsiaTheme="minorEastAsia"/>
                <w:color w:val="000000" w:themeColor="text1"/>
                <w:w w:val="99"/>
                <w:sz w:val="21"/>
                <w:szCs w:val="21"/>
                <w:vertAlign w:val="subscript"/>
                <w14:textFill>
                  <w14:solidFill>
                    <w14:schemeClr w14:val="tx1"/>
                  </w14:solidFill>
                </w14:textFill>
              </w:rPr>
              <w:t>10</w:t>
            </w:r>
            <w:r>
              <w:rPr>
                <w:rFonts w:ascii="Times New Roman" w:hAnsi="Times New Roman" w:cs="Times New Roman" w:eastAsiaTheme="minorEastAsia"/>
                <w:color w:val="000000" w:themeColor="text1"/>
                <w:w w:val="99"/>
                <w:sz w:val="21"/>
                <w:szCs w:val="21"/>
                <w14:textFill>
                  <w14:solidFill>
                    <w14:schemeClr w14:val="tx1"/>
                  </w14:solidFill>
                </w14:textFill>
              </w:rPr>
              <w:t>~C</w:t>
            </w:r>
            <w:r>
              <w:rPr>
                <w:rFonts w:ascii="Times New Roman" w:hAnsi="Times New Roman" w:cs="Times New Roman" w:eastAsiaTheme="minorEastAsia"/>
                <w:color w:val="000000" w:themeColor="text1"/>
                <w:w w:val="99"/>
                <w:sz w:val="21"/>
                <w:szCs w:val="21"/>
                <w:vertAlign w:val="subscript"/>
                <w14:textFill>
                  <w14:solidFill>
                    <w14:schemeClr w14:val="tx1"/>
                  </w14:solidFill>
                </w14:textFill>
              </w:rPr>
              <w:t>40</w:t>
            </w:r>
            <w:r>
              <w:rPr>
                <w:rFonts w:ascii="Times New Roman" w:hAnsi="Times New Roman" w:cs="Times New Roman" w:eastAsiaTheme="minorEastAsia"/>
                <w:color w:val="000000" w:themeColor="text1"/>
                <w:w w:val="99"/>
                <w:sz w:val="21"/>
                <w:szCs w:val="21"/>
                <w14:textFill>
                  <w14:solidFill>
                    <w14:schemeClr w14:val="tx1"/>
                  </w14:solidFill>
                </w14:textFill>
              </w:rPr>
              <w:t>）、汞、砷、六价铬</w:t>
            </w:r>
          </w:p>
        </w:tc>
        <w:tc>
          <w:tcPr>
            <w:tcW w:w="4318" w:type="dxa"/>
            <w:tcBorders>
              <w:tl2br w:val="nil"/>
              <w:tr2bl w:val="nil"/>
            </w:tcBorders>
            <w:tcMar>
              <w:top w:w="28" w:type="dxa"/>
              <w:left w:w="28" w:type="dxa"/>
              <w:bottom w:w="28" w:type="dxa"/>
              <w:right w:w="28" w:type="dxa"/>
            </w:tcMar>
            <w:vAlign w:val="center"/>
          </w:tcPr>
          <w:p w14:paraId="32A7383C">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混输阀组间、混输阀组间南侧200m耕地</w:t>
            </w:r>
          </w:p>
        </w:tc>
        <w:tc>
          <w:tcPr>
            <w:tcW w:w="1277" w:type="dxa"/>
            <w:tcBorders>
              <w:tl2br w:val="nil"/>
              <w:tr2bl w:val="nil"/>
            </w:tcBorders>
            <w:tcMar>
              <w:top w:w="28" w:type="dxa"/>
              <w:left w:w="28" w:type="dxa"/>
              <w:bottom w:w="28" w:type="dxa"/>
              <w:right w:w="28" w:type="dxa"/>
            </w:tcMar>
            <w:vAlign w:val="center"/>
          </w:tcPr>
          <w:p w14:paraId="5425363B">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1次/3年</w:t>
            </w:r>
          </w:p>
        </w:tc>
      </w:tr>
    </w:tbl>
    <w:p w14:paraId="0B02C023">
      <w:pPr>
        <w:spacing w:line="440" w:lineRule="exact"/>
        <w:ind w:firstLine="476" w:firstLineChars="200"/>
        <w:jc w:val="both"/>
        <w:rPr>
          <w:rFonts w:ascii="Times New Roman" w:hAnsi="Times New Roman" w:cs="Times New Roman" w:eastAsiaTheme="minorEastAsia"/>
          <w:b/>
          <w:color w:val="000000" w:themeColor="text1"/>
          <w:w w:val="99"/>
          <w:kern w:val="2"/>
          <w:sz w:val="24"/>
          <w:szCs w:val="24"/>
          <w14:textFill>
            <w14:solidFill>
              <w14:schemeClr w14:val="tx1"/>
            </w14:solidFill>
          </w14:textFill>
        </w:rPr>
      </w:pPr>
      <w:r>
        <w:rPr>
          <w:rFonts w:ascii="Times New Roman" w:hAnsi="Times New Roman" w:cs="Times New Roman" w:eastAsiaTheme="minorEastAsia"/>
          <w:b/>
          <w:color w:val="000000" w:themeColor="text1"/>
          <w:w w:val="99"/>
          <w:kern w:val="2"/>
          <w:sz w:val="24"/>
          <w:szCs w:val="24"/>
          <w14:textFill>
            <w14:solidFill>
              <w14:schemeClr w14:val="tx1"/>
            </w14:solidFill>
          </w14:textFill>
        </w:rPr>
        <w:t>表8.6-3   生态监测方案</w:t>
      </w:r>
    </w:p>
    <w:tbl>
      <w:tblPr>
        <w:tblStyle w:val="8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748"/>
        <w:gridCol w:w="1605"/>
        <w:gridCol w:w="2822"/>
        <w:gridCol w:w="2106"/>
        <w:gridCol w:w="1849"/>
      </w:tblGrid>
      <w:tr w14:paraId="46604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742" w:type="dxa"/>
            <w:tcMar>
              <w:top w:w="28" w:type="dxa"/>
              <w:left w:w="28" w:type="dxa"/>
              <w:bottom w:w="28" w:type="dxa"/>
              <w:right w:w="28" w:type="dxa"/>
            </w:tcMar>
            <w:vAlign w:val="center"/>
          </w:tcPr>
          <w:p w14:paraId="0391B651">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序号</w:t>
            </w:r>
          </w:p>
        </w:tc>
        <w:tc>
          <w:tcPr>
            <w:tcW w:w="1593" w:type="dxa"/>
            <w:tcMar>
              <w:top w:w="28" w:type="dxa"/>
              <w:left w:w="28" w:type="dxa"/>
              <w:bottom w:w="28" w:type="dxa"/>
              <w:right w:w="28" w:type="dxa"/>
            </w:tcMar>
            <w:vAlign w:val="center"/>
          </w:tcPr>
          <w:p w14:paraId="080BEC5D">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监测因子</w:t>
            </w:r>
          </w:p>
        </w:tc>
        <w:tc>
          <w:tcPr>
            <w:tcW w:w="2800" w:type="dxa"/>
            <w:tcMar>
              <w:top w:w="28" w:type="dxa"/>
              <w:left w:w="28" w:type="dxa"/>
              <w:bottom w:w="28" w:type="dxa"/>
              <w:right w:w="28" w:type="dxa"/>
            </w:tcMar>
            <w:vAlign w:val="center"/>
          </w:tcPr>
          <w:p w14:paraId="4C776255">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监测方法</w:t>
            </w:r>
          </w:p>
        </w:tc>
        <w:tc>
          <w:tcPr>
            <w:tcW w:w="2090" w:type="dxa"/>
            <w:tcMar>
              <w:top w:w="28" w:type="dxa"/>
              <w:left w:w="28" w:type="dxa"/>
              <w:bottom w:w="28" w:type="dxa"/>
              <w:right w:w="28" w:type="dxa"/>
            </w:tcMar>
            <w:vAlign w:val="center"/>
          </w:tcPr>
          <w:p w14:paraId="1B0439B6">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点位</w:t>
            </w:r>
          </w:p>
        </w:tc>
        <w:tc>
          <w:tcPr>
            <w:tcW w:w="1835" w:type="dxa"/>
            <w:tcMar>
              <w:top w:w="28" w:type="dxa"/>
              <w:left w:w="28" w:type="dxa"/>
              <w:bottom w:w="28" w:type="dxa"/>
              <w:right w:w="28" w:type="dxa"/>
            </w:tcMar>
            <w:vAlign w:val="center"/>
          </w:tcPr>
          <w:p w14:paraId="0C26C500">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监测频次</w:t>
            </w:r>
          </w:p>
        </w:tc>
      </w:tr>
      <w:tr w14:paraId="1B98B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742" w:type="dxa"/>
            <w:tcMar>
              <w:top w:w="28" w:type="dxa"/>
              <w:left w:w="28" w:type="dxa"/>
              <w:bottom w:w="28" w:type="dxa"/>
              <w:right w:w="28" w:type="dxa"/>
            </w:tcMar>
            <w:vAlign w:val="center"/>
          </w:tcPr>
          <w:p w14:paraId="76BF8786">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1</w:t>
            </w:r>
          </w:p>
        </w:tc>
        <w:tc>
          <w:tcPr>
            <w:tcW w:w="1593" w:type="dxa"/>
            <w:tcMar>
              <w:top w:w="28" w:type="dxa"/>
              <w:left w:w="28" w:type="dxa"/>
              <w:bottom w:w="28" w:type="dxa"/>
              <w:right w:w="28" w:type="dxa"/>
            </w:tcMar>
            <w:vAlign w:val="center"/>
          </w:tcPr>
          <w:p w14:paraId="2CBF1133">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植被恢复情况</w:t>
            </w:r>
          </w:p>
        </w:tc>
        <w:tc>
          <w:tcPr>
            <w:tcW w:w="2800" w:type="dxa"/>
            <w:tcMar>
              <w:top w:w="28" w:type="dxa"/>
              <w:left w:w="28" w:type="dxa"/>
              <w:bottom w:w="28" w:type="dxa"/>
              <w:right w:w="28" w:type="dxa"/>
            </w:tcMar>
            <w:vAlign w:val="center"/>
          </w:tcPr>
          <w:p w14:paraId="39038C32">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样方调查</w:t>
            </w:r>
          </w:p>
        </w:tc>
        <w:tc>
          <w:tcPr>
            <w:tcW w:w="2090" w:type="dxa"/>
            <w:tcMar>
              <w:top w:w="28" w:type="dxa"/>
              <w:left w:w="28" w:type="dxa"/>
              <w:bottom w:w="28" w:type="dxa"/>
              <w:right w:w="28" w:type="dxa"/>
            </w:tcMar>
            <w:vAlign w:val="center"/>
          </w:tcPr>
          <w:p w14:paraId="58263C9E">
            <w:pPr>
              <w:snapToGrid w:val="0"/>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临时占地内</w:t>
            </w:r>
          </w:p>
        </w:tc>
        <w:tc>
          <w:tcPr>
            <w:tcW w:w="1835" w:type="dxa"/>
            <w:tcMar>
              <w:top w:w="28" w:type="dxa"/>
              <w:left w:w="28" w:type="dxa"/>
              <w:bottom w:w="28" w:type="dxa"/>
              <w:right w:w="28" w:type="dxa"/>
            </w:tcMar>
            <w:vAlign w:val="center"/>
          </w:tcPr>
          <w:p w14:paraId="4DF06D2A">
            <w:pPr>
              <w:spacing w:line="360" w:lineRule="exact"/>
              <w:jc w:val="center"/>
              <w:rPr>
                <w:rFonts w:ascii="Times New Roman" w:hAnsi="Times New Roman" w:cs="Times New Roman" w:eastAsiaTheme="minorEastAsia"/>
                <w:color w:val="000000" w:themeColor="text1"/>
                <w:w w:val="99"/>
                <w:sz w:val="21"/>
                <w:szCs w:val="21"/>
                <w14:textFill>
                  <w14:solidFill>
                    <w14:schemeClr w14:val="tx1"/>
                  </w14:solidFill>
                </w14:textFill>
              </w:rPr>
            </w:pPr>
            <w:r>
              <w:rPr>
                <w:rFonts w:ascii="Times New Roman" w:hAnsi="Times New Roman" w:cs="Times New Roman" w:eastAsiaTheme="minorEastAsia"/>
                <w:color w:val="000000" w:themeColor="text1"/>
                <w:w w:val="99"/>
                <w:sz w:val="21"/>
                <w:szCs w:val="21"/>
                <w14:textFill>
                  <w14:solidFill>
                    <w14:schemeClr w14:val="tx1"/>
                  </w14:solidFill>
                </w14:textFill>
              </w:rPr>
              <w:t>全生命周期内每年1次</w:t>
            </w:r>
          </w:p>
        </w:tc>
      </w:tr>
    </w:tbl>
    <w:p w14:paraId="66394025">
      <w:pPr>
        <w:pStyle w:val="4"/>
        <w:autoSpaceDE/>
        <w:autoSpaceDN/>
        <w:spacing w:before="120" w:after="120" w:line="44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573" w:name="_Toc117794665"/>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8.7 “三同时”项目一览表</w:t>
      </w:r>
      <w:bookmarkEnd w:id="573"/>
    </w:p>
    <w:p w14:paraId="3D5EA92D">
      <w:pPr>
        <w:pStyle w:val="105"/>
        <w:spacing w:beforeLines="0" w:line="44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施工期环保工程应保留影像资料，以备验收查验。本评价列出“三同时”项目表和竣工验收监测与调查的相关要求，具体内容见表</w:t>
      </w:r>
      <w:r>
        <w:rPr>
          <w:rFonts w:ascii="Times New Roman" w:hAnsi="Times New Roman" w:cs="Times New Roman" w:eastAsiaTheme="minorEastAsia"/>
          <w:color w:val="000000" w:themeColor="text1"/>
          <w:w w:val="99"/>
          <w:sz w:val="24"/>
          <w:szCs w:val="24"/>
          <w:lang w:val="en-US"/>
          <w14:textFill>
            <w14:solidFill>
              <w14:schemeClr w14:val="tx1"/>
            </w14:solidFill>
          </w14:textFill>
        </w:rPr>
        <w:t>8.7-1、表8.7-2。</w:t>
      </w:r>
    </w:p>
    <w:p w14:paraId="738D061A">
      <w:pPr>
        <w:pStyle w:val="105"/>
        <w:spacing w:beforeLines="0" w:line="440" w:lineRule="exact"/>
        <w:ind w:firstLine="476" w:firstLineChars="200"/>
        <w:jc w:val="both"/>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r>
        <w:rPr>
          <w:rFonts w:ascii="Times New Roman" w:hAnsi="Times New Roman" w:cs="Times New Roman" w:eastAsiaTheme="minorEastAsia"/>
          <w:b/>
          <w:bCs/>
          <w:color w:val="000000" w:themeColor="text1"/>
          <w:w w:val="99"/>
          <w:sz w:val="24"/>
          <w:szCs w:val="24"/>
          <w14:textFill>
            <w14:solidFill>
              <w14:schemeClr w14:val="tx1"/>
            </w14:solidFill>
          </w14:textFill>
        </w:rPr>
        <w:t>表</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8.7-1      项目“三同时”一览表</w:t>
      </w:r>
    </w:p>
    <w:tbl>
      <w:tblPr>
        <w:tblStyle w:val="80"/>
        <w:tblW w:w="8996" w:type="dxa"/>
        <w:tblInd w:w="10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32"/>
        <w:gridCol w:w="567"/>
        <w:gridCol w:w="992"/>
        <w:gridCol w:w="3685"/>
        <w:gridCol w:w="3320"/>
      </w:tblGrid>
      <w:tr w14:paraId="524704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95" w:hRule="atLeast"/>
        </w:trPr>
        <w:tc>
          <w:tcPr>
            <w:tcW w:w="999" w:type="dxa"/>
            <w:gridSpan w:val="2"/>
            <w:vAlign w:val="center"/>
          </w:tcPr>
          <w:p w14:paraId="042FFCB9">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类别</w:t>
            </w:r>
          </w:p>
        </w:tc>
        <w:tc>
          <w:tcPr>
            <w:tcW w:w="992" w:type="dxa"/>
            <w:vAlign w:val="center"/>
          </w:tcPr>
          <w:p w14:paraId="3FFF00A0">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防治内容</w:t>
            </w:r>
          </w:p>
        </w:tc>
        <w:tc>
          <w:tcPr>
            <w:tcW w:w="3685" w:type="dxa"/>
            <w:vAlign w:val="center"/>
          </w:tcPr>
          <w:p w14:paraId="34C7D58A">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环保措施</w:t>
            </w:r>
          </w:p>
        </w:tc>
        <w:tc>
          <w:tcPr>
            <w:tcW w:w="3320" w:type="dxa"/>
            <w:vAlign w:val="center"/>
          </w:tcPr>
          <w:p w14:paraId="7157D9AF">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验收标准和验收要求</w:t>
            </w:r>
          </w:p>
        </w:tc>
      </w:tr>
      <w:tr w14:paraId="64D9DA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1" w:hRule="atLeast"/>
        </w:trPr>
        <w:tc>
          <w:tcPr>
            <w:tcW w:w="432" w:type="dxa"/>
            <w:vMerge w:val="restart"/>
            <w:vAlign w:val="center"/>
          </w:tcPr>
          <w:p w14:paraId="0984EBD6">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施工期</w:t>
            </w:r>
          </w:p>
        </w:tc>
        <w:tc>
          <w:tcPr>
            <w:tcW w:w="567" w:type="dxa"/>
            <w:vAlign w:val="center"/>
          </w:tcPr>
          <w:p w14:paraId="4B5826D7">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废气</w:t>
            </w:r>
          </w:p>
        </w:tc>
        <w:tc>
          <w:tcPr>
            <w:tcW w:w="992" w:type="dxa"/>
            <w:vAlign w:val="center"/>
          </w:tcPr>
          <w:p w14:paraId="0FD6E57E">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施工期扬尘</w:t>
            </w:r>
          </w:p>
        </w:tc>
        <w:tc>
          <w:tcPr>
            <w:tcW w:w="3685" w:type="dxa"/>
            <w:vAlign w:val="center"/>
          </w:tcPr>
          <w:p w14:paraId="422ECF04">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及时洒水、临时土方和运输车辆等加盖苫布等遮盖物</w:t>
            </w:r>
          </w:p>
        </w:tc>
        <w:tc>
          <w:tcPr>
            <w:tcW w:w="3320" w:type="dxa"/>
            <w:vAlign w:val="center"/>
          </w:tcPr>
          <w:p w14:paraId="18C8A7CB">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施工场界执行《大气污染物排放标准》（GB16297-1996）颗粒物无组织排放限值：≤1.0mg/m</w:t>
            </w:r>
            <w:r>
              <w:rPr>
                <w:rFonts w:ascii="Times New Roman" w:hAnsi="Times New Roman" w:cs="Times New Roman" w:eastAsiaTheme="minorEastAsia"/>
                <w:color w:val="000000" w:themeColor="text1"/>
                <w:w w:val="99"/>
                <w:kern w:val="2"/>
                <w:sz w:val="21"/>
                <w:szCs w:val="21"/>
                <w:vertAlign w:val="superscript"/>
                <w:lang w:val="en-US" w:bidi="ar-SA"/>
                <w14:textFill>
                  <w14:solidFill>
                    <w14:schemeClr w14:val="tx1"/>
                  </w14:solidFill>
                </w14:textFill>
              </w:rPr>
              <w:t>3</w:t>
            </w:r>
          </w:p>
        </w:tc>
      </w:tr>
      <w:tr w14:paraId="537079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1" w:hRule="atLeast"/>
        </w:trPr>
        <w:tc>
          <w:tcPr>
            <w:tcW w:w="432" w:type="dxa"/>
            <w:vMerge w:val="continue"/>
            <w:vAlign w:val="center"/>
          </w:tcPr>
          <w:p w14:paraId="1499C294">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567" w:type="dxa"/>
            <w:vMerge w:val="restart"/>
            <w:vAlign w:val="center"/>
          </w:tcPr>
          <w:p w14:paraId="69CA571E">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废水</w:t>
            </w:r>
          </w:p>
        </w:tc>
        <w:tc>
          <w:tcPr>
            <w:tcW w:w="992" w:type="dxa"/>
            <w:vAlign w:val="center"/>
          </w:tcPr>
          <w:p w14:paraId="127D1250">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施工人员生活污水</w:t>
            </w:r>
          </w:p>
        </w:tc>
        <w:tc>
          <w:tcPr>
            <w:tcW w:w="3685" w:type="dxa"/>
            <w:vAlign w:val="center"/>
          </w:tcPr>
          <w:p w14:paraId="63343691">
            <w:pPr>
              <w:autoSpaceDE/>
              <w:autoSpaceDN/>
              <w:snapToGrid w:val="0"/>
              <w:spacing w:line="360" w:lineRule="exact"/>
              <w:jc w:val="center"/>
              <w:rPr>
                <w:rFonts w:ascii="Times New Roman" w:hAnsi="Times New Roman" w:cs="Times New Roman" w:eastAsiaTheme="minorEastAsia"/>
                <w:snapToGrid w:val="0"/>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14:textFill>
                  <w14:solidFill>
                    <w14:schemeClr w14:val="tx1"/>
                  </w14:solidFill>
                </w14:textFill>
              </w:rPr>
              <w:t>排入拉油点已建防渗旱厕，定期清掏外运堆肥处理</w:t>
            </w:r>
          </w:p>
        </w:tc>
        <w:tc>
          <w:tcPr>
            <w:tcW w:w="3320" w:type="dxa"/>
            <w:vAlign w:val="center"/>
          </w:tcPr>
          <w:p w14:paraId="651E38A8">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不外排</w:t>
            </w:r>
          </w:p>
        </w:tc>
      </w:tr>
      <w:tr w14:paraId="680671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65" w:hRule="atLeast"/>
        </w:trPr>
        <w:tc>
          <w:tcPr>
            <w:tcW w:w="432" w:type="dxa"/>
            <w:vMerge w:val="continue"/>
            <w:vAlign w:val="center"/>
          </w:tcPr>
          <w:p w14:paraId="1CDF958D">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567" w:type="dxa"/>
            <w:vMerge w:val="continue"/>
            <w:vAlign w:val="center"/>
          </w:tcPr>
          <w:p w14:paraId="487908CE">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992" w:type="dxa"/>
            <w:vAlign w:val="center"/>
          </w:tcPr>
          <w:p w14:paraId="6653A4B8">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试压废水</w:t>
            </w:r>
          </w:p>
        </w:tc>
        <w:tc>
          <w:tcPr>
            <w:tcW w:w="3685" w:type="dxa"/>
            <w:vAlign w:val="center"/>
          </w:tcPr>
          <w:p w14:paraId="31E31789">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由罐车拉运至龙一联含油污水处理站处理后回注油层，不外排</w:t>
            </w:r>
          </w:p>
        </w:tc>
        <w:tc>
          <w:tcPr>
            <w:tcW w:w="3320" w:type="dxa"/>
            <w:vAlign w:val="center"/>
          </w:tcPr>
          <w:p w14:paraId="700AC3CD">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执行《大庆油田地面工程建设设计规定》（Q/SYDQ0639-2015）限值（含油量≤8mg/L、悬浮固体含量≤3mg/L、粒径中值≤2μm）</w:t>
            </w:r>
          </w:p>
        </w:tc>
      </w:tr>
      <w:tr w14:paraId="07E656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1" w:hRule="atLeast"/>
        </w:trPr>
        <w:tc>
          <w:tcPr>
            <w:tcW w:w="432" w:type="dxa"/>
            <w:vMerge w:val="continue"/>
            <w:vAlign w:val="center"/>
          </w:tcPr>
          <w:p w14:paraId="5913E98C">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567" w:type="dxa"/>
            <w:vMerge w:val="restart"/>
            <w:vAlign w:val="center"/>
          </w:tcPr>
          <w:p w14:paraId="6BF382B0">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固废</w:t>
            </w:r>
          </w:p>
        </w:tc>
        <w:tc>
          <w:tcPr>
            <w:tcW w:w="992" w:type="dxa"/>
            <w:vAlign w:val="center"/>
          </w:tcPr>
          <w:p w14:paraId="77E98A2D">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清淤油泥</w:t>
            </w:r>
          </w:p>
        </w:tc>
        <w:tc>
          <w:tcPr>
            <w:tcW w:w="3685" w:type="dxa"/>
            <w:vAlign w:val="center"/>
          </w:tcPr>
          <w:p w14:paraId="5566E472">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由罐车拉运至</w:t>
            </w:r>
            <w:r>
              <w:rPr>
                <w:rFonts w:hint="eastAsia" w:ascii="Times New Roman" w:hAnsi="Times New Roman" w:cs="Times New Roman" w:eastAsiaTheme="minorEastAsia"/>
                <w:bCs/>
                <w:color w:val="000000" w:themeColor="text1"/>
                <w:w w:val="99"/>
                <w:kern w:val="2"/>
                <w:sz w:val="21"/>
                <w:szCs w:val="21"/>
                <w:lang w:val="en-US" w:eastAsia="zh-CN" w:bidi="ar-SA"/>
                <w14:textFill>
                  <w14:solidFill>
                    <w14:schemeClr w14:val="tx1"/>
                  </w14:solidFill>
                </w14:textFill>
              </w:rPr>
              <w:t>第五采油厂</w:t>
            </w: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含油污泥处理站处理达标后用于铺垫井场及通井路</w:t>
            </w:r>
          </w:p>
        </w:tc>
        <w:tc>
          <w:tcPr>
            <w:tcW w:w="3320" w:type="dxa"/>
            <w:vAlign w:val="center"/>
          </w:tcPr>
          <w:p w14:paraId="6756CC3E">
            <w:pPr>
              <w:autoSpaceDE/>
              <w:autoSpaceDN/>
              <w:adjustRightInd w:val="0"/>
              <w:snapToGrid w:val="0"/>
              <w:spacing w:line="360" w:lineRule="exact"/>
              <w:jc w:val="center"/>
              <w:rPr>
                <w:rFonts w:ascii="Times New Roman" w:hAnsi="Times New Roman" w:cs="Times New Roman" w:eastAsiaTheme="minorEastAsia"/>
                <w:bCs/>
                <w:i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iCs/>
                <w:color w:val="000000" w:themeColor="text1"/>
                <w:w w:val="99"/>
                <w:kern w:val="2"/>
                <w:sz w:val="21"/>
                <w:szCs w:val="21"/>
                <w:lang w:val="en-US" w:bidi="ar-SA"/>
                <w14:textFill>
                  <w14:solidFill>
                    <w14:schemeClr w14:val="tx1"/>
                  </w14:solidFill>
                </w14:textFill>
              </w:rPr>
              <w:t>执行《油田含油污泥处置与利用污染控制要求》（DB23/T 3104-2022）表1中限制要求</w:t>
            </w:r>
          </w:p>
        </w:tc>
      </w:tr>
      <w:tr w14:paraId="49F992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1" w:hRule="atLeast"/>
        </w:trPr>
        <w:tc>
          <w:tcPr>
            <w:tcW w:w="432" w:type="dxa"/>
            <w:vMerge w:val="continue"/>
            <w:vAlign w:val="center"/>
          </w:tcPr>
          <w:p w14:paraId="5A4D8503">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567" w:type="dxa"/>
            <w:vMerge w:val="continue"/>
            <w:vAlign w:val="center"/>
          </w:tcPr>
          <w:p w14:paraId="6AF49DDA">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992" w:type="dxa"/>
            <w:vAlign w:val="center"/>
          </w:tcPr>
          <w:p w14:paraId="4558A543">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施工废料</w:t>
            </w:r>
          </w:p>
        </w:tc>
        <w:tc>
          <w:tcPr>
            <w:tcW w:w="3685" w:type="dxa"/>
            <w:vAlign w:val="center"/>
          </w:tcPr>
          <w:p w14:paraId="74C8D8EC">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拉运至第八采油厂工业固废填埋场处理</w:t>
            </w:r>
          </w:p>
        </w:tc>
        <w:tc>
          <w:tcPr>
            <w:tcW w:w="3320" w:type="dxa"/>
            <w:vAlign w:val="center"/>
          </w:tcPr>
          <w:p w14:paraId="5836D0EA">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iCs/>
                <w:color w:val="000000" w:themeColor="text1"/>
                <w:w w:val="99"/>
                <w:kern w:val="2"/>
                <w:sz w:val="21"/>
                <w:szCs w:val="21"/>
                <w:lang w:val="en-US" w:bidi="ar-SA"/>
                <w14:textFill>
                  <w14:solidFill>
                    <w14:schemeClr w14:val="tx1"/>
                  </w14:solidFill>
                </w14:textFill>
              </w:rPr>
              <w:t>《一般工业固体废物贮存和填埋污染控制标准》（GB18599-2020）中第Ⅰ类一般工业固体废物标准</w:t>
            </w:r>
          </w:p>
        </w:tc>
      </w:tr>
      <w:tr w14:paraId="2ED4B8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1" w:hRule="atLeast"/>
        </w:trPr>
        <w:tc>
          <w:tcPr>
            <w:tcW w:w="432" w:type="dxa"/>
            <w:vMerge w:val="continue"/>
            <w:vAlign w:val="center"/>
          </w:tcPr>
          <w:p w14:paraId="09C56E6D">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567" w:type="dxa"/>
            <w:vMerge w:val="continue"/>
            <w:vAlign w:val="center"/>
          </w:tcPr>
          <w:p w14:paraId="7629F51B">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992" w:type="dxa"/>
            <w:vAlign w:val="center"/>
          </w:tcPr>
          <w:p w14:paraId="42ACFEC6">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建筑垃圾</w:t>
            </w:r>
          </w:p>
        </w:tc>
        <w:tc>
          <w:tcPr>
            <w:tcW w:w="3685" w:type="dxa"/>
            <w:vAlign w:val="center"/>
          </w:tcPr>
          <w:p w14:paraId="01B6D66A">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由施工单位拉运至大庆市</w:t>
            </w:r>
            <w:r>
              <w:rPr>
                <w:rFonts w:hint="eastAsia" w:ascii="Times New Roman" w:hAnsi="Times New Roman" w:cs="Times New Roman" w:eastAsiaTheme="minorEastAsia"/>
                <w:color w:val="000000" w:themeColor="text1"/>
                <w:w w:val="99"/>
                <w:kern w:val="2"/>
                <w:sz w:val="21"/>
                <w:szCs w:val="21"/>
                <w:lang w:val="en-US" w:eastAsia="zh-CN" w:bidi="ar-SA"/>
                <w14:textFill>
                  <w14:solidFill>
                    <w14:schemeClr w14:val="tx1"/>
                  </w14:solidFill>
                </w14:textFill>
              </w:rPr>
              <w:t>红岗区杏树岗镇</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建筑垃圾消纳场处理</w:t>
            </w:r>
          </w:p>
        </w:tc>
        <w:tc>
          <w:tcPr>
            <w:tcW w:w="3320" w:type="dxa"/>
            <w:vAlign w:val="center"/>
          </w:tcPr>
          <w:p w14:paraId="5E4C43DF">
            <w:pPr>
              <w:autoSpaceDE/>
              <w:autoSpaceDN/>
              <w:adjustRightInd w:val="0"/>
              <w:snapToGrid w:val="0"/>
              <w:spacing w:line="360" w:lineRule="exact"/>
              <w:jc w:val="center"/>
              <w:rPr>
                <w:rFonts w:ascii="Times New Roman" w:hAnsi="Times New Roman" w:cs="Times New Roman" w:eastAsiaTheme="minorEastAsia"/>
                <w:bCs/>
                <w:i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iCs/>
                <w:color w:val="000000" w:themeColor="text1"/>
                <w:w w:val="99"/>
                <w:kern w:val="2"/>
                <w:sz w:val="21"/>
                <w:szCs w:val="21"/>
                <w:lang w:val="en-US"/>
                <w14:textFill>
                  <w14:solidFill>
                    <w14:schemeClr w14:val="tx1"/>
                  </w14:solidFill>
                </w14:textFill>
              </w:rPr>
              <w:t>100%处置</w:t>
            </w:r>
          </w:p>
        </w:tc>
      </w:tr>
      <w:tr w14:paraId="32A52E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1" w:hRule="atLeast"/>
        </w:trPr>
        <w:tc>
          <w:tcPr>
            <w:tcW w:w="432" w:type="dxa"/>
            <w:vMerge w:val="continue"/>
            <w:vAlign w:val="center"/>
          </w:tcPr>
          <w:p w14:paraId="4695D6F6">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567" w:type="dxa"/>
            <w:vMerge w:val="continue"/>
            <w:vAlign w:val="center"/>
          </w:tcPr>
          <w:p w14:paraId="7D6486BC">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992" w:type="dxa"/>
            <w:vAlign w:val="center"/>
          </w:tcPr>
          <w:p w14:paraId="1491E5AB">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废旧设备</w:t>
            </w:r>
          </w:p>
        </w:tc>
        <w:tc>
          <w:tcPr>
            <w:tcW w:w="3685" w:type="dxa"/>
            <w:vAlign w:val="center"/>
          </w:tcPr>
          <w:p w14:paraId="3C247EE7">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
                <w:sz w:val="21"/>
                <w:szCs w:val="21"/>
                <w:lang w:val="en-US" w:bidi="ar-SA"/>
                <w14:textFill>
                  <w14:solidFill>
                    <w14:schemeClr w14:val="tx1"/>
                  </w14:solidFill>
                </w14:textFill>
              </w:rPr>
              <w:t>全部</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回收至</w:t>
            </w:r>
            <w:r>
              <w:rPr>
                <w:rFonts w:hint="eastAsia" w:ascii="Times New Roman" w:hAnsi="Times New Roman" w:cs="Times New Roman" w:eastAsiaTheme="minorEastAsia"/>
                <w:color w:val="000000" w:themeColor="text1"/>
                <w:w w:val="99"/>
                <w:kern w:val="2"/>
                <w:sz w:val="21"/>
                <w:szCs w:val="21"/>
                <w:lang w:val="en-US" w:eastAsia="zh-CN" w:bidi="ar-SA"/>
                <w14:textFill>
                  <w14:solidFill>
                    <w14:schemeClr w14:val="tx1"/>
                  </w14:solidFill>
                </w14:textFill>
              </w:rPr>
              <w:t>第五采油厂</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物资库再利用</w:t>
            </w:r>
          </w:p>
        </w:tc>
        <w:tc>
          <w:tcPr>
            <w:tcW w:w="3320" w:type="dxa"/>
            <w:vAlign w:val="center"/>
          </w:tcPr>
          <w:p w14:paraId="5F253D15">
            <w:pPr>
              <w:autoSpaceDE/>
              <w:autoSpaceDN/>
              <w:adjustRightInd w:val="0"/>
              <w:snapToGrid w:val="0"/>
              <w:spacing w:line="360" w:lineRule="exact"/>
              <w:jc w:val="center"/>
              <w:rPr>
                <w:rFonts w:ascii="Times New Roman" w:hAnsi="Times New Roman" w:cs="Times New Roman" w:eastAsiaTheme="minorEastAsia"/>
                <w:bCs/>
                <w:iCs/>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iCs/>
                <w:color w:val="000000" w:themeColor="text1"/>
                <w:w w:val="99"/>
                <w:kern w:val="2"/>
                <w:sz w:val="21"/>
                <w:szCs w:val="21"/>
                <w:lang w:val="en-US"/>
                <w14:textFill>
                  <w14:solidFill>
                    <w14:schemeClr w14:val="tx1"/>
                  </w14:solidFill>
                </w14:textFill>
              </w:rPr>
              <w:t>回收利用</w:t>
            </w:r>
          </w:p>
        </w:tc>
      </w:tr>
      <w:tr w14:paraId="455A88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1" w:hRule="atLeast"/>
        </w:trPr>
        <w:tc>
          <w:tcPr>
            <w:tcW w:w="432" w:type="dxa"/>
            <w:vMerge w:val="continue"/>
            <w:vAlign w:val="center"/>
          </w:tcPr>
          <w:p w14:paraId="0676FFA4">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567" w:type="dxa"/>
            <w:vMerge w:val="continue"/>
            <w:vAlign w:val="center"/>
          </w:tcPr>
          <w:p w14:paraId="1E39EBB4">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992" w:type="dxa"/>
            <w:vAlign w:val="center"/>
          </w:tcPr>
          <w:p w14:paraId="2F1429EA">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生活垃圾</w:t>
            </w:r>
          </w:p>
        </w:tc>
        <w:tc>
          <w:tcPr>
            <w:tcW w:w="3685" w:type="dxa"/>
            <w:vAlign w:val="center"/>
          </w:tcPr>
          <w:p w14:paraId="3398C176">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
                <w14:textFill>
                  <w14:solidFill>
                    <w14:schemeClr w14:val="tx1"/>
                  </w14:solidFill>
                </w14:textFill>
              </w:rPr>
              <w:t>收集后运至大庆龙清生物科技有限公司处理</w:t>
            </w:r>
          </w:p>
        </w:tc>
        <w:tc>
          <w:tcPr>
            <w:tcW w:w="3320" w:type="dxa"/>
            <w:vAlign w:val="center"/>
          </w:tcPr>
          <w:p w14:paraId="0642A257">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《城市生活垃圾管理办法》（中华人民共和国建设部令第157号令）中的相关规定</w:t>
            </w:r>
          </w:p>
        </w:tc>
      </w:tr>
      <w:tr w14:paraId="17BBB3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1" w:hRule="atLeast"/>
        </w:trPr>
        <w:tc>
          <w:tcPr>
            <w:tcW w:w="432" w:type="dxa"/>
            <w:vMerge w:val="continue"/>
            <w:vAlign w:val="center"/>
          </w:tcPr>
          <w:p w14:paraId="3D29ABE8">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567" w:type="dxa"/>
            <w:vAlign w:val="center"/>
          </w:tcPr>
          <w:p w14:paraId="02B4C704">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噪声</w:t>
            </w:r>
          </w:p>
        </w:tc>
        <w:tc>
          <w:tcPr>
            <w:tcW w:w="992" w:type="dxa"/>
            <w:vAlign w:val="center"/>
          </w:tcPr>
          <w:p w14:paraId="6C438EDC">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施工机械噪声</w:t>
            </w:r>
          </w:p>
        </w:tc>
        <w:tc>
          <w:tcPr>
            <w:tcW w:w="3685" w:type="dxa"/>
            <w:vAlign w:val="center"/>
          </w:tcPr>
          <w:p w14:paraId="76CC86C8">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选用低噪声设备，安装隔声减震等降噪措施</w:t>
            </w:r>
          </w:p>
        </w:tc>
        <w:tc>
          <w:tcPr>
            <w:tcW w:w="3320" w:type="dxa"/>
            <w:vAlign w:val="center"/>
          </w:tcPr>
          <w:p w14:paraId="1F5B96FA">
            <w:pPr>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执行《建筑施工场界环境噪声排放标准》（GB12523-2011）要求：昼间≤70dB，夜间≤55dB的要求</w:t>
            </w:r>
          </w:p>
        </w:tc>
      </w:tr>
      <w:tr w14:paraId="22F486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1" w:hRule="atLeast"/>
        </w:trPr>
        <w:tc>
          <w:tcPr>
            <w:tcW w:w="432" w:type="dxa"/>
            <w:vMerge w:val="restart"/>
            <w:vAlign w:val="center"/>
          </w:tcPr>
          <w:p w14:paraId="0184A21A">
            <w:pPr>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运营期</w:t>
            </w:r>
          </w:p>
        </w:tc>
        <w:tc>
          <w:tcPr>
            <w:tcW w:w="567" w:type="dxa"/>
            <w:vAlign w:val="center"/>
          </w:tcPr>
          <w:p w14:paraId="584B6967">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废气</w:t>
            </w:r>
          </w:p>
        </w:tc>
        <w:tc>
          <w:tcPr>
            <w:tcW w:w="992" w:type="dxa"/>
            <w:vAlign w:val="center"/>
          </w:tcPr>
          <w:p w14:paraId="601789D5">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非甲烷总烃</w:t>
            </w:r>
          </w:p>
        </w:tc>
        <w:tc>
          <w:tcPr>
            <w:tcW w:w="3685" w:type="dxa"/>
            <w:vAlign w:val="center"/>
          </w:tcPr>
          <w:p w14:paraId="020F8786">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密闭</w:t>
            </w:r>
            <w:r>
              <w:rPr>
                <w:rFonts w:hint="eastAsia" w:ascii="Times New Roman" w:hAnsi="Times New Roman" w:cs="Times New Roman" w:eastAsiaTheme="minorEastAsia"/>
                <w:color w:val="000000" w:themeColor="text1"/>
                <w:w w:val="99"/>
                <w:sz w:val="21"/>
                <w:szCs w:val="21"/>
                <w:lang w:val="en-US" w:bidi="ar-SA"/>
                <w14:textFill>
                  <w14:solidFill>
                    <w14:schemeClr w14:val="tx1"/>
                  </w14:solidFill>
                </w14:textFill>
              </w:rPr>
              <w:t>集输</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工艺流程</w:t>
            </w:r>
            <w:r>
              <w:rPr>
                <w:rFonts w:ascii="Times New Roman" w:hAnsi="Times New Roman" w:cs="Times New Roman" w:eastAsiaTheme="minorEastAsia"/>
                <w:color w:val="000000" w:themeColor="text1"/>
                <w:w w:val="99"/>
                <w:sz w:val="21"/>
                <w:szCs w:val="21"/>
                <w:lang w:val="en-US"/>
                <w14:textFill>
                  <w14:solidFill>
                    <w14:schemeClr w14:val="tx1"/>
                  </w14:solidFill>
                </w14:textFill>
              </w:rPr>
              <w:t>，阀门、泵等密封</w:t>
            </w:r>
            <w:r>
              <w:rPr>
                <w:rFonts w:hint="eastAsia" w:ascii="Times New Roman" w:hAnsi="Times New Roman" w:cs="Times New Roman" w:eastAsiaTheme="minorEastAsia"/>
                <w:color w:val="000000" w:themeColor="text1"/>
                <w:w w:val="99"/>
                <w:sz w:val="21"/>
                <w:szCs w:val="21"/>
                <w:lang w:val="en-US"/>
                <w14:textFill>
                  <w14:solidFill>
                    <w14:schemeClr w14:val="tx1"/>
                  </w14:solidFill>
                </w14:textFill>
              </w:rPr>
              <w:t>点</w:t>
            </w:r>
            <w:r>
              <w:rPr>
                <w:rFonts w:ascii="Times New Roman" w:hAnsi="Times New Roman" w:cs="Times New Roman" w:eastAsiaTheme="minorEastAsia"/>
                <w:color w:val="000000" w:themeColor="text1"/>
                <w:w w:val="99"/>
                <w:sz w:val="21"/>
                <w:szCs w:val="21"/>
                <w:lang w:val="en-US"/>
                <w14:textFill>
                  <w14:solidFill>
                    <w14:schemeClr w14:val="tx1"/>
                  </w14:solidFill>
                </w14:textFill>
              </w:rPr>
              <w:t>安装密封垫</w:t>
            </w:r>
          </w:p>
        </w:tc>
        <w:tc>
          <w:tcPr>
            <w:tcW w:w="3320" w:type="dxa"/>
            <w:vAlign w:val="center"/>
          </w:tcPr>
          <w:p w14:paraId="28CEDCAC">
            <w:pPr>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边界</w:t>
            </w:r>
            <w:r>
              <w:rPr>
                <w:rFonts w:hint="eastAsia" w:ascii="Times New Roman" w:hAnsi="Times New Roman" w:cs="Times New Roman" w:eastAsiaTheme="minorEastAsia"/>
                <w:bCs/>
                <w:color w:val="000000" w:themeColor="text1"/>
                <w:w w:val="99"/>
                <w:sz w:val="21"/>
                <w:szCs w:val="21"/>
                <w:lang w:val="en-US" w:bidi="ar-SA"/>
                <w14:textFill>
                  <w14:solidFill>
                    <w14:schemeClr w14:val="tx1"/>
                  </w14:solidFill>
                </w14:textFill>
              </w:rPr>
              <w:t>执行</w:t>
            </w: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《陆上石油天然气开采工业大气污染物排放标准》（GB39728-2020）5.9中规定要求，</w:t>
            </w:r>
            <w:r>
              <w:rPr>
                <w:rFonts w:ascii="Times New Roman" w:hAnsi="Times New Roman" w:cs="Times New Roman" w:eastAsiaTheme="minorEastAsia"/>
                <w:color w:val="000000" w:themeColor="text1"/>
                <w:w w:val="99"/>
                <w:sz w:val="21"/>
                <w:szCs w:val="21"/>
                <w:lang w:val="en-US"/>
                <w14:textFill>
                  <w14:solidFill>
                    <w14:schemeClr w14:val="tx1"/>
                  </w14:solidFill>
                </w14:textFill>
              </w:rPr>
              <w:t>厂区内</w:t>
            </w:r>
            <w:r>
              <w:rPr>
                <w:rFonts w:hint="eastAsia" w:ascii="Times New Roman" w:hAnsi="Times New Roman" w:cs="Times New Roman" w:eastAsiaTheme="minorEastAsia"/>
                <w:color w:val="000000" w:themeColor="text1"/>
                <w:w w:val="99"/>
                <w:sz w:val="21"/>
                <w:szCs w:val="21"/>
                <w:lang w:val="en-US"/>
                <w14:textFill>
                  <w14:solidFill>
                    <w14:schemeClr w14:val="tx1"/>
                  </w14:solidFill>
                </w14:textFill>
              </w:rPr>
              <w:t>执行</w:t>
            </w:r>
            <w:r>
              <w:rPr>
                <w:rFonts w:ascii="Times New Roman" w:hAnsi="Times New Roman" w:cs="Times New Roman" w:eastAsiaTheme="minorEastAsia"/>
                <w:color w:val="000000" w:themeColor="text1"/>
                <w:w w:val="99"/>
                <w:sz w:val="21"/>
                <w:szCs w:val="21"/>
                <w:lang w:val="en-US"/>
                <w14:textFill>
                  <w14:solidFill>
                    <w14:schemeClr w14:val="tx1"/>
                  </w14:solidFill>
                </w14:textFill>
              </w:rPr>
              <w:t>《挥发性有机物无组织排放控制标准》（GB 37822-2019）附录A 中VOCs 无组织排放一般限值要求</w:t>
            </w:r>
          </w:p>
        </w:tc>
      </w:tr>
      <w:tr w14:paraId="4199F3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1" w:hRule="atLeast"/>
        </w:trPr>
        <w:tc>
          <w:tcPr>
            <w:tcW w:w="432" w:type="dxa"/>
            <w:vMerge w:val="continue"/>
            <w:vAlign w:val="center"/>
          </w:tcPr>
          <w:p w14:paraId="5AFE6CEB">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567" w:type="dxa"/>
            <w:vAlign w:val="center"/>
          </w:tcPr>
          <w:p w14:paraId="6DA56988">
            <w:pPr>
              <w:autoSpaceDE/>
              <w:autoSpaceDN/>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噪声</w:t>
            </w:r>
          </w:p>
        </w:tc>
        <w:tc>
          <w:tcPr>
            <w:tcW w:w="992" w:type="dxa"/>
            <w:vAlign w:val="center"/>
          </w:tcPr>
          <w:p w14:paraId="7DCE7167">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混输泵噪声</w:t>
            </w:r>
          </w:p>
        </w:tc>
        <w:tc>
          <w:tcPr>
            <w:tcW w:w="3685" w:type="dxa"/>
            <w:vAlign w:val="center"/>
          </w:tcPr>
          <w:p w14:paraId="73E164F1">
            <w:pPr>
              <w:autoSpaceDE/>
              <w:autoSpaceDN/>
              <w:adjustRightInd w:val="0"/>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低噪声设备、基础减振、厂房隔声</w:t>
            </w:r>
          </w:p>
        </w:tc>
        <w:tc>
          <w:tcPr>
            <w:tcW w:w="3320" w:type="dxa"/>
            <w:vAlign w:val="center"/>
          </w:tcPr>
          <w:p w14:paraId="28EA5A61">
            <w:pPr>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执行《工业企业厂界环境噪声排放标准》（GB12348-2008）中2类标准</w:t>
            </w:r>
          </w:p>
        </w:tc>
      </w:tr>
      <w:tr w14:paraId="0B386D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1" w:hRule="atLeast"/>
        </w:trPr>
        <w:tc>
          <w:tcPr>
            <w:tcW w:w="1991" w:type="dxa"/>
            <w:gridSpan w:val="3"/>
            <w:vAlign w:val="center"/>
          </w:tcPr>
          <w:p w14:paraId="16D22AA9">
            <w:pPr>
              <w:snapToGrid w:val="0"/>
              <w:spacing w:line="360" w:lineRule="exact"/>
              <w:jc w:val="cente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生态恢复</w:t>
            </w:r>
          </w:p>
        </w:tc>
        <w:tc>
          <w:tcPr>
            <w:tcW w:w="3685" w:type="dxa"/>
            <w:vAlign w:val="center"/>
          </w:tcPr>
          <w:p w14:paraId="17BB5CCE">
            <w:pPr>
              <w:snapToGrid w:val="0"/>
              <w:spacing w:line="360" w:lineRule="exact"/>
              <w:jc w:val="center"/>
              <w:rPr>
                <w:rFonts w:hint="eastAsia" w:ascii="Times New Roman" w:hAnsi="Times New Roman" w:cs="Times New Roman" w:eastAsiaTheme="minorEastAsia"/>
                <w:color w:val="000000" w:themeColor="text1"/>
                <w:w w:val="99"/>
                <w:kern w:val="2"/>
                <w:sz w:val="21"/>
                <w:szCs w:val="21"/>
                <w:lang w:val="en-US" w:eastAsia="zh-CN"/>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对临时占用的土地进行恢复、平整，恢复临时占地</w:t>
            </w:r>
            <w:r>
              <w:rPr>
                <w:rFonts w:hint="eastAsia" w:ascii="Times New Roman" w:hAnsi="Times New Roman" w:cs="Times New Roman" w:eastAsiaTheme="minorEastAsia"/>
                <w:color w:val="000000" w:themeColor="text1"/>
                <w:w w:val="99"/>
                <w:kern w:val="2"/>
                <w:sz w:val="21"/>
                <w:szCs w:val="21"/>
                <w:lang w:val="en-US" w:eastAsia="zh-CN"/>
                <w14:textFill>
                  <w14:solidFill>
                    <w14:schemeClr w14:val="tx1"/>
                  </w14:solidFill>
                </w14:textFill>
              </w:rPr>
              <w:t>4.5hm2</w:t>
            </w:r>
          </w:p>
        </w:tc>
        <w:tc>
          <w:tcPr>
            <w:tcW w:w="3320" w:type="dxa"/>
            <w:vAlign w:val="center"/>
          </w:tcPr>
          <w:p w14:paraId="09E40249">
            <w:pPr>
              <w:snapToGrid w:val="0"/>
              <w:spacing w:line="360" w:lineRule="exact"/>
              <w:jc w:val="cente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施工时分层开挖、分层堆放、分层回填，场地平整，不改变原有地势，不起垄。施工时留有影像资料，保留生态恢复前后的影像资料。恢复原有地貌，3~5年恢复原有植被覆盖度。</w:t>
            </w:r>
          </w:p>
        </w:tc>
      </w:tr>
      <w:tr w14:paraId="20A5FD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1" w:hRule="atLeast"/>
        </w:trPr>
        <w:tc>
          <w:tcPr>
            <w:tcW w:w="1991" w:type="dxa"/>
            <w:gridSpan w:val="3"/>
            <w:vMerge w:val="restart"/>
            <w:vAlign w:val="center"/>
          </w:tcPr>
          <w:p w14:paraId="0D9BE67F">
            <w:pPr>
              <w:snapToGrid w:val="0"/>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地下水及土壤防护</w:t>
            </w:r>
          </w:p>
        </w:tc>
        <w:tc>
          <w:tcPr>
            <w:tcW w:w="3685" w:type="dxa"/>
            <w:vAlign w:val="center"/>
          </w:tcPr>
          <w:p w14:paraId="30E645F1">
            <w:pPr>
              <w:snapToGrid w:val="0"/>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bCs/>
                <w:color w:val="000000" w:themeColor="text1"/>
                <w:w w:val="99"/>
                <w:kern w:val="2"/>
                <w:sz w:val="21"/>
                <w:szCs w:val="21"/>
                <w14:textFill>
                  <w14:solidFill>
                    <w14:schemeClr w14:val="tx1"/>
                  </w14:solidFill>
                </w14:textFill>
              </w:rPr>
              <w:t>集油管道为重点防渗，管道采用无缝钢管、管道设计采用管道内防腐，管道的外防腐等级采用特加强级、管道的连接方式采用焊接；</w:t>
            </w:r>
            <w:r>
              <w:rPr>
                <w:rFonts w:ascii="Times New Roman" w:hAnsi="Times New Roman" w:cs="Times New Roman" w:eastAsiaTheme="minorEastAsia"/>
                <w:bCs/>
                <w:color w:val="000000" w:themeColor="text1"/>
                <w:w w:val="99"/>
                <w:kern w:val="2"/>
                <w:sz w:val="21"/>
                <w:szCs w:val="21"/>
                <w:lang w:val="en-US"/>
                <w14:textFill>
                  <w14:solidFill>
                    <w14:schemeClr w14:val="tx1"/>
                  </w14:solidFill>
                </w14:textFill>
              </w:rPr>
              <w:t>混输阀组间</w:t>
            </w:r>
            <w:r>
              <w:rPr>
                <w:rFonts w:ascii="Times New Roman" w:hAnsi="Times New Roman" w:cs="Times New Roman" w:eastAsiaTheme="minorEastAsia"/>
                <w:bCs/>
                <w:color w:val="000000" w:themeColor="text1"/>
                <w:w w:val="99"/>
                <w:kern w:val="2"/>
                <w:sz w:val="21"/>
                <w:szCs w:val="21"/>
                <w14:textFill>
                  <w14:solidFill>
                    <w14:schemeClr w14:val="tx1"/>
                  </w14:solidFill>
                </w14:textFill>
              </w:rPr>
              <w:t>为一般防渗区，采用基底层压实+土工布+抗渗混凝土层进行防渗</w:t>
            </w: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w:t>
            </w:r>
          </w:p>
        </w:tc>
        <w:tc>
          <w:tcPr>
            <w:tcW w:w="3320" w:type="dxa"/>
            <w:vAlign w:val="center"/>
          </w:tcPr>
          <w:p w14:paraId="0D16040C">
            <w:pPr>
              <w:snapToGrid w:val="0"/>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bCs/>
                <w:color w:val="000000" w:themeColor="text1"/>
                <w:w w:val="99"/>
                <w:kern w:val="2"/>
                <w:sz w:val="21"/>
                <w:szCs w:val="21"/>
                <w14:textFill>
                  <w14:solidFill>
                    <w14:schemeClr w14:val="tx1"/>
                  </w14:solidFill>
                </w14:textFill>
              </w:rPr>
              <w:t>执行《环境影响评价技术导则 地下水环境》（HJ610-2016）中关于分区防渗技术要求</w:t>
            </w:r>
          </w:p>
        </w:tc>
      </w:tr>
      <w:tr w14:paraId="41B25B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1" w:hRule="atLeast"/>
        </w:trPr>
        <w:tc>
          <w:tcPr>
            <w:tcW w:w="1991" w:type="dxa"/>
            <w:gridSpan w:val="3"/>
            <w:vMerge w:val="continue"/>
            <w:vAlign w:val="center"/>
          </w:tcPr>
          <w:p w14:paraId="59B80102">
            <w:pPr>
              <w:snapToGrid w:val="0"/>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p>
        </w:tc>
        <w:tc>
          <w:tcPr>
            <w:tcW w:w="3685" w:type="dxa"/>
            <w:vAlign w:val="center"/>
          </w:tcPr>
          <w:p w14:paraId="030B910F">
            <w:pPr>
              <w:snapToGrid w:val="0"/>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bCs/>
                <w:color w:val="000000" w:themeColor="text1"/>
                <w:w w:val="99"/>
                <w:kern w:val="2"/>
                <w:sz w:val="21"/>
                <w:szCs w:val="21"/>
                <w14:textFill>
                  <w14:solidFill>
                    <w14:schemeClr w14:val="tx1"/>
                  </w14:solidFill>
                </w14:textFill>
              </w:rPr>
              <w:t>在本项目区块上游</w:t>
            </w:r>
            <w:r>
              <w:rPr>
                <w:rFonts w:ascii="Times New Roman" w:hAnsi="Times New Roman" w:cs="Times New Roman" w:eastAsiaTheme="minorEastAsia"/>
                <w:bCs/>
                <w:color w:val="000000" w:themeColor="text1"/>
                <w:w w:val="99"/>
                <w:kern w:val="2"/>
                <w:sz w:val="21"/>
                <w:szCs w:val="21"/>
                <w:lang w:val="en-US"/>
                <w14:textFill>
                  <w14:solidFill>
                    <w14:schemeClr w14:val="tx1"/>
                  </w14:solidFill>
                </w14:textFill>
              </w:rPr>
              <w:t>好尔陶牧场苏家水井</w:t>
            </w:r>
            <w:r>
              <w:rPr>
                <w:rFonts w:ascii="Times New Roman" w:hAnsi="Times New Roman" w:cs="Times New Roman" w:eastAsiaTheme="minorEastAsia"/>
                <w:bCs/>
                <w:color w:val="000000" w:themeColor="text1"/>
                <w:w w:val="99"/>
                <w:kern w:val="2"/>
                <w:sz w:val="21"/>
                <w:szCs w:val="21"/>
                <w14:textFill>
                  <w14:solidFill>
                    <w14:schemeClr w14:val="tx1"/>
                  </w14:solidFill>
                </w14:textFill>
              </w:rPr>
              <w:t>（</w:t>
            </w:r>
            <w:r>
              <w:rPr>
                <w:rFonts w:ascii="Times New Roman" w:hAnsi="Times New Roman" w:cs="Times New Roman" w:eastAsiaTheme="minorEastAsia"/>
                <w:bCs/>
                <w:color w:val="000000" w:themeColor="text1"/>
                <w:w w:val="99"/>
                <w:kern w:val="2"/>
                <w:sz w:val="21"/>
                <w:szCs w:val="21"/>
                <w:lang w:val="en-US"/>
                <w14:textFill>
                  <w14:solidFill>
                    <w14:schemeClr w14:val="tx1"/>
                  </w14:solidFill>
                </w14:textFill>
              </w:rPr>
              <w:t>东经124°24′25.92″，北纬46°22′57.32″</w:t>
            </w:r>
            <w:r>
              <w:rPr>
                <w:rFonts w:ascii="Times New Roman" w:hAnsi="Times New Roman" w:cs="Times New Roman" w:eastAsiaTheme="minorEastAsia"/>
                <w:bCs/>
                <w:color w:val="000000" w:themeColor="text1"/>
                <w:w w:val="99"/>
                <w:kern w:val="2"/>
                <w:sz w:val="21"/>
                <w:szCs w:val="21"/>
                <w14:textFill>
                  <w14:solidFill>
                    <w14:schemeClr w14:val="tx1"/>
                  </w14:solidFill>
                </w14:textFill>
              </w:rPr>
              <w:t>）布设1个潜水背景值监测水井，在区块内</w:t>
            </w:r>
            <w:r>
              <w:rPr>
                <w:rFonts w:ascii="Times New Roman" w:hAnsi="Times New Roman" w:cs="Times New Roman" w:eastAsiaTheme="minorEastAsia"/>
                <w:bCs/>
                <w:color w:val="000000" w:themeColor="text1"/>
                <w:w w:val="99"/>
                <w:kern w:val="2"/>
                <w:sz w:val="21"/>
                <w:szCs w:val="21"/>
                <w:lang w:val="en-US"/>
                <w14:textFill>
                  <w14:solidFill>
                    <w14:schemeClr w14:val="tx1"/>
                  </w14:solidFill>
                </w14:textFill>
              </w:rPr>
              <w:t>杏树岗村张家水井</w:t>
            </w:r>
            <w:r>
              <w:rPr>
                <w:rFonts w:ascii="Times New Roman" w:hAnsi="Times New Roman" w:cs="Times New Roman" w:eastAsiaTheme="minorEastAsia"/>
                <w:bCs/>
                <w:color w:val="000000" w:themeColor="text1"/>
                <w:w w:val="99"/>
                <w:kern w:val="2"/>
                <w:sz w:val="21"/>
                <w:szCs w:val="21"/>
                <w14:textFill>
                  <w14:solidFill>
                    <w14:schemeClr w14:val="tx1"/>
                  </w14:solidFill>
                </w14:textFill>
              </w:rPr>
              <w:t>（</w:t>
            </w:r>
            <w:r>
              <w:rPr>
                <w:rFonts w:ascii="Times New Roman" w:hAnsi="Times New Roman" w:cs="Times New Roman" w:eastAsiaTheme="minorEastAsia"/>
                <w:bCs/>
                <w:color w:val="000000" w:themeColor="text1"/>
                <w:w w:val="99"/>
                <w:kern w:val="2"/>
                <w:sz w:val="21"/>
                <w:szCs w:val="21"/>
                <w:lang w:val="en-US"/>
                <w14:textFill>
                  <w14:solidFill>
                    <w14:schemeClr w14:val="tx1"/>
                  </w14:solidFill>
                </w14:textFill>
              </w:rPr>
              <w:t>东经124°25′45.192″，北纬46°19′10.704″</w:t>
            </w:r>
            <w:r>
              <w:rPr>
                <w:rFonts w:ascii="Times New Roman" w:hAnsi="Times New Roman" w:cs="Times New Roman" w:eastAsiaTheme="minorEastAsia"/>
                <w:bCs/>
                <w:color w:val="000000" w:themeColor="text1"/>
                <w:w w:val="99"/>
                <w:kern w:val="2"/>
                <w:sz w:val="21"/>
                <w:szCs w:val="21"/>
                <w14:textFill>
                  <w14:solidFill>
                    <w14:schemeClr w14:val="tx1"/>
                  </w14:solidFill>
                </w14:textFill>
              </w:rPr>
              <w:t>）、</w:t>
            </w:r>
            <w:r>
              <w:rPr>
                <w:rFonts w:hint="eastAsia" w:ascii="Times New Roman" w:hAnsi="Times New Roman" w:cs="Times New Roman" w:eastAsiaTheme="minorEastAsia"/>
                <w:bCs/>
                <w:color w:val="000000" w:themeColor="text1"/>
                <w:w w:val="99"/>
                <w:kern w:val="2"/>
                <w:sz w:val="21"/>
                <w:szCs w:val="21"/>
                <w14:textFill>
                  <w14:solidFill>
                    <w14:schemeClr w14:val="tx1"/>
                  </w14:solidFill>
                </w14:textFill>
              </w:rPr>
              <w:t>区块下游跟踪监测井</w:t>
            </w:r>
            <w:r>
              <w:rPr>
                <w:rFonts w:ascii="Times New Roman" w:hAnsi="Times New Roman" w:cs="Times New Roman" w:eastAsiaTheme="minorEastAsia"/>
                <w:bCs/>
                <w:color w:val="000000" w:themeColor="text1"/>
                <w:w w:val="99"/>
                <w:kern w:val="2"/>
                <w:sz w:val="21"/>
                <w:szCs w:val="21"/>
                <w14:textFill>
                  <w14:solidFill>
                    <w14:schemeClr w14:val="tx1"/>
                  </w14:solidFill>
                </w14:textFill>
              </w:rPr>
              <w:t>（</w:t>
            </w:r>
            <w:r>
              <w:rPr>
                <w:rFonts w:hint="eastAsia" w:ascii="Times New Roman" w:hAnsi="Times New Roman" w:cs="Times New Roman" w:eastAsiaTheme="minorEastAsia"/>
                <w:bCs/>
                <w:color w:val="000000" w:themeColor="text1"/>
                <w:w w:val="99"/>
                <w:kern w:val="2"/>
                <w:sz w:val="21"/>
                <w:szCs w:val="21"/>
                <w:lang w:val="en-US"/>
                <w14:textFill>
                  <w14:solidFill>
                    <w14:schemeClr w14:val="tx1"/>
                  </w14:solidFill>
                </w14:textFill>
              </w:rPr>
              <w:t>东经</w:t>
            </w:r>
            <w:r>
              <w:rPr>
                <w:rFonts w:ascii="Times New Roman" w:hAnsi="Times New Roman" w:cs="Times New Roman" w:eastAsiaTheme="minorEastAsia"/>
                <w:bCs/>
                <w:color w:val="000000" w:themeColor="text1"/>
                <w:w w:val="99"/>
                <w:kern w:val="2"/>
                <w:sz w:val="21"/>
                <w:szCs w:val="21"/>
                <w:lang w:val="en-US"/>
                <w14:textFill>
                  <w14:solidFill>
                    <w14:schemeClr w14:val="tx1"/>
                  </w14:solidFill>
                </w14:textFill>
              </w:rPr>
              <w:t xml:space="preserve"> 124°24′31.428″，北纬46°17′7.368″</w:t>
            </w:r>
            <w:r>
              <w:rPr>
                <w:rFonts w:ascii="Times New Roman" w:hAnsi="Times New Roman" w:cs="Times New Roman" w:eastAsiaTheme="minorEastAsia"/>
                <w:bCs/>
                <w:color w:val="000000" w:themeColor="text1"/>
                <w:w w:val="99"/>
                <w:kern w:val="2"/>
                <w:sz w:val="21"/>
                <w:szCs w:val="21"/>
                <w14:textFill>
                  <w14:solidFill>
                    <w14:schemeClr w14:val="tx1"/>
                  </w14:solidFill>
                </w14:textFill>
              </w:rPr>
              <w:t>）各布设1口潜水跟踪监测水井，定期对地下水进行跟踪监测。</w:t>
            </w:r>
          </w:p>
        </w:tc>
        <w:tc>
          <w:tcPr>
            <w:tcW w:w="3320" w:type="dxa"/>
            <w:vAlign w:val="center"/>
          </w:tcPr>
          <w:p w14:paraId="6DC88C11">
            <w:pPr>
              <w:snapToGrid w:val="0"/>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color w:val="000000" w:themeColor="text1"/>
                <w:w w:val="99"/>
                <w:kern w:val="2"/>
                <w:sz w:val="21"/>
                <w14:textFill>
                  <w14:solidFill>
                    <w14:schemeClr w14:val="tx1"/>
                  </w14:solidFill>
                </w14:textFill>
              </w:rPr>
              <w:t>执行《地下水质量标准》（GB/T14848-2017）III类标准，石油类执行《地表水环境质量标准》（GB3838-2002）表1中的III类标准限值要求</w:t>
            </w:r>
          </w:p>
        </w:tc>
      </w:tr>
      <w:tr w14:paraId="384EBB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1" w:hRule="atLeast"/>
        </w:trPr>
        <w:tc>
          <w:tcPr>
            <w:tcW w:w="1991" w:type="dxa"/>
            <w:gridSpan w:val="3"/>
            <w:vMerge w:val="continue"/>
            <w:vAlign w:val="center"/>
          </w:tcPr>
          <w:p w14:paraId="725B90EE">
            <w:pPr>
              <w:snapToGrid w:val="0"/>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p>
        </w:tc>
        <w:tc>
          <w:tcPr>
            <w:tcW w:w="3685" w:type="dxa"/>
            <w:vAlign w:val="center"/>
          </w:tcPr>
          <w:p w14:paraId="3DD3F5CB">
            <w:pPr>
              <w:snapToGrid w:val="0"/>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bCs/>
                <w:color w:val="000000" w:themeColor="text1"/>
                <w:w w:val="99"/>
                <w:kern w:val="2"/>
                <w:sz w:val="21"/>
                <w:szCs w:val="21"/>
                <w14:textFill>
                  <w14:solidFill>
                    <w14:schemeClr w14:val="tx1"/>
                  </w14:solidFill>
                </w14:textFill>
              </w:rPr>
              <w:t>在</w:t>
            </w:r>
            <w:r>
              <w:rPr>
                <w:rFonts w:ascii="Times New Roman" w:hAnsi="Times New Roman" w:cs="Times New Roman" w:eastAsiaTheme="minorEastAsia"/>
                <w:bCs/>
                <w:color w:val="000000" w:themeColor="text1"/>
                <w:w w:val="99"/>
                <w:kern w:val="2"/>
                <w:sz w:val="21"/>
                <w:szCs w:val="21"/>
                <w:lang w:val="en-US"/>
                <w14:textFill>
                  <w14:solidFill>
                    <w14:schemeClr w14:val="tx1"/>
                  </w14:solidFill>
                </w14:textFill>
              </w:rPr>
              <w:t>混输阀组间</w:t>
            </w:r>
            <w:r>
              <w:rPr>
                <w:rFonts w:ascii="Times New Roman" w:hAnsi="Times New Roman" w:cs="Times New Roman" w:eastAsiaTheme="minorEastAsia"/>
                <w:bCs/>
                <w:color w:val="000000" w:themeColor="text1"/>
                <w:w w:val="99"/>
                <w:kern w:val="2"/>
                <w:sz w:val="21"/>
                <w:szCs w:val="21"/>
                <w14:textFill>
                  <w14:solidFill>
                    <w14:schemeClr w14:val="tx1"/>
                  </w14:solidFill>
                </w14:textFill>
              </w:rPr>
              <w:t>、</w:t>
            </w:r>
            <w:r>
              <w:rPr>
                <w:rFonts w:ascii="Times New Roman" w:hAnsi="Times New Roman" w:cs="Times New Roman" w:eastAsiaTheme="minorEastAsia"/>
                <w:bCs/>
                <w:color w:val="000000" w:themeColor="text1"/>
                <w:w w:val="99"/>
                <w:kern w:val="2"/>
                <w:sz w:val="21"/>
                <w:szCs w:val="21"/>
                <w:lang w:val="en-US"/>
                <w14:textFill>
                  <w14:solidFill>
                    <w14:schemeClr w14:val="tx1"/>
                  </w14:solidFill>
                </w14:textFill>
              </w:rPr>
              <w:t>混输阀组间南侧200m耕地</w:t>
            </w:r>
            <w:r>
              <w:rPr>
                <w:rFonts w:ascii="Times New Roman" w:hAnsi="Times New Roman" w:cs="Times New Roman" w:eastAsiaTheme="minorEastAsia"/>
                <w:bCs/>
                <w:color w:val="000000" w:themeColor="text1"/>
                <w:w w:val="99"/>
                <w:kern w:val="2"/>
                <w:sz w:val="21"/>
                <w:szCs w:val="21"/>
                <w14:textFill>
                  <w14:solidFill>
                    <w14:schemeClr w14:val="tx1"/>
                  </w14:solidFill>
                </w14:textFill>
              </w:rPr>
              <w:t>共布设2个土壤跟踪监测点，定期对土壤进行跟踪监测，监测因子为</w:t>
            </w:r>
            <w:r>
              <w:rPr>
                <w:rFonts w:ascii="Times New Roman" w:hAnsi="Times New Roman" w:cs="Times New Roman" w:eastAsiaTheme="minorEastAsia"/>
                <w:bCs/>
                <w:color w:val="000000" w:themeColor="text1"/>
                <w:w w:val="99"/>
                <w:kern w:val="2"/>
                <w:sz w:val="21"/>
                <w:szCs w:val="21"/>
                <w:lang w:val="en-US"/>
                <w14:textFill>
                  <w14:solidFill>
                    <w14:schemeClr w14:val="tx1"/>
                  </w14:solidFill>
                </w14:textFill>
              </w:rPr>
              <w:t>pH、</w:t>
            </w:r>
            <w:r>
              <w:rPr>
                <w:rFonts w:hint="eastAsia" w:ascii="Times New Roman" w:hAnsi="Times New Roman" w:cs="Times New Roman" w:eastAsiaTheme="minorEastAsia"/>
                <w:bCs/>
                <w:color w:val="000000" w:themeColor="text1"/>
                <w:w w:val="99"/>
                <w:kern w:val="2"/>
                <w:sz w:val="21"/>
                <w:szCs w:val="21"/>
                <w:lang w:val="en-US"/>
                <w14:textFill>
                  <w14:solidFill>
                    <w14:schemeClr w14:val="tx1"/>
                  </w14:solidFill>
                </w14:textFill>
              </w:rPr>
              <w:t>石油类、石油烃（</w:t>
            </w:r>
            <w:r>
              <w:rPr>
                <w:rFonts w:ascii="Times New Roman" w:hAnsi="Times New Roman" w:cs="Times New Roman" w:eastAsiaTheme="minorEastAsia"/>
                <w:bCs/>
                <w:color w:val="000000" w:themeColor="text1"/>
                <w:w w:val="99"/>
                <w:kern w:val="2"/>
                <w:sz w:val="21"/>
                <w:szCs w:val="21"/>
                <w:lang w:val="en-US"/>
                <w14:textFill>
                  <w14:solidFill>
                    <w14:schemeClr w14:val="tx1"/>
                  </w14:solidFill>
                </w14:textFill>
              </w:rPr>
              <w:t>C</w:t>
            </w:r>
            <w:r>
              <w:rPr>
                <w:rFonts w:ascii="Times New Roman" w:hAnsi="Times New Roman" w:cs="Times New Roman" w:eastAsiaTheme="minorEastAsia"/>
                <w:bCs/>
                <w:color w:val="000000" w:themeColor="text1"/>
                <w:w w:val="99"/>
                <w:kern w:val="2"/>
                <w:sz w:val="21"/>
                <w:szCs w:val="21"/>
                <w:vertAlign w:val="subscript"/>
                <w:lang w:val="en-US"/>
                <w14:textFill>
                  <w14:solidFill>
                    <w14:schemeClr w14:val="tx1"/>
                  </w14:solidFill>
                </w14:textFill>
              </w:rPr>
              <w:t>6</w:t>
            </w:r>
            <w:r>
              <w:rPr>
                <w:rFonts w:ascii="Times New Roman" w:hAnsi="Times New Roman" w:cs="Times New Roman" w:eastAsiaTheme="minorEastAsia"/>
                <w:bCs/>
                <w:color w:val="000000" w:themeColor="text1"/>
                <w:w w:val="99"/>
                <w:kern w:val="2"/>
                <w:sz w:val="21"/>
                <w:szCs w:val="21"/>
                <w:lang w:val="en-US"/>
                <w14:textFill>
                  <w14:solidFill>
                    <w14:schemeClr w14:val="tx1"/>
                  </w14:solidFill>
                </w14:textFill>
              </w:rPr>
              <w:t>~C</w:t>
            </w:r>
            <w:r>
              <w:rPr>
                <w:rFonts w:ascii="Times New Roman" w:hAnsi="Times New Roman" w:cs="Times New Roman" w:eastAsiaTheme="minorEastAsia"/>
                <w:bCs/>
                <w:color w:val="000000" w:themeColor="text1"/>
                <w:w w:val="99"/>
                <w:kern w:val="2"/>
                <w:sz w:val="21"/>
                <w:szCs w:val="21"/>
                <w:vertAlign w:val="subscript"/>
                <w:lang w:val="en-US"/>
                <w14:textFill>
                  <w14:solidFill>
                    <w14:schemeClr w14:val="tx1"/>
                  </w14:solidFill>
                </w14:textFill>
              </w:rPr>
              <w:t>9</w:t>
            </w:r>
            <w:r>
              <w:rPr>
                <w:rFonts w:ascii="Times New Roman" w:hAnsi="Times New Roman" w:cs="Times New Roman" w:eastAsiaTheme="minorEastAsia"/>
                <w:bCs/>
                <w:color w:val="000000" w:themeColor="text1"/>
                <w:w w:val="99"/>
                <w:kern w:val="2"/>
                <w:sz w:val="21"/>
                <w:szCs w:val="21"/>
                <w:lang w:val="en-US"/>
                <w14:textFill>
                  <w14:solidFill>
                    <w14:schemeClr w14:val="tx1"/>
                  </w14:solidFill>
                </w14:textFill>
              </w:rPr>
              <w:t>）、石油烃（C</w:t>
            </w:r>
            <w:r>
              <w:rPr>
                <w:rFonts w:ascii="Times New Roman" w:hAnsi="Times New Roman" w:cs="Times New Roman" w:eastAsiaTheme="minorEastAsia"/>
                <w:bCs/>
                <w:color w:val="000000" w:themeColor="text1"/>
                <w:w w:val="99"/>
                <w:kern w:val="2"/>
                <w:sz w:val="21"/>
                <w:szCs w:val="21"/>
                <w:vertAlign w:val="subscript"/>
                <w:lang w:val="en-US"/>
                <w14:textFill>
                  <w14:solidFill>
                    <w14:schemeClr w14:val="tx1"/>
                  </w14:solidFill>
                </w14:textFill>
              </w:rPr>
              <w:t>10</w:t>
            </w:r>
            <w:r>
              <w:rPr>
                <w:rFonts w:ascii="Times New Roman" w:hAnsi="Times New Roman" w:cs="Times New Roman" w:eastAsiaTheme="minorEastAsia"/>
                <w:bCs/>
                <w:color w:val="000000" w:themeColor="text1"/>
                <w:w w:val="99"/>
                <w:kern w:val="2"/>
                <w:sz w:val="21"/>
                <w:szCs w:val="21"/>
                <w:lang w:val="en-US"/>
                <w14:textFill>
                  <w14:solidFill>
                    <w14:schemeClr w14:val="tx1"/>
                  </w14:solidFill>
                </w14:textFill>
              </w:rPr>
              <w:t>~C</w:t>
            </w:r>
            <w:r>
              <w:rPr>
                <w:rFonts w:ascii="Times New Roman" w:hAnsi="Times New Roman" w:cs="Times New Roman" w:eastAsiaTheme="minorEastAsia"/>
                <w:bCs/>
                <w:color w:val="000000" w:themeColor="text1"/>
                <w:w w:val="99"/>
                <w:kern w:val="2"/>
                <w:sz w:val="21"/>
                <w:szCs w:val="21"/>
                <w:vertAlign w:val="subscript"/>
                <w:lang w:val="en-US"/>
                <w14:textFill>
                  <w14:solidFill>
                    <w14:schemeClr w14:val="tx1"/>
                  </w14:solidFill>
                </w14:textFill>
              </w:rPr>
              <w:t>40</w:t>
            </w:r>
            <w:r>
              <w:rPr>
                <w:rFonts w:ascii="Times New Roman" w:hAnsi="Times New Roman" w:cs="Times New Roman" w:eastAsiaTheme="minorEastAsia"/>
                <w:bCs/>
                <w:color w:val="000000" w:themeColor="text1"/>
                <w:w w:val="99"/>
                <w:kern w:val="2"/>
                <w:sz w:val="21"/>
                <w:szCs w:val="21"/>
                <w:lang w:val="en-US"/>
                <w14:textFill>
                  <w14:solidFill>
                    <w14:schemeClr w14:val="tx1"/>
                  </w14:solidFill>
                </w14:textFill>
              </w:rPr>
              <w:t>）、汞、砷、六价铬</w:t>
            </w:r>
            <w:r>
              <w:rPr>
                <w:rFonts w:ascii="Times New Roman" w:hAnsi="Times New Roman" w:cs="Times New Roman" w:eastAsiaTheme="minorEastAsia"/>
                <w:bCs/>
                <w:color w:val="000000" w:themeColor="text1"/>
                <w:w w:val="99"/>
                <w:kern w:val="2"/>
                <w:sz w:val="21"/>
                <w:szCs w:val="21"/>
                <w14:textFill>
                  <w14:solidFill>
                    <w14:schemeClr w14:val="tx1"/>
                  </w14:solidFill>
                </w14:textFill>
              </w:rPr>
              <w:t>，监测频次为1次/3年。</w:t>
            </w:r>
          </w:p>
        </w:tc>
        <w:tc>
          <w:tcPr>
            <w:tcW w:w="3320" w:type="dxa"/>
            <w:vAlign w:val="center"/>
          </w:tcPr>
          <w:p w14:paraId="078945FD">
            <w:pPr>
              <w:snapToGrid w:val="0"/>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14:textFill>
                  <w14:solidFill>
                    <w14:schemeClr w14:val="tx1"/>
                  </w14:solidFill>
                </w14:textFill>
              </w:rPr>
              <w:t>执行《土壤环境质量</w:t>
            </w:r>
            <w:r>
              <w:rPr>
                <w:rFonts w:ascii="Times New Roman" w:hAnsi="Times New Roman" w:cs="Times New Roman" w:eastAsiaTheme="minorEastAsia"/>
                <w:color w:val="000000" w:themeColor="text1"/>
                <w:w w:val="99"/>
                <w:kern w:val="2"/>
                <w:sz w:val="21"/>
                <w:szCs w:val="21"/>
                <w14:textFill>
                  <w14:solidFill>
                    <w14:schemeClr w14:val="tx1"/>
                  </w14:solidFill>
                </w14:textFill>
              </w:rPr>
              <w:t xml:space="preserve"> 建设用地土壤污染风险管控标准（试行）》（GB36600-2018）表2（其他项目）中第二类用地石油烃筛选值</w:t>
            </w:r>
          </w:p>
        </w:tc>
      </w:tr>
      <w:tr w14:paraId="4015B4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1" w:hRule="atLeast"/>
        </w:trPr>
        <w:tc>
          <w:tcPr>
            <w:tcW w:w="1991" w:type="dxa"/>
            <w:gridSpan w:val="3"/>
            <w:vAlign w:val="center"/>
          </w:tcPr>
          <w:p w14:paraId="0EDC35E5">
            <w:pPr>
              <w:snapToGrid w:val="0"/>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风险防控</w:t>
            </w:r>
          </w:p>
        </w:tc>
        <w:tc>
          <w:tcPr>
            <w:tcW w:w="7005" w:type="dxa"/>
            <w:gridSpan w:val="2"/>
            <w:vAlign w:val="center"/>
          </w:tcPr>
          <w:p w14:paraId="310C4DE9">
            <w:pPr>
              <w:snapToGrid w:val="0"/>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hint="eastAsia" w:ascii="Times New Roman" w:hAnsi="Times New Roman" w:cs="Times New Roman" w:eastAsiaTheme="minorEastAsia"/>
                <w:color w:val="000000" w:themeColor="text1"/>
                <w:w w:val="99"/>
                <w:kern w:val="2"/>
                <w:sz w:val="21"/>
                <w:szCs w:val="21"/>
                <w14:textFill>
                  <w14:solidFill>
                    <w14:schemeClr w14:val="tx1"/>
                  </w14:solidFill>
                </w14:textFill>
              </w:rPr>
              <w:t>运行期制定操作规程、巡线、检测、应急等管理措施</w:t>
            </w:r>
          </w:p>
        </w:tc>
      </w:tr>
      <w:tr w14:paraId="075D86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1" w:hRule="atLeast"/>
        </w:trPr>
        <w:tc>
          <w:tcPr>
            <w:tcW w:w="1991" w:type="dxa"/>
            <w:gridSpan w:val="3"/>
            <w:vAlign w:val="center"/>
          </w:tcPr>
          <w:p w14:paraId="1BBCFF1C">
            <w:pPr>
              <w:snapToGrid w:val="0"/>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水土流失</w:t>
            </w:r>
          </w:p>
        </w:tc>
        <w:tc>
          <w:tcPr>
            <w:tcW w:w="7005" w:type="dxa"/>
            <w:gridSpan w:val="2"/>
            <w:vAlign w:val="center"/>
          </w:tcPr>
          <w:p w14:paraId="3C93A63F">
            <w:pPr>
              <w:snapToGrid w:val="0"/>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合理选择施工季节，井场施工控制作业面积，管线施工回填平整、压实。</w:t>
            </w:r>
            <w:r>
              <w:rPr>
                <w:rFonts w:hint="eastAsia" w:ascii="Times New Roman" w:hAnsi="Times New Roman" w:cs="Times New Roman" w:eastAsiaTheme="minorEastAsia"/>
                <w:color w:val="000000" w:themeColor="text1"/>
                <w:w w:val="99"/>
                <w:kern w:val="2"/>
                <w:sz w:val="21"/>
                <w:szCs w:val="21"/>
                <w14:textFill>
                  <w14:solidFill>
                    <w14:schemeClr w14:val="tx1"/>
                  </w14:solidFill>
                </w14:textFill>
              </w:rPr>
              <w:t>耕作层</w:t>
            </w:r>
            <w:r>
              <w:rPr>
                <w:rFonts w:ascii="Times New Roman" w:hAnsi="Times New Roman" w:cs="Times New Roman" w:eastAsiaTheme="minorEastAsia"/>
                <w:color w:val="000000" w:themeColor="text1"/>
                <w:w w:val="99"/>
                <w:kern w:val="2"/>
                <w:sz w:val="21"/>
                <w:szCs w:val="21"/>
                <w14:textFill>
                  <w14:solidFill>
                    <w14:schemeClr w14:val="tx1"/>
                  </w14:solidFill>
                </w14:textFill>
              </w:rPr>
              <w:t>及表层土单独存放，做好苫盖，管线施工回填平整、压实</w:t>
            </w:r>
          </w:p>
        </w:tc>
      </w:tr>
      <w:tr w14:paraId="65D1C2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1" w:hRule="atLeast"/>
        </w:trPr>
        <w:tc>
          <w:tcPr>
            <w:tcW w:w="1991" w:type="dxa"/>
            <w:gridSpan w:val="3"/>
            <w:vAlign w:val="center"/>
          </w:tcPr>
          <w:p w14:paraId="08963649">
            <w:pPr>
              <w:snapToGrid w:val="0"/>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14:textFill>
                  <w14:solidFill>
                    <w14:schemeClr w14:val="tx1"/>
                  </w14:solidFill>
                </w14:textFill>
              </w:rPr>
              <w:t>防沙治沙</w:t>
            </w:r>
          </w:p>
        </w:tc>
        <w:tc>
          <w:tcPr>
            <w:tcW w:w="7005" w:type="dxa"/>
            <w:gridSpan w:val="2"/>
            <w:vAlign w:val="center"/>
          </w:tcPr>
          <w:p w14:paraId="05AD563B">
            <w:pPr>
              <w:snapToGrid w:val="0"/>
              <w:spacing w:line="360" w:lineRule="exact"/>
              <w:jc w:val="center"/>
              <w:rPr>
                <w:rFonts w:ascii="Times New Roman" w:hAnsi="Times New Roman" w:cs="Times New Roman" w:eastAsiaTheme="minorEastAsia"/>
                <w:color w:val="000000" w:themeColor="text1"/>
                <w:w w:val="99"/>
                <w:kern w:val="2"/>
                <w:sz w:val="21"/>
                <w:szCs w:val="21"/>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对临时占用的耕地进行恢复</w:t>
            </w:r>
            <w:r>
              <w:rPr>
                <w:rFonts w:hint="eastAsia" w:ascii="Times New Roman" w:hAnsi="Times New Roman" w:cs="Times New Roman" w:eastAsiaTheme="minorEastAsia"/>
                <w:color w:val="000000" w:themeColor="text1"/>
                <w:w w:val="99"/>
                <w:kern w:val="2"/>
                <w:sz w:val="21"/>
                <w:szCs w:val="21"/>
                <w:lang w:val="en-US"/>
                <w14:textFill>
                  <w14:solidFill>
                    <w14:schemeClr w14:val="tx1"/>
                  </w14:solidFill>
                </w14:textFill>
              </w:rPr>
              <w:t>，</w:t>
            </w: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临时</w:t>
            </w:r>
            <w:r>
              <w:rPr>
                <w:rFonts w:hint="eastAsia" w:ascii="Times New Roman" w:hAnsi="Times New Roman" w:cs="Times New Roman" w:eastAsiaTheme="minorEastAsia"/>
                <w:color w:val="000000" w:themeColor="text1"/>
                <w:w w:val="99"/>
                <w:kern w:val="2"/>
                <w:sz w:val="21"/>
                <w:szCs w:val="21"/>
                <w:lang w:val="en-US"/>
                <w14:textFill>
                  <w14:solidFill>
                    <w14:schemeClr w14:val="tx1"/>
                  </w14:solidFill>
                </w14:textFill>
              </w:rPr>
              <w:t>占</w:t>
            </w:r>
            <w:r>
              <w:rPr>
                <w:rFonts w:ascii="Times New Roman" w:hAnsi="Times New Roman" w:cs="Times New Roman" w:eastAsiaTheme="minorEastAsia"/>
                <w:color w:val="000000" w:themeColor="text1"/>
                <w:w w:val="99"/>
                <w:kern w:val="2"/>
                <w:sz w:val="21"/>
                <w:szCs w:val="21"/>
                <w:lang w:val="en-US"/>
                <w14:textFill>
                  <w14:solidFill>
                    <w14:schemeClr w14:val="tx1"/>
                  </w14:solidFill>
                </w14:textFill>
              </w:rPr>
              <w:t>草地进行植被恢复</w:t>
            </w:r>
          </w:p>
        </w:tc>
      </w:tr>
    </w:tbl>
    <w:p w14:paraId="2A0CC806">
      <w:pPr>
        <w:pStyle w:val="105"/>
        <w:spacing w:beforeLines="0" w:line="440" w:lineRule="exact"/>
        <w:ind w:firstLine="476" w:firstLineChars="200"/>
        <w:jc w:val="both"/>
        <w:rPr>
          <w:rFonts w:ascii="Times New Roman" w:hAnsi="Times New Roman" w:cs="Times New Roman" w:eastAsiaTheme="minorEastAsia"/>
          <w:b/>
          <w:bCs/>
          <w:color w:val="000000" w:themeColor="text1"/>
          <w:w w:val="99"/>
          <w:sz w:val="24"/>
          <w:szCs w:val="24"/>
          <w:lang w:val="en-US"/>
          <w14:textFill>
            <w14:solidFill>
              <w14:schemeClr w14:val="tx1"/>
            </w14:solidFill>
          </w14:textFill>
        </w:rPr>
      </w:pPr>
      <w:r>
        <w:rPr>
          <w:rFonts w:ascii="Times New Roman" w:hAnsi="Times New Roman" w:cs="Times New Roman" w:eastAsiaTheme="minorEastAsia"/>
          <w:b/>
          <w:bCs/>
          <w:color w:val="000000" w:themeColor="text1"/>
          <w:w w:val="99"/>
          <w:sz w:val="24"/>
          <w:szCs w:val="24"/>
          <w14:textFill>
            <w14:solidFill>
              <w14:schemeClr w14:val="tx1"/>
            </w14:solidFill>
          </w14:textFill>
        </w:rPr>
        <w:t>表</w:t>
      </w:r>
      <w:r>
        <w:rPr>
          <w:rFonts w:ascii="Times New Roman" w:hAnsi="Times New Roman" w:cs="Times New Roman" w:eastAsiaTheme="minorEastAsia"/>
          <w:b/>
          <w:bCs/>
          <w:color w:val="000000" w:themeColor="text1"/>
          <w:w w:val="99"/>
          <w:sz w:val="24"/>
          <w:szCs w:val="24"/>
          <w:lang w:val="en-US"/>
          <w14:textFill>
            <w14:solidFill>
              <w14:schemeClr w14:val="tx1"/>
            </w14:solidFill>
          </w14:textFill>
        </w:rPr>
        <w:t>8.7-2        竣工验收监测与调查主要内容</w:t>
      </w:r>
    </w:p>
    <w:tbl>
      <w:tblPr>
        <w:tblStyle w:val="80"/>
        <w:tblW w:w="90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30"/>
        <w:gridCol w:w="6254"/>
      </w:tblGrid>
      <w:tr w14:paraId="06E89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30" w:type="dxa"/>
            <w:vAlign w:val="center"/>
          </w:tcPr>
          <w:p w14:paraId="476256EF">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项目</w:t>
            </w:r>
          </w:p>
        </w:tc>
        <w:tc>
          <w:tcPr>
            <w:tcW w:w="6254" w:type="dxa"/>
            <w:vAlign w:val="center"/>
          </w:tcPr>
          <w:p w14:paraId="22ADF6FA">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内容</w:t>
            </w:r>
          </w:p>
        </w:tc>
      </w:tr>
      <w:tr w14:paraId="352C5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30" w:type="dxa"/>
            <w:vMerge w:val="restart"/>
            <w:vAlign w:val="center"/>
          </w:tcPr>
          <w:p w14:paraId="2484BD78">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环境保护管理检查</w:t>
            </w:r>
          </w:p>
        </w:tc>
        <w:tc>
          <w:tcPr>
            <w:tcW w:w="6254" w:type="dxa"/>
            <w:vAlign w:val="center"/>
          </w:tcPr>
          <w:p w14:paraId="13656DA7">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项目各阶段环境保护法律、法规、规章制度的执行情况</w:t>
            </w:r>
          </w:p>
        </w:tc>
      </w:tr>
      <w:tr w14:paraId="6CB2B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30" w:type="dxa"/>
            <w:vMerge w:val="continue"/>
            <w:vAlign w:val="center"/>
          </w:tcPr>
          <w:p w14:paraId="01111D86">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254" w:type="dxa"/>
            <w:vAlign w:val="center"/>
          </w:tcPr>
          <w:p w14:paraId="08A63E5A">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环境保护审批手续及环境保护档案资料</w:t>
            </w:r>
          </w:p>
        </w:tc>
      </w:tr>
      <w:tr w14:paraId="334A6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30" w:type="dxa"/>
            <w:vMerge w:val="continue"/>
            <w:vAlign w:val="center"/>
          </w:tcPr>
          <w:p w14:paraId="2023063A">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254" w:type="dxa"/>
            <w:vAlign w:val="center"/>
          </w:tcPr>
          <w:p w14:paraId="7AB2AAAB">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环保组织机构及规章管理制度</w:t>
            </w:r>
          </w:p>
        </w:tc>
      </w:tr>
      <w:tr w14:paraId="32E32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30" w:type="dxa"/>
            <w:vMerge w:val="continue"/>
            <w:vAlign w:val="center"/>
          </w:tcPr>
          <w:p w14:paraId="49402997">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254" w:type="dxa"/>
            <w:vAlign w:val="center"/>
          </w:tcPr>
          <w:p w14:paraId="3D8859A0">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环保设施建成及运行情况，生态恢复、占地补偿、绿化等措施的落实情况</w:t>
            </w:r>
          </w:p>
        </w:tc>
      </w:tr>
      <w:tr w14:paraId="2186E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30" w:type="dxa"/>
            <w:vMerge w:val="continue"/>
            <w:vAlign w:val="center"/>
          </w:tcPr>
          <w:p w14:paraId="5014987D">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254" w:type="dxa"/>
            <w:vAlign w:val="center"/>
          </w:tcPr>
          <w:p w14:paraId="412AC9A7">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本项目环评报告及其批复提出的环保措施落实情况及其效果</w:t>
            </w:r>
          </w:p>
        </w:tc>
      </w:tr>
      <w:tr w14:paraId="16B23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30" w:type="dxa"/>
            <w:vMerge w:val="continue"/>
            <w:vAlign w:val="center"/>
          </w:tcPr>
          <w:p w14:paraId="4F84195F">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254" w:type="dxa"/>
            <w:vAlign w:val="center"/>
          </w:tcPr>
          <w:p w14:paraId="19CE341F">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运行期环境保护监测计划实施情况</w:t>
            </w:r>
          </w:p>
        </w:tc>
      </w:tr>
      <w:tr w14:paraId="34D95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30" w:type="dxa"/>
            <w:vMerge w:val="continue"/>
            <w:vAlign w:val="center"/>
          </w:tcPr>
          <w:p w14:paraId="4F0A6DBF">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254" w:type="dxa"/>
            <w:vAlign w:val="center"/>
          </w:tcPr>
          <w:p w14:paraId="5E210C15">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本项目事故风险的环保应急计划，包括物质配备、防范措施，应急处置等</w:t>
            </w:r>
          </w:p>
        </w:tc>
      </w:tr>
      <w:tr w14:paraId="7C648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30" w:type="dxa"/>
            <w:vMerge w:val="continue"/>
            <w:vAlign w:val="center"/>
          </w:tcPr>
          <w:p w14:paraId="10F8C362">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254" w:type="dxa"/>
            <w:vAlign w:val="center"/>
          </w:tcPr>
          <w:p w14:paraId="326C361B">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施工期、运行期扰民现象的调查</w:t>
            </w:r>
          </w:p>
        </w:tc>
      </w:tr>
      <w:tr w14:paraId="23412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30" w:type="dxa"/>
            <w:vMerge w:val="continue"/>
            <w:vAlign w:val="center"/>
          </w:tcPr>
          <w:p w14:paraId="3806FE5F">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254" w:type="dxa"/>
            <w:vAlign w:val="center"/>
          </w:tcPr>
          <w:p w14:paraId="7F59633E">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固体废物种类、产生量、处理处置情况、综合利用情况</w:t>
            </w:r>
          </w:p>
        </w:tc>
      </w:tr>
      <w:tr w14:paraId="730B2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30" w:type="dxa"/>
            <w:vAlign w:val="center"/>
          </w:tcPr>
          <w:p w14:paraId="16A08FA2">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环境保护敏感点环境质量监测</w:t>
            </w:r>
          </w:p>
        </w:tc>
        <w:tc>
          <w:tcPr>
            <w:tcW w:w="6254" w:type="dxa"/>
            <w:vAlign w:val="center"/>
          </w:tcPr>
          <w:p w14:paraId="28B2EBC1">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油田开发区内的环境空气、地下水、土壤及生态环境质量</w:t>
            </w:r>
          </w:p>
        </w:tc>
      </w:tr>
      <w:tr w14:paraId="01333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30" w:type="dxa"/>
            <w:vMerge w:val="restart"/>
            <w:vAlign w:val="center"/>
          </w:tcPr>
          <w:p w14:paraId="0D6D3820">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生态调查主要内容</w:t>
            </w:r>
          </w:p>
        </w:tc>
        <w:tc>
          <w:tcPr>
            <w:tcW w:w="6254" w:type="dxa"/>
            <w:vAlign w:val="center"/>
          </w:tcPr>
          <w:p w14:paraId="320EE9FC">
            <w:pPr>
              <w:pStyle w:val="108"/>
              <w:spacing w:line="360" w:lineRule="exact"/>
              <w:rPr>
                <w:rFonts w:eastAsiaTheme="minorEastAsia"/>
                <w:color w:val="000000" w:themeColor="text1"/>
                <w:w w:val="99"/>
                <w:kern w:val="2"/>
                <w:sz w:val="21"/>
                <w:szCs w:val="21"/>
                <w:lang w:val="en-US" w:bidi="ar-SA"/>
                <w14:textFill>
                  <w14:solidFill>
                    <w14:schemeClr w14:val="tx1"/>
                  </w14:solidFill>
                </w14:textFill>
              </w:rPr>
            </w:pPr>
            <w:r>
              <w:rPr>
                <w:rFonts w:eastAsiaTheme="minorEastAsia"/>
                <w:color w:val="000000" w:themeColor="text1"/>
                <w:w w:val="99"/>
                <w:kern w:val="2"/>
                <w:sz w:val="21"/>
                <w:szCs w:val="21"/>
                <w:lang w:val="en-US" w:bidi="ar-SA"/>
                <w14:textFill>
                  <w14:solidFill>
                    <w14:schemeClr w14:val="tx1"/>
                  </w14:solidFill>
                </w14:textFill>
              </w:rPr>
              <w:t>项目在施工、运行期落实环境影响评价、工程设计文件以及各级环境保护行政主管部门批复文件中生态保护措施的情况</w:t>
            </w:r>
          </w:p>
        </w:tc>
      </w:tr>
      <w:tr w14:paraId="3EC0B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30" w:type="dxa"/>
            <w:vMerge w:val="continue"/>
            <w:vAlign w:val="center"/>
          </w:tcPr>
          <w:p w14:paraId="4D4FA4F7">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254" w:type="dxa"/>
            <w:vAlign w:val="center"/>
          </w:tcPr>
          <w:p w14:paraId="0378722C">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该地区为水土流失重点治理区，应落实管道采用沟埋敷设，施工结束后及时有效地对占地区域土地进行平整，并压实；施工时要特别注意保护原始地表与天然植被，划定施工活动范围，严格控制和管理车辆及重型机械的运行范围，所有车辆采用“一”字型作业法，避免并行开辟新路，以减少风蚀沙化活动的范围；据当地际情况、环境特征及原生植被特点和生存种类，进行植被恢复。</w:t>
            </w:r>
          </w:p>
        </w:tc>
      </w:tr>
      <w:tr w14:paraId="4BA17F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30" w:type="dxa"/>
            <w:vMerge w:val="continue"/>
            <w:vAlign w:val="center"/>
          </w:tcPr>
          <w:p w14:paraId="035FD1A3">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254" w:type="dxa"/>
            <w:vAlign w:val="center"/>
          </w:tcPr>
          <w:p w14:paraId="0DFA0514">
            <w:pPr>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临时占地植被恢复情况：本项目建成投入运行后对临时占用的土地进行恢复、平整，恢复临时占地</w:t>
            </w:r>
            <w:r>
              <w:rPr>
                <w:rFonts w:hint="eastAsia" w:ascii="Times New Roman" w:hAnsi="Times New Roman" w:cs="Times New Roman" w:eastAsiaTheme="minorEastAsia"/>
                <w:color w:val="000000" w:themeColor="text1"/>
                <w:w w:val="99"/>
                <w:kern w:val="2"/>
                <w:sz w:val="21"/>
                <w:szCs w:val="21"/>
                <w:lang w:val="en-US" w:eastAsia="zh-CN" w:bidi="ar-SA"/>
                <w14:textFill>
                  <w14:solidFill>
                    <w14:schemeClr w14:val="tx1"/>
                  </w14:solidFill>
                </w14:textFill>
              </w:rPr>
              <w:t>4.5hm2</w:t>
            </w: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。恢复过程由环境监理全程监督，以确保生态恢复效果。</w:t>
            </w:r>
          </w:p>
        </w:tc>
      </w:tr>
      <w:tr w14:paraId="5E37B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30" w:type="dxa"/>
            <w:vMerge w:val="continue"/>
            <w:vAlign w:val="center"/>
          </w:tcPr>
          <w:p w14:paraId="2F1F48A6">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p>
        </w:tc>
        <w:tc>
          <w:tcPr>
            <w:tcW w:w="6254" w:type="dxa"/>
            <w:vAlign w:val="center"/>
          </w:tcPr>
          <w:p w14:paraId="5E32CEE3">
            <w:pPr>
              <w:autoSpaceDE/>
              <w:autoSpaceDN/>
              <w:snapToGrid w:val="0"/>
              <w:spacing w:line="360" w:lineRule="exact"/>
              <w:jc w:val="cente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
                <w:sz w:val="21"/>
                <w:szCs w:val="21"/>
                <w:lang w:val="en-US" w:bidi="ar-SA"/>
                <w14:textFill>
                  <w14:solidFill>
                    <w14:schemeClr w14:val="tx1"/>
                  </w14:solidFill>
                </w14:textFill>
              </w:rPr>
              <w:t>针对环境破坏或潜在环境影响提出补救措施的落实情况</w:t>
            </w:r>
          </w:p>
        </w:tc>
      </w:tr>
    </w:tbl>
    <w:p w14:paraId="1AA81F07">
      <w:pPr>
        <w:pStyle w:val="105"/>
        <w:spacing w:beforeLines="0" w:line="50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br w:type="page"/>
      </w:r>
    </w:p>
    <w:p w14:paraId="3EBB0A36">
      <w:pPr>
        <w:pStyle w:val="3"/>
        <w:autoSpaceDE/>
        <w:autoSpaceDN/>
        <w:spacing w:before="180" w:after="180" w:line="430" w:lineRule="exact"/>
        <w:ind w:left="0" w:firstLine="0"/>
        <w:rPr>
          <w:rFonts w:ascii="Times New Roman" w:hAnsi="Times New Roman" w:cs="Times New Roman" w:eastAsiaTheme="minorEastAsia"/>
          <w:b/>
          <w:snapToGrid w:val="0"/>
          <w:color w:val="000000" w:themeColor="text1"/>
          <w:w w:val="99"/>
          <w:kern w:val="2"/>
          <w:sz w:val="30"/>
          <w:szCs w:val="30"/>
          <w:lang w:val="en-US" w:bidi="ar-SA"/>
          <w14:textFill>
            <w14:solidFill>
              <w14:schemeClr w14:val="tx1"/>
            </w14:solidFill>
          </w14:textFill>
        </w:rPr>
      </w:pPr>
      <w:bookmarkStart w:id="574" w:name="_Toc117794666"/>
      <w:r>
        <w:rPr>
          <w:rFonts w:ascii="Times New Roman" w:hAnsi="Times New Roman" w:cs="Times New Roman" w:eastAsiaTheme="minorEastAsia"/>
          <w:b/>
          <w:snapToGrid w:val="0"/>
          <w:color w:val="000000" w:themeColor="text1"/>
          <w:w w:val="99"/>
          <w:kern w:val="2"/>
          <w:sz w:val="30"/>
          <w:szCs w:val="30"/>
          <w:lang w:val="en-US" w:bidi="ar-SA"/>
          <w14:textFill>
            <w14:solidFill>
              <w14:schemeClr w14:val="tx1"/>
            </w14:solidFill>
          </w14:textFill>
        </w:rPr>
        <w:t>9 环境影响评价结论</w:t>
      </w:r>
      <w:bookmarkEnd w:id="574"/>
    </w:p>
    <w:p w14:paraId="28839C13">
      <w:pPr>
        <w:pStyle w:val="4"/>
        <w:autoSpaceDE/>
        <w:autoSpaceDN/>
        <w:spacing w:before="120" w:after="120" w:line="43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575" w:name="_Toc117794667"/>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9.1 工程概况</w:t>
      </w:r>
      <w:bookmarkEnd w:id="575"/>
    </w:p>
    <w:p w14:paraId="5C07524D">
      <w:pPr>
        <w:spacing w:line="43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本项目</w:t>
      </w:r>
      <w:r>
        <w:rPr>
          <w:rFonts w:hint="eastAsia" w:ascii="Times New Roman" w:hAnsi="Times New Roman" w:cs="Times New Roman" w:eastAsiaTheme="minorEastAsia"/>
          <w:color w:val="000000" w:themeColor="text1"/>
          <w:w w:val="99"/>
          <w:sz w:val="24"/>
          <w:szCs w:val="24"/>
          <w:lang w:eastAsia="zh-CN"/>
          <w14:textFill>
            <w14:solidFill>
              <w14:schemeClr w14:val="tx1"/>
            </w14:solidFill>
          </w14:textFill>
        </w:rPr>
        <w:t>第五采油厂杏南二转油站及站外系统改造工程项目</w:t>
      </w:r>
      <w:r>
        <w:rPr>
          <w:rFonts w:ascii="Times New Roman" w:hAnsi="Times New Roman" w:cs="Times New Roman" w:eastAsiaTheme="minorEastAsia"/>
          <w:bCs/>
          <w:snapToGrid w:val="0"/>
          <w:color w:val="000000" w:themeColor="text1"/>
          <w:w w:val="99"/>
          <w:sz w:val="24"/>
          <w:szCs w:val="24"/>
          <w14:textFill>
            <w14:solidFill>
              <w14:schemeClr w14:val="tx1"/>
            </w14:solidFill>
          </w14:textFill>
        </w:rPr>
        <w:t>，</w:t>
      </w:r>
      <w:r>
        <w:rPr>
          <w:rFonts w:ascii="Times New Roman" w:hAnsi="Times New Roman" w:cs="Times New Roman" w:eastAsiaTheme="minorEastAsia"/>
          <w:color w:val="000000" w:themeColor="text1"/>
          <w:w w:val="99"/>
          <w:sz w:val="24"/>
          <w:szCs w:val="24"/>
          <w14:textFill>
            <w14:solidFill>
              <w14:schemeClr w14:val="tx1"/>
            </w14:solidFill>
          </w14:textFill>
        </w:rPr>
        <w:t>主要建设内容包括：</w:t>
      </w:r>
      <w:r>
        <w:rPr>
          <w:rFonts w:ascii="Times New Roman" w:hAnsi="Times New Roman" w:cs="Times New Roman" w:eastAsiaTheme="minorEastAsia"/>
          <w:color w:val="000000" w:themeColor="text1"/>
          <w:w w:val="99"/>
          <w:sz w:val="24"/>
          <w:szCs w:val="24"/>
          <w:lang w:val="en-US"/>
          <w14:textFill>
            <w14:solidFill>
              <w14:schemeClr w14:val="tx1"/>
            </w14:solidFill>
          </w14:textFill>
        </w:rPr>
        <w:t>拆除11座拉油点内九合一装置30座，并采取树状电加热流程将原拉油点产液集中输送至新建混输阀组间，再增压混输至龙一联合站内，新建混输泵2台，新建集油管道23.37km，管道电伴热30套，井口电加热器11台；新建柱上变9座，低压电力电缆0.85km，高压电力电缆0.3km，6kV架空线路14km</w:t>
      </w:r>
      <w:r>
        <w:rPr>
          <w:rFonts w:ascii="Times New Roman" w:hAnsi="Times New Roman" w:cs="Times New Roman" w:eastAsiaTheme="minorEastAsia"/>
          <w:color w:val="000000" w:themeColor="text1"/>
          <w:w w:val="99"/>
          <w:sz w:val="24"/>
          <w:szCs w:val="24"/>
          <w14:textFill>
            <w14:solidFill>
              <w14:schemeClr w14:val="tx1"/>
            </w14:solidFill>
          </w14:textFill>
        </w:rPr>
        <w:t>。本项目不新增永久占地，临时占地</w:t>
      </w:r>
      <w:r>
        <w:rPr>
          <w:rFonts w:hint="eastAsia" w:ascii="Times New Roman" w:hAnsi="Times New Roman" w:cs="Times New Roman" w:eastAsiaTheme="minorEastAsia"/>
          <w:color w:val="000000" w:themeColor="text1"/>
          <w:w w:val="99"/>
          <w:sz w:val="24"/>
          <w:szCs w:val="24"/>
          <w:lang w:eastAsia="zh-CN"/>
          <w14:textFill>
            <w14:solidFill>
              <w14:schemeClr w14:val="tx1"/>
            </w14:solidFill>
          </w14:textFill>
        </w:rPr>
        <w:t>4.5hm2</w:t>
      </w:r>
      <w:r>
        <w:rPr>
          <w:rFonts w:ascii="Times New Roman" w:hAnsi="Times New Roman" w:cs="Times New Roman" w:eastAsiaTheme="minorEastAsia"/>
          <w:color w:val="000000" w:themeColor="text1"/>
          <w:w w:val="99"/>
          <w:sz w:val="24"/>
          <w:szCs w:val="24"/>
          <w14:textFill>
            <w14:solidFill>
              <w14:schemeClr w14:val="tx1"/>
            </w14:solidFill>
          </w14:textFill>
        </w:rPr>
        <w:t>。工程投资2395.5万元。</w:t>
      </w:r>
    </w:p>
    <w:p w14:paraId="1FED462A">
      <w:pPr>
        <w:pStyle w:val="4"/>
        <w:autoSpaceDE/>
        <w:autoSpaceDN/>
        <w:spacing w:before="120" w:after="120" w:line="43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576" w:name="_Toc76387125"/>
      <w:bookmarkStart w:id="577" w:name="_Toc117794668"/>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9.2 政策符合性结论</w:t>
      </w:r>
      <w:bookmarkEnd w:id="576"/>
      <w:bookmarkEnd w:id="577"/>
    </w:p>
    <w:p w14:paraId="6CA98C33">
      <w:pPr>
        <w:pStyle w:val="105"/>
        <w:spacing w:beforeLines="0" w:line="43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本项目符合</w:t>
      </w:r>
      <w:r>
        <w:rPr>
          <w:rFonts w:hint="eastAsia" w:ascii="Times New Roman" w:hAnsi="Times New Roman" w:cs="Times New Roman" w:eastAsiaTheme="minorEastAsia"/>
          <w:color w:val="000000" w:themeColor="text1"/>
          <w:w w:val="99"/>
          <w:sz w:val="24"/>
          <w:szCs w:val="24"/>
          <w:lang w:eastAsia="zh-CN"/>
          <w14:textFill>
            <w14:solidFill>
              <w14:schemeClr w14:val="tx1"/>
            </w14:solidFill>
          </w14:textFill>
        </w:rPr>
        <w:t>《产业结构调整指导目录（2024年本）》</w:t>
      </w:r>
      <w:r>
        <w:rPr>
          <w:rFonts w:ascii="Times New Roman" w:hAnsi="Times New Roman" w:cs="Times New Roman" w:eastAsiaTheme="minorEastAsia"/>
          <w:color w:val="000000" w:themeColor="text1"/>
          <w:w w:val="99"/>
          <w:sz w:val="24"/>
          <w:szCs w:val="24"/>
          <w14:textFill>
            <w14:solidFill>
              <w14:schemeClr w14:val="tx1"/>
            </w14:solidFill>
          </w14:textFill>
        </w:rPr>
        <w:t>要求，属于鼓励类建设项目。</w:t>
      </w:r>
    </w:p>
    <w:p w14:paraId="3F7483A7">
      <w:pPr>
        <w:pStyle w:val="105"/>
        <w:spacing w:beforeLines="0" w:line="43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在规划政策方面，本项目符合《黑龙江省主体功能区划》、《黑龙江省生态功能区划》、《大庆市土地利用总体规划（2006~2020）》、《中共大庆市委关于制定国民经济和社会发展第十四个五年规划和二〇三五年远景目标》、《大庆市水土保持规划》（2015~2030）、</w:t>
      </w:r>
      <w:r>
        <w:rPr>
          <w:rFonts w:ascii="Times New Roman" w:hAnsi="Times New Roman" w:cs="Times New Roman" w:eastAsiaTheme="minorEastAsia"/>
          <w:iCs/>
          <w:color w:val="000000" w:themeColor="text1"/>
          <w:w w:val="99"/>
          <w:sz w:val="24"/>
          <w:szCs w:val="24"/>
          <w:lang w:val="en-US"/>
          <w14:textFill>
            <w14:solidFill>
              <w14:schemeClr w14:val="tx1"/>
            </w14:solidFill>
          </w14:textFill>
        </w:rPr>
        <w:t>《水污染防治行动计划》（国发〔2015〕17号）、《黑龙江省水污染防治实施方案》（黑政发〔2016〕3号）、《大庆市加强水污染防治工作实施方案》（庆政办发〔2015〕55号）、《土壤污染防治行动计划》（国发〔2016〕31号）、《黑龙江省土壤污染防治实施方案》（黑政发〔2016〕46号）及《大庆市土壤污染防治实施方案》（庆政规〔2017〕2号）</w:t>
      </w:r>
      <w:r>
        <w:rPr>
          <w:rFonts w:ascii="Times New Roman" w:hAnsi="Times New Roman" w:cs="Times New Roman" w:eastAsiaTheme="minorEastAsia"/>
          <w:color w:val="000000" w:themeColor="text1"/>
          <w:w w:val="99"/>
          <w:sz w:val="24"/>
          <w:szCs w:val="24"/>
          <w14:textFill>
            <w14:solidFill>
              <w14:schemeClr w14:val="tx1"/>
            </w14:solidFill>
          </w14:textFill>
        </w:rPr>
        <w:t>等主体功能区划要求，符合当地城市总体规划、土地利用规划等。</w:t>
      </w:r>
    </w:p>
    <w:p w14:paraId="73EB72B5">
      <w:pPr>
        <w:spacing w:line="430" w:lineRule="exact"/>
        <w:ind w:firstLine="474" w:firstLineChars="200"/>
        <w:rPr>
          <w:rFonts w:ascii="Times New Roman" w:hAnsi="Times New Roman" w:cs="Times New Roman" w:eastAsiaTheme="minorEastAsia"/>
          <w:iCs/>
          <w:color w:val="000000" w:themeColor="text1"/>
          <w:w w:val="99"/>
          <w:sz w:val="24"/>
          <w:szCs w:val="24"/>
          <w:lang w:val="en-US"/>
          <w14:textFill>
            <w14:solidFill>
              <w14:schemeClr w14:val="tx1"/>
            </w14:solidFill>
          </w14:textFill>
        </w:rPr>
      </w:pPr>
      <w:r>
        <w:rPr>
          <w:rFonts w:ascii="Times New Roman" w:hAnsi="Times New Roman" w:cs="Times New Roman" w:eastAsiaTheme="minorEastAsia"/>
          <w:iCs/>
          <w:color w:val="000000" w:themeColor="text1"/>
          <w:w w:val="99"/>
          <w:sz w:val="24"/>
          <w:szCs w:val="24"/>
          <w:lang w:val="en-US"/>
          <w14:textFill>
            <w14:solidFill>
              <w14:schemeClr w14:val="tx1"/>
            </w14:solidFill>
          </w14:textFill>
        </w:rPr>
        <w:t>同时，本项目满足《黑龙江省人民政府关于实施“三线一单”生态环境分区管控的意见》、（黑政规〔2018〕19号）等政策要求，在石油开采行业管理方面，满足《关于进一步加强石油天然气行业环境影响评价管理的通知》（环办环评函〔2019〕910号）、《黑龙江省重点行业挥发性有机物综合治理行动方案》（黑环发〔2019〕153号）、《石油天然气开采业污染防治技术政策》（环保部公告2012年第18号）等管控要求。</w:t>
      </w:r>
    </w:p>
    <w:p w14:paraId="2A9C902D">
      <w:pPr>
        <w:pStyle w:val="4"/>
        <w:autoSpaceDE/>
        <w:autoSpaceDN/>
        <w:spacing w:before="120" w:after="120" w:line="43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578" w:name="_Toc117794669"/>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9.3选址合理性结论</w:t>
      </w:r>
      <w:bookmarkEnd w:id="578"/>
    </w:p>
    <w:p w14:paraId="5926D20F">
      <w:pPr>
        <w:widowControl/>
        <w:autoSpaceDE/>
        <w:autoSpaceDN/>
        <w:spacing w:line="430" w:lineRule="exact"/>
        <w:ind w:firstLine="474" w:firstLineChars="200"/>
        <w:jc w:val="both"/>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t>本项目所在区域主要为耕地和草地，本项目占地范围内无国家公园、自然保护区、风景名胜区、世界文化和自然遗产地、海洋特别保护区、饮用水源保护区、永久基本农田、基本草原、自然公园（森林公园、地质公园、海洋公园等）、重要湿地、天然林、生态红线管控范围、重点保护野生动物栖息地，重点保护野生植物生长繁殖地，重要水生生物的自然产卵场、索饵场、越冬场和洄游通道，天然渔场，水土流失重点预防区、沙化土地封禁保护区、封闭及半封闭海域等重要保护目标，也不在生态红线内，工程采用占地面积最小、环境影响最小的布局方案，减少占地和损耗，节约资源可行；利于环境风险的防范和应急反应。工程严格执行占地标准，尽量减少对耕地的占用，并对占地采取生态恢复及补偿措施。工程建设对周围的主要环境影响为生态环境影响、大气环境影响、地下水环境影响、声环境影响和固废对周围的环境影响。通过环境影响预测与环境影响分析，工程建设实施后，通过采取相应的污染控制措施，周围的环境质量均能满足相关标准要求，工程建设对周围的环境影响均在可接受的范围，工程选址在环境保护方面较合理。</w:t>
      </w:r>
    </w:p>
    <w:p w14:paraId="77A0E3DB">
      <w:pPr>
        <w:pStyle w:val="4"/>
        <w:autoSpaceDE/>
        <w:autoSpaceDN/>
        <w:spacing w:before="120" w:after="120" w:line="43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579" w:name="_Toc117794670"/>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9.4 环境质量现状</w:t>
      </w:r>
      <w:bookmarkEnd w:id="579"/>
    </w:p>
    <w:p w14:paraId="725251F9">
      <w:pPr>
        <w:pStyle w:val="5"/>
        <w:autoSpaceDE/>
        <w:autoSpaceDN/>
        <w:spacing w:before="60" w:after="60" w:line="43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80" w:name="_Toc117794671"/>
      <w:r>
        <w:rPr>
          <w:rFonts w:ascii="Times New Roman" w:hAnsi="Times New Roman" w:cs="Times New Roman" w:eastAsiaTheme="minorEastAsia"/>
          <w:color w:val="000000" w:themeColor="text1"/>
          <w:w w:val="99"/>
          <w:kern w:val="2"/>
          <w:lang w:val="en-US" w:bidi="ar-SA"/>
          <w14:textFill>
            <w14:solidFill>
              <w14:schemeClr w14:val="tx1"/>
            </w14:solidFill>
          </w14:textFill>
        </w:rPr>
        <w:t>9.4.1 空气环境质量现状</w:t>
      </w:r>
      <w:bookmarkEnd w:id="580"/>
    </w:p>
    <w:p w14:paraId="5B1FC2C1">
      <w:pPr>
        <w:pStyle w:val="105"/>
        <w:spacing w:beforeLines="0" w:line="43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根据《2021年大庆市生态环境状况公报》统计数据可知，项目所在区域属于达标区。均能满足《环境空气质量标准》（GB3095-2012）二级标准要求。特征污染物</w:t>
      </w:r>
      <w:r>
        <w:rPr>
          <w:rFonts w:hint="eastAsia" w:ascii="Times New Roman" w:hAnsi="Times New Roman" w:cs="Times New Roman" w:eastAsiaTheme="minorEastAsia"/>
          <w:color w:val="000000" w:themeColor="text1"/>
          <w:w w:val="99"/>
          <w:sz w:val="24"/>
          <w:szCs w:val="24"/>
          <w14:textFill>
            <w14:solidFill>
              <w14:schemeClr w14:val="tx1"/>
            </w14:solidFill>
          </w14:textFill>
        </w:rPr>
        <w:t>T</w:t>
      </w:r>
      <w:r>
        <w:rPr>
          <w:rFonts w:ascii="Times New Roman" w:hAnsi="Times New Roman" w:cs="Times New Roman" w:eastAsiaTheme="minorEastAsia"/>
          <w:color w:val="000000" w:themeColor="text1"/>
          <w:w w:val="99"/>
          <w:sz w:val="24"/>
          <w:szCs w:val="24"/>
          <w14:textFill>
            <w14:solidFill>
              <w14:schemeClr w14:val="tx1"/>
            </w14:solidFill>
          </w14:textFill>
        </w:rPr>
        <w:t>SP满足《环境空气质量标准》（GB3095-2012）二级标准要求，非甲烷总烃满足《大气污染物综合排放标准详解》中的2.0mg/m</w:t>
      </w:r>
      <w:r>
        <w:rPr>
          <w:rFonts w:ascii="Times New Roman" w:hAnsi="Times New Roman" w:cs="Times New Roman" w:eastAsiaTheme="minorEastAsia"/>
          <w:color w:val="000000" w:themeColor="text1"/>
          <w:w w:val="99"/>
          <w:sz w:val="24"/>
          <w:szCs w:val="24"/>
          <w:vertAlign w:val="superscript"/>
          <w14:textFill>
            <w14:solidFill>
              <w14:schemeClr w14:val="tx1"/>
            </w14:solidFill>
          </w14:textFill>
        </w:rPr>
        <w:t>3</w:t>
      </w:r>
      <w:r>
        <w:rPr>
          <w:rFonts w:ascii="Times New Roman" w:hAnsi="Times New Roman" w:cs="Times New Roman" w:eastAsiaTheme="minorEastAsia"/>
          <w:color w:val="000000" w:themeColor="text1"/>
          <w:w w:val="99"/>
          <w:sz w:val="24"/>
          <w:szCs w:val="24"/>
          <w14:textFill>
            <w14:solidFill>
              <w14:schemeClr w14:val="tx1"/>
            </w14:solidFill>
          </w14:textFill>
        </w:rPr>
        <w:t>标准要求。</w:t>
      </w:r>
    </w:p>
    <w:p w14:paraId="6C7F4558">
      <w:pPr>
        <w:pStyle w:val="5"/>
        <w:autoSpaceDE/>
        <w:autoSpaceDN/>
        <w:spacing w:before="60" w:after="60" w:line="43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81" w:name="_Toc117794672"/>
      <w:r>
        <w:rPr>
          <w:rFonts w:ascii="Times New Roman" w:hAnsi="Times New Roman" w:cs="Times New Roman" w:eastAsiaTheme="minorEastAsia"/>
          <w:color w:val="000000" w:themeColor="text1"/>
          <w:w w:val="99"/>
          <w:kern w:val="2"/>
          <w:lang w:val="en-US" w:bidi="ar-SA"/>
          <w14:textFill>
            <w14:solidFill>
              <w14:schemeClr w14:val="tx1"/>
            </w14:solidFill>
          </w14:textFill>
        </w:rPr>
        <w:t>9.4.2 地表水环境质量现状</w:t>
      </w:r>
      <w:bookmarkEnd w:id="581"/>
    </w:p>
    <w:p w14:paraId="69943C00">
      <w:pPr>
        <w:pStyle w:val="152"/>
        <w:spacing w:line="430" w:lineRule="exact"/>
        <w:ind w:firstLine="433"/>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14:textFill>
            <w14:solidFill>
              <w14:schemeClr w14:val="tx1"/>
            </w14:solidFill>
          </w14:textFill>
        </w:rPr>
        <w:t>根据《大庆市人民政府关于印发大庆市声环境功能区划分、大庆市环境空气质量功能区划分、大庆市地表水环境功能区划分的通知》（庆政发〔2019〕11号），古努泡子未划分水体功能，不执行《地表水环境质量标准》（GB3838-2002）中的标准限值要求，本项目仅对古努泡子现状进行监测，监测结果显示本项目特征因子石油类未检出。</w:t>
      </w:r>
    </w:p>
    <w:p w14:paraId="76CEAFBA">
      <w:pPr>
        <w:pStyle w:val="5"/>
        <w:autoSpaceDE/>
        <w:autoSpaceDN/>
        <w:spacing w:before="60" w:after="60" w:line="43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82" w:name="_Toc117794673"/>
      <w:r>
        <w:rPr>
          <w:rFonts w:ascii="Times New Roman" w:hAnsi="Times New Roman" w:cs="Times New Roman" w:eastAsiaTheme="minorEastAsia"/>
          <w:color w:val="000000" w:themeColor="text1"/>
          <w:w w:val="99"/>
          <w:kern w:val="2"/>
          <w:lang w:val="en-US" w:bidi="ar-SA"/>
          <w14:textFill>
            <w14:solidFill>
              <w14:schemeClr w14:val="tx1"/>
            </w14:solidFill>
          </w14:textFill>
        </w:rPr>
        <w:t>9.4.3 地下水环境质量现状</w:t>
      </w:r>
      <w:bookmarkEnd w:id="582"/>
    </w:p>
    <w:p w14:paraId="341E59DD">
      <w:pPr>
        <w:pStyle w:val="105"/>
        <w:spacing w:before="120" w:line="43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评价区域潜水及承压水水质均满足《地下水质量标准》（GB/T14848-2017）III类标准，石油类能够满足《地表水环境质量标准》（GB3838-2002）表1中的III类标准限值要求。评价区域地下水化学类型主要为4-A型HCO</w:t>
      </w:r>
      <w:r>
        <w:rPr>
          <w:rFonts w:ascii="Times New Roman" w:hAnsi="Times New Roman" w:cs="Times New Roman" w:eastAsiaTheme="minorEastAsia"/>
          <w:color w:val="000000" w:themeColor="text1"/>
          <w:w w:val="99"/>
          <w:sz w:val="24"/>
          <w:szCs w:val="24"/>
          <w:vertAlign w:val="subscript"/>
          <w14:textFill>
            <w14:solidFill>
              <w14:schemeClr w14:val="tx1"/>
            </w14:solidFill>
          </w14:textFill>
        </w:rPr>
        <w:t>3</w:t>
      </w:r>
      <w:r>
        <w:rPr>
          <w:rFonts w:ascii="Times New Roman" w:hAnsi="Times New Roman" w:cs="Times New Roman" w:eastAsiaTheme="minorEastAsia"/>
          <w:color w:val="000000" w:themeColor="text1"/>
          <w:w w:val="99"/>
          <w:sz w:val="24"/>
          <w:szCs w:val="24"/>
          <w14:textFill>
            <w14:solidFill>
              <w14:schemeClr w14:val="tx1"/>
            </w14:solidFill>
          </w14:textFill>
        </w:rPr>
        <w:t>-Na+Ca淡水。</w:t>
      </w:r>
    </w:p>
    <w:p w14:paraId="723869B4">
      <w:pPr>
        <w:pStyle w:val="105"/>
        <w:spacing w:beforeLines="0" w:line="43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评价区域内包气带中汞、砷均未检出，且污染控制点与清洁对照点油田特征污染物石油类、挥发酚所测数值相差不大，评价区域内包气带未被污染。</w:t>
      </w:r>
    </w:p>
    <w:p w14:paraId="793C1766">
      <w:pPr>
        <w:pStyle w:val="5"/>
        <w:autoSpaceDE/>
        <w:autoSpaceDN/>
        <w:spacing w:before="60" w:after="60" w:line="43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83" w:name="_Toc117794674"/>
      <w:r>
        <w:rPr>
          <w:rFonts w:ascii="Times New Roman" w:hAnsi="Times New Roman" w:cs="Times New Roman" w:eastAsiaTheme="minorEastAsia"/>
          <w:color w:val="000000" w:themeColor="text1"/>
          <w:w w:val="99"/>
          <w:kern w:val="2"/>
          <w:lang w:val="en-US" w:bidi="ar-SA"/>
          <w14:textFill>
            <w14:solidFill>
              <w14:schemeClr w14:val="tx1"/>
            </w14:solidFill>
          </w14:textFill>
        </w:rPr>
        <w:t>9.4.4 声环境质量现状</w:t>
      </w:r>
      <w:bookmarkEnd w:id="583"/>
    </w:p>
    <w:p w14:paraId="115A8B62">
      <w:pPr>
        <w:widowControl/>
        <w:spacing w:line="430" w:lineRule="exact"/>
        <w:ind w:firstLine="474" w:firstLineChars="200"/>
        <w:jc w:val="both"/>
        <w:rPr>
          <w:rFonts w:ascii="Times New Roman" w:hAnsi="Times New Roman" w:cs="Times New Roman" w:eastAsiaTheme="minorEastAsia"/>
          <w:color w:val="000000" w:themeColor="text1"/>
          <w:w w:val="99"/>
          <w:sz w:val="24"/>
          <w:szCs w:val="24"/>
          <w:lang w:val="en-US"/>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项目区评价范围内各监测点昼间及夜间等效连续A声级均无超标现象，达标率100%，本项目区域声环境质量满足《声环境质量标准》（GB3096-2008）中2类区标准要求，项目区域周边声环境敏感点满足《声环境质量标准》（GB3096-2008）中1类标准。</w:t>
      </w:r>
    </w:p>
    <w:p w14:paraId="59A1F4A9">
      <w:pPr>
        <w:pStyle w:val="5"/>
        <w:autoSpaceDE/>
        <w:autoSpaceDN/>
        <w:spacing w:before="60" w:after="60" w:line="43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84" w:name="_Toc117794675"/>
      <w:r>
        <w:rPr>
          <w:rFonts w:ascii="Times New Roman" w:hAnsi="Times New Roman" w:cs="Times New Roman" w:eastAsiaTheme="minorEastAsia"/>
          <w:color w:val="000000" w:themeColor="text1"/>
          <w:w w:val="99"/>
          <w:kern w:val="2"/>
          <w:lang w:val="en-US" w:bidi="ar-SA"/>
          <w14:textFill>
            <w14:solidFill>
              <w14:schemeClr w14:val="tx1"/>
            </w14:solidFill>
          </w14:textFill>
        </w:rPr>
        <w:t>9.4.5 土壤环境质量现状</w:t>
      </w:r>
      <w:bookmarkEnd w:id="584"/>
    </w:p>
    <w:p w14:paraId="3533CADE">
      <w:pPr>
        <w:pStyle w:val="105"/>
        <w:spacing w:beforeLines="0" w:line="43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评价区域内土壤环境质量较好，没有出现超标情况。本项目占地内土壤满足《土壤环境质量 建设用地土壤污染风险管控标准（试行）》（GB36600-2018）中表1建设用地土壤污染风险筛选值（基本项目）中第二类用地筛选值标准，以及表2（其他项目）中第二类用地筛选值标准；评价范围内居民区土壤满足《土壤环境质量 建设用地土壤污染风险管控标准（试行）》（GB36600-2018）中表1建设用地土壤污染风险筛选值（基本项目）中第一类用地筛选值标准，以及表2（其他项目）中第一类用地筛选值标准；评价范围内农用地土壤满足《土壤环境质量 农用地土壤污染风险管控标准（试行）》（GB15618-2018）表1农用地土壤风险筛选值（基本项目）中标准。</w:t>
      </w:r>
    </w:p>
    <w:p w14:paraId="1EFA6777">
      <w:pPr>
        <w:pStyle w:val="5"/>
        <w:autoSpaceDE/>
        <w:autoSpaceDN/>
        <w:spacing w:before="60" w:after="60" w:line="43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85" w:name="_Toc117794676"/>
      <w:r>
        <w:rPr>
          <w:rFonts w:ascii="Times New Roman" w:hAnsi="Times New Roman" w:cs="Times New Roman" w:eastAsiaTheme="minorEastAsia"/>
          <w:color w:val="000000" w:themeColor="text1"/>
          <w:w w:val="99"/>
          <w:kern w:val="2"/>
          <w:lang w:val="en-US" w:bidi="ar-SA"/>
          <w14:textFill>
            <w14:solidFill>
              <w14:schemeClr w14:val="tx1"/>
            </w14:solidFill>
          </w14:textFill>
        </w:rPr>
        <w:t>9.4.6</w:t>
      </w:r>
      <w:r>
        <w:rPr>
          <w:rFonts w:ascii="Times New Roman" w:hAnsi="Times New Roman" w:cs="Times New Roman" w:eastAsiaTheme="minorEastAsia"/>
          <w:color w:val="000000" w:themeColor="text1"/>
          <w:w w:val="99"/>
          <w:kern w:val="2"/>
          <w14:textFill>
            <w14:solidFill>
              <w14:schemeClr w14:val="tx1"/>
            </w14:solidFill>
          </w14:textFill>
        </w:rPr>
        <w:t>生态环境现状评价结论</w:t>
      </w:r>
      <w:bookmarkEnd w:id="585"/>
    </w:p>
    <w:p w14:paraId="075FF848">
      <w:pPr>
        <w:pStyle w:val="152"/>
        <w:spacing w:line="430" w:lineRule="exact"/>
        <w:ind w:firstLine="473"/>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lang w:val="en-US"/>
          <w14:textFill>
            <w14:solidFill>
              <w14:schemeClr w14:val="tx1"/>
            </w14:solidFill>
          </w14:textFill>
        </w:rPr>
        <w:t>该项目所在地区已开发多年，做为油田开发的老区，自然生态系统现状为草地生态系统和农田生态系统，具有季节性。且由于项目施工及运营期对生态环境采取了较多的环境措施，本项目建设与运行对生态系统影响较小。</w:t>
      </w:r>
    </w:p>
    <w:p w14:paraId="07C4908A">
      <w:pPr>
        <w:pStyle w:val="4"/>
        <w:autoSpaceDE/>
        <w:autoSpaceDN/>
        <w:spacing w:before="120" w:after="120" w:line="43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586" w:name="_Toc117794677"/>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9.5</w:t>
      </w:r>
      <w:r>
        <w:rPr>
          <w:rFonts w:ascii="Times New Roman" w:hAnsi="Times New Roman" w:cs="Times New Roman" w:eastAsiaTheme="minorEastAsia"/>
          <w:b/>
          <w:snapToGrid w:val="0"/>
          <w:color w:val="000000" w:themeColor="text1"/>
          <w:w w:val="99"/>
          <w14:textFill>
            <w14:solidFill>
              <w14:schemeClr w14:val="tx1"/>
            </w14:solidFill>
          </w14:textFill>
        </w:rPr>
        <w:t>环境影响分析和污染防治措施可行性结论</w:t>
      </w:r>
      <w:bookmarkEnd w:id="586"/>
    </w:p>
    <w:p w14:paraId="1AE9C252">
      <w:pPr>
        <w:pStyle w:val="5"/>
        <w:autoSpaceDE/>
        <w:autoSpaceDN/>
        <w:spacing w:before="60" w:after="60" w:line="43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87" w:name="_Toc117794678"/>
      <w:r>
        <w:rPr>
          <w:rFonts w:ascii="Times New Roman" w:hAnsi="Times New Roman" w:cs="Times New Roman" w:eastAsiaTheme="minorEastAsia"/>
          <w:color w:val="000000" w:themeColor="text1"/>
          <w:w w:val="99"/>
          <w:kern w:val="2"/>
          <w:lang w:val="en-US" w:bidi="ar-SA"/>
          <w14:textFill>
            <w14:solidFill>
              <w14:schemeClr w14:val="tx1"/>
            </w14:solidFill>
          </w14:textFill>
        </w:rPr>
        <w:t xml:space="preserve">9.5.1 </w:t>
      </w:r>
      <w:r>
        <w:rPr>
          <w:rFonts w:ascii="Times New Roman" w:hAnsi="Times New Roman" w:cs="Times New Roman" w:eastAsiaTheme="minorEastAsia"/>
          <w:color w:val="000000" w:themeColor="text1"/>
          <w:w w:val="99"/>
          <w:kern w:val="2"/>
          <w14:textFill>
            <w14:solidFill>
              <w14:schemeClr w14:val="tx1"/>
            </w14:solidFill>
          </w14:textFill>
        </w:rPr>
        <w:t>大气环境影响分析和污染防治措施可行性结论</w:t>
      </w:r>
      <w:bookmarkEnd w:id="587"/>
    </w:p>
    <w:p w14:paraId="156A7AE1">
      <w:pPr>
        <w:spacing w:line="430" w:lineRule="exact"/>
        <w:ind w:firstLine="474" w:firstLineChars="200"/>
        <w:jc w:val="both"/>
        <w:rPr>
          <w:rFonts w:ascii="Times New Roman" w:hAnsi="Times New Roman" w:cs="Times New Roman" w:eastAsiaTheme="minorEastAsia"/>
          <w:color w:val="000000" w:themeColor="text1"/>
          <w:w w:val="99"/>
          <w:kern w:val="21"/>
          <w:sz w:val="24"/>
          <w:szCs w:val="24"/>
          <w14:textFill>
            <w14:solidFill>
              <w14:schemeClr w14:val="tx1"/>
            </w14:solidFill>
          </w14:textFill>
        </w:rPr>
      </w:pPr>
      <w:r>
        <w:rPr>
          <w:rFonts w:ascii="Times New Roman" w:hAnsi="Times New Roman" w:cs="Times New Roman" w:eastAsiaTheme="minorEastAsia"/>
          <w:color w:val="000000" w:themeColor="text1"/>
          <w:w w:val="99"/>
          <w:kern w:val="21"/>
          <w:sz w:val="24"/>
          <w:szCs w:val="24"/>
          <w14:textFill>
            <w14:solidFill>
              <w14:schemeClr w14:val="tx1"/>
            </w14:solidFill>
          </w14:textFill>
        </w:rPr>
        <w:t>施工期排放的废气主要是扬尘、焊接烟尘，通过采取相应的控制措施，施工场界扬尘浓度能够满足</w:t>
      </w:r>
      <w:r>
        <w:rPr>
          <w:rFonts w:ascii="Times New Roman" w:hAnsi="Times New Roman" w:cs="Times New Roman" w:eastAsiaTheme="minorEastAsia"/>
          <w:bCs/>
          <w:color w:val="000000" w:themeColor="text1"/>
          <w:w w:val="99"/>
          <w:kern w:val="21"/>
          <w:sz w:val="24"/>
          <w:szCs w:val="24"/>
          <w14:textFill>
            <w14:solidFill>
              <w14:schemeClr w14:val="tx1"/>
            </w14:solidFill>
          </w14:textFill>
        </w:rPr>
        <w:t>《大气污染物综合排放标准》（GB16297-1996）表2中无组织排放监控浓度限值</w:t>
      </w:r>
      <w:r>
        <w:rPr>
          <w:rFonts w:ascii="Times New Roman" w:hAnsi="Times New Roman" w:cs="Times New Roman" w:eastAsiaTheme="minorEastAsia"/>
          <w:color w:val="000000" w:themeColor="text1"/>
          <w:w w:val="99"/>
          <w:kern w:val="21"/>
          <w:sz w:val="24"/>
          <w:szCs w:val="24"/>
          <w14:textFill>
            <w14:solidFill>
              <w14:schemeClr w14:val="tx1"/>
            </w14:solidFill>
          </w14:textFill>
        </w:rPr>
        <w:t>，对区域空气环境及环保目标的影响较小。</w:t>
      </w:r>
    </w:p>
    <w:p w14:paraId="53C45E87">
      <w:pPr>
        <w:spacing w:line="430" w:lineRule="exact"/>
        <w:ind w:firstLine="474" w:firstLineChars="200"/>
        <w:jc w:val="both"/>
        <w:rPr>
          <w:rFonts w:ascii="Times New Roman" w:hAnsi="Times New Roman" w:cs="Times New Roman" w:eastAsiaTheme="minorEastAsia"/>
          <w:color w:val="000000" w:themeColor="text1"/>
          <w:w w:val="99"/>
          <w:kern w:val="21"/>
          <w:sz w:val="24"/>
          <w:szCs w:val="24"/>
          <w14:textFill>
            <w14:solidFill>
              <w14:schemeClr w14:val="tx1"/>
            </w14:solidFill>
          </w14:textFill>
        </w:rPr>
      </w:pPr>
      <w:r>
        <w:rPr>
          <w:rFonts w:ascii="Times New Roman" w:hAnsi="Times New Roman" w:cs="Times New Roman" w:eastAsiaTheme="minorEastAsia"/>
          <w:color w:val="000000" w:themeColor="text1"/>
          <w:w w:val="99"/>
          <w:kern w:val="21"/>
          <w:sz w:val="24"/>
          <w:szCs w:val="24"/>
          <w14:textFill>
            <w14:solidFill>
              <w14:schemeClr w14:val="tx1"/>
            </w14:solidFill>
          </w14:textFill>
        </w:rPr>
        <w:t>经预测分析，运营期混输阀组间</w:t>
      </w:r>
      <w:r>
        <w:rPr>
          <w:rFonts w:ascii="Times New Roman" w:hAnsi="Times New Roman" w:cs="Times New Roman" w:eastAsiaTheme="minorEastAsia"/>
          <w:bCs/>
          <w:color w:val="000000" w:themeColor="text1"/>
          <w:w w:val="99"/>
          <w:kern w:val="21"/>
          <w:sz w:val="24"/>
          <w:szCs w:val="24"/>
          <w:lang w:val="en-US"/>
          <w14:textFill>
            <w14:solidFill>
              <w14:schemeClr w14:val="tx1"/>
            </w14:solidFill>
          </w14:textFill>
        </w:rPr>
        <w:t>排放的非甲烷总烃边界可以</w:t>
      </w:r>
      <w:r>
        <w:rPr>
          <w:rFonts w:ascii="Times New Roman" w:hAnsi="Times New Roman" w:cs="Times New Roman" w:eastAsiaTheme="minorEastAsia"/>
          <w:color w:val="000000" w:themeColor="text1"/>
          <w:w w:val="99"/>
          <w:kern w:val="21"/>
          <w:sz w:val="24"/>
          <w:szCs w:val="24"/>
          <w:lang w:val="en-US"/>
          <w14:textFill>
            <w14:solidFill>
              <w14:schemeClr w14:val="tx1"/>
            </w14:solidFill>
          </w14:textFill>
        </w:rPr>
        <w:t>满足</w:t>
      </w:r>
      <w:r>
        <w:rPr>
          <w:rFonts w:ascii="Times New Roman" w:hAnsi="Times New Roman" w:cs="Times New Roman" w:eastAsiaTheme="minorEastAsia"/>
          <w:bCs/>
          <w:color w:val="000000" w:themeColor="text1"/>
          <w:w w:val="99"/>
          <w:kern w:val="21"/>
          <w:sz w:val="24"/>
          <w:szCs w:val="24"/>
          <w:lang w:val="en-US"/>
          <w14:textFill>
            <w14:solidFill>
              <w14:schemeClr w14:val="tx1"/>
            </w14:solidFill>
          </w14:textFill>
        </w:rPr>
        <w:t>《陆上石油天然气开采工业大气污染物排放标准》（GB39728-2020）5.9中规定要求，</w:t>
      </w:r>
      <w:r>
        <w:rPr>
          <w:rFonts w:ascii="Times New Roman" w:hAnsi="Times New Roman" w:cs="Times New Roman" w:eastAsiaTheme="minorEastAsia"/>
          <w:color w:val="000000" w:themeColor="text1"/>
          <w:w w:val="99"/>
          <w:kern w:val="21"/>
          <w:sz w:val="24"/>
          <w:szCs w:val="24"/>
          <w14:textFill>
            <w14:solidFill>
              <w14:schemeClr w14:val="tx1"/>
            </w14:solidFill>
          </w14:textFill>
        </w:rPr>
        <w:t>厂区内可以满足《挥发性有机物无组织排放控制标准》（GB 37822-2019）附录A 中VOCs 无组织排放一般限值要求。</w:t>
      </w:r>
    </w:p>
    <w:p w14:paraId="1E2B69FA">
      <w:pPr>
        <w:pStyle w:val="5"/>
        <w:autoSpaceDE/>
        <w:autoSpaceDN/>
        <w:spacing w:before="60" w:after="60" w:line="43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88" w:name="_Toc117794679"/>
      <w:r>
        <w:rPr>
          <w:rFonts w:ascii="Times New Roman" w:hAnsi="Times New Roman" w:cs="Times New Roman" w:eastAsiaTheme="minorEastAsia"/>
          <w:color w:val="000000" w:themeColor="text1"/>
          <w:w w:val="99"/>
          <w:kern w:val="2"/>
          <w:lang w:val="en-US" w:bidi="ar-SA"/>
          <w14:textFill>
            <w14:solidFill>
              <w14:schemeClr w14:val="tx1"/>
            </w14:solidFill>
          </w14:textFill>
        </w:rPr>
        <w:t xml:space="preserve">9.5.2 </w:t>
      </w:r>
      <w:r>
        <w:rPr>
          <w:rFonts w:ascii="Times New Roman" w:hAnsi="Times New Roman" w:cs="Times New Roman" w:eastAsiaTheme="minorEastAsia"/>
          <w:color w:val="000000" w:themeColor="text1"/>
          <w:w w:val="99"/>
          <w:kern w:val="2"/>
          <w14:textFill>
            <w14:solidFill>
              <w14:schemeClr w14:val="tx1"/>
            </w14:solidFill>
          </w14:textFill>
        </w:rPr>
        <w:t>水环境影响分析和污染防治措施可行性结论</w:t>
      </w:r>
      <w:bookmarkEnd w:id="588"/>
    </w:p>
    <w:p w14:paraId="028D70DE">
      <w:pPr>
        <w:spacing w:line="430" w:lineRule="exact"/>
        <w:ind w:firstLine="474" w:firstLineChars="200"/>
        <w:jc w:val="both"/>
        <w:rPr>
          <w:rFonts w:ascii="Times New Roman" w:hAnsi="Times New Roman" w:cs="Times New Roman" w:eastAsiaTheme="minorEastAsia"/>
          <w:color w:val="000000" w:themeColor="text1"/>
          <w:w w:val="99"/>
          <w:kern w:val="21"/>
          <w:sz w:val="24"/>
          <w:szCs w:val="24"/>
          <w14:textFill>
            <w14:solidFill>
              <w14:schemeClr w14:val="tx1"/>
            </w14:solidFill>
          </w14:textFill>
        </w:rPr>
      </w:pPr>
      <w:r>
        <w:rPr>
          <w:rFonts w:ascii="Times New Roman" w:hAnsi="Times New Roman" w:cs="Times New Roman" w:eastAsiaTheme="minorEastAsia"/>
          <w:color w:val="000000" w:themeColor="text1"/>
          <w:w w:val="99"/>
          <w:kern w:val="21"/>
          <w:sz w:val="24"/>
          <w:szCs w:val="24"/>
          <w14:textFill>
            <w14:solidFill>
              <w14:schemeClr w14:val="tx1"/>
            </w14:solidFill>
          </w14:textFill>
        </w:rPr>
        <w:t>本项目的开发建设在施工期及正常生产情况下，由于采取了较为完善的环境保护措施，对地表水古努泡子产生影响的可能性较小。但在事故状态下，尤其是发生集输管线泄漏的情况下，若发现或处理不及时会对地表水环境产生一定影响，建议对地表水附近管线巡检巡视，及时发现问题及时处理，尽量避免事故的发生，降低事故发生后对环境的影响程度和范围。</w:t>
      </w:r>
    </w:p>
    <w:p w14:paraId="072FAE59">
      <w:pPr>
        <w:pStyle w:val="5"/>
        <w:autoSpaceDE/>
        <w:autoSpaceDN/>
        <w:spacing w:before="60" w:after="60" w:line="43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89" w:name="_Toc117794680"/>
      <w:r>
        <w:rPr>
          <w:rFonts w:ascii="Times New Roman" w:hAnsi="Times New Roman" w:cs="Times New Roman" w:eastAsiaTheme="minorEastAsia"/>
          <w:color w:val="000000" w:themeColor="text1"/>
          <w:w w:val="99"/>
          <w:kern w:val="2"/>
          <w:lang w:val="en-US" w:bidi="ar-SA"/>
          <w14:textFill>
            <w14:solidFill>
              <w14:schemeClr w14:val="tx1"/>
            </w14:solidFill>
          </w14:textFill>
        </w:rPr>
        <w:t xml:space="preserve">9.5.3 </w:t>
      </w:r>
      <w:r>
        <w:rPr>
          <w:rFonts w:ascii="Times New Roman" w:hAnsi="Times New Roman" w:cs="Times New Roman" w:eastAsiaTheme="minorEastAsia"/>
          <w:color w:val="000000" w:themeColor="text1"/>
          <w:w w:val="99"/>
          <w:kern w:val="2"/>
          <w14:textFill>
            <w14:solidFill>
              <w14:schemeClr w14:val="tx1"/>
            </w14:solidFill>
          </w14:textFill>
        </w:rPr>
        <w:t>地下水境影响分析和污染防治措施可行性结论</w:t>
      </w:r>
      <w:bookmarkEnd w:id="589"/>
    </w:p>
    <w:p w14:paraId="4B403A91">
      <w:pPr>
        <w:spacing w:line="430" w:lineRule="exact"/>
        <w:ind w:firstLine="474" w:firstLineChars="200"/>
        <w:jc w:val="both"/>
        <w:rPr>
          <w:rFonts w:ascii="Times New Roman" w:hAnsi="Times New Roman" w:cs="Times New Roman" w:eastAsiaTheme="minorEastAsia"/>
          <w:color w:val="000000" w:themeColor="text1"/>
          <w:w w:val="99"/>
          <w:kern w:val="21"/>
          <w:sz w:val="24"/>
          <w:szCs w:val="24"/>
          <w14:textFill>
            <w14:solidFill>
              <w14:schemeClr w14:val="tx1"/>
            </w14:solidFill>
          </w14:textFill>
        </w:rPr>
      </w:pPr>
      <w:r>
        <w:rPr>
          <w:rFonts w:ascii="Times New Roman" w:hAnsi="Times New Roman" w:cs="Times New Roman" w:eastAsiaTheme="minorEastAsia"/>
          <w:color w:val="000000" w:themeColor="text1"/>
          <w:w w:val="99"/>
          <w:kern w:val="21"/>
          <w:sz w:val="24"/>
          <w:szCs w:val="24"/>
          <w14:textFill>
            <w14:solidFill>
              <w14:schemeClr w14:val="tx1"/>
            </w14:solidFill>
          </w14:textFill>
        </w:rPr>
        <w:t>本工程所在区域含水层主要有第四系孔隙潜水含水层和承压水含水层，各层均蕴藏着丰富的地下水资源。本工程正常且各项环境保护措施落实到位情况下对地下水环境无影响。但在非正常工况和事故状态下有可能对地下水环境造成影响，在各项地下水污染防控措施及应急措施落实到位的情况下，地下水环境影响可接受。</w:t>
      </w:r>
    </w:p>
    <w:p w14:paraId="7A1399EA">
      <w:pPr>
        <w:pStyle w:val="5"/>
        <w:spacing w:before="60" w:after="60" w:line="430" w:lineRule="exact"/>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90" w:name="_Toc117794681"/>
      <w:r>
        <w:rPr>
          <w:rFonts w:ascii="Times New Roman" w:hAnsi="Times New Roman" w:cs="Times New Roman" w:eastAsiaTheme="minorEastAsia"/>
          <w:color w:val="000000" w:themeColor="text1"/>
          <w:w w:val="99"/>
          <w:kern w:val="2"/>
          <w:lang w:val="en-US" w:bidi="ar-SA"/>
          <w14:textFill>
            <w14:solidFill>
              <w14:schemeClr w14:val="tx1"/>
            </w14:solidFill>
          </w14:textFill>
        </w:rPr>
        <w:t xml:space="preserve">9.5.4 </w:t>
      </w:r>
      <w:r>
        <w:rPr>
          <w:rFonts w:ascii="Times New Roman" w:hAnsi="Times New Roman" w:cs="Times New Roman" w:eastAsiaTheme="minorEastAsia"/>
          <w:color w:val="000000" w:themeColor="text1"/>
          <w:w w:val="99"/>
          <w:kern w:val="2"/>
          <w14:textFill>
            <w14:solidFill>
              <w14:schemeClr w14:val="tx1"/>
            </w14:solidFill>
          </w14:textFill>
        </w:rPr>
        <w:t>声环境影响分析和污染防治措施可行性结论</w:t>
      </w:r>
      <w:bookmarkEnd w:id="590"/>
    </w:p>
    <w:p w14:paraId="02F647D0">
      <w:pPr>
        <w:spacing w:line="430" w:lineRule="exact"/>
        <w:ind w:firstLine="474" w:firstLineChars="200"/>
        <w:jc w:val="both"/>
        <w:rPr>
          <w:rFonts w:ascii="Times New Roman" w:hAnsi="Times New Roman" w:cs="Times New Roman" w:eastAsiaTheme="minorEastAsia"/>
          <w:color w:val="000000" w:themeColor="text1"/>
          <w:w w:val="99"/>
          <w:kern w:val="21"/>
          <w:sz w:val="24"/>
          <w:szCs w:val="24"/>
          <w14:textFill>
            <w14:solidFill>
              <w14:schemeClr w14:val="tx1"/>
            </w14:solidFill>
          </w14:textFill>
        </w:rPr>
      </w:pPr>
      <w:r>
        <w:rPr>
          <w:rFonts w:ascii="Times New Roman" w:hAnsi="Times New Roman" w:cs="Times New Roman" w:eastAsiaTheme="minorEastAsia"/>
          <w:color w:val="000000" w:themeColor="text1"/>
          <w:w w:val="99"/>
          <w:kern w:val="21"/>
          <w:sz w:val="24"/>
          <w:szCs w:val="24"/>
          <w14:textFill>
            <w14:solidFill>
              <w14:schemeClr w14:val="tx1"/>
            </w14:solidFill>
          </w14:textFill>
        </w:rPr>
        <w:t>在采取选用低噪声设备，注意对设备的维护保养适当的降噪措施后，本工程施工期场界噪声满足《建筑施工场界环境噪声排放标准》（GB12523-2011）要求。</w:t>
      </w:r>
    </w:p>
    <w:p w14:paraId="1A23875B">
      <w:pPr>
        <w:spacing w:line="430" w:lineRule="exact"/>
        <w:ind w:firstLine="474" w:firstLineChars="200"/>
        <w:jc w:val="both"/>
        <w:rPr>
          <w:rFonts w:ascii="Times New Roman" w:hAnsi="Times New Roman" w:cs="Times New Roman" w:eastAsiaTheme="minorEastAsia"/>
          <w:color w:val="000000" w:themeColor="text1"/>
          <w:w w:val="99"/>
          <w:kern w:val="21"/>
          <w:sz w:val="24"/>
          <w:szCs w:val="24"/>
          <w14:textFill>
            <w14:solidFill>
              <w14:schemeClr w14:val="tx1"/>
            </w14:solidFill>
          </w14:textFill>
        </w:rPr>
      </w:pPr>
      <w:r>
        <w:rPr>
          <w:rFonts w:ascii="Times New Roman" w:hAnsi="Times New Roman" w:cs="Times New Roman" w:eastAsiaTheme="minorEastAsia"/>
          <w:color w:val="000000" w:themeColor="text1"/>
          <w:w w:val="99"/>
          <w:kern w:val="21"/>
          <w:sz w:val="24"/>
          <w:szCs w:val="24"/>
          <w14:textFill>
            <w14:solidFill>
              <w14:schemeClr w14:val="tx1"/>
            </w14:solidFill>
          </w14:textFill>
        </w:rPr>
        <w:t>运营期在对混输泵采取</w:t>
      </w:r>
      <w:r>
        <w:rPr>
          <w:rFonts w:ascii="Times New Roman" w:hAnsi="Times New Roman" w:cs="Times New Roman" w:eastAsiaTheme="minorEastAsia"/>
          <w:color w:val="000000" w:themeColor="text1"/>
          <w:w w:val="99"/>
          <w:kern w:val="21"/>
          <w14:textFill>
            <w14:solidFill>
              <w14:schemeClr w14:val="tx1"/>
            </w14:solidFill>
          </w14:textFill>
        </w:rPr>
        <w:t>减振、隔声等降噪措施，注意对设备的维护保养适当的降噪措施后。厂界噪声可以满足《工业企业厂界环境噪声排放标准》（GB12348-2008）2类标准要求，对周围环境及环保目标影响很小。</w:t>
      </w:r>
    </w:p>
    <w:p w14:paraId="15AE5FD9">
      <w:pPr>
        <w:pStyle w:val="5"/>
        <w:autoSpaceDE/>
        <w:autoSpaceDN/>
        <w:spacing w:before="60" w:after="60" w:line="43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91" w:name="_Toc117794682"/>
      <w:r>
        <w:rPr>
          <w:rFonts w:ascii="Times New Roman" w:hAnsi="Times New Roman" w:cs="Times New Roman" w:eastAsiaTheme="minorEastAsia"/>
          <w:color w:val="000000" w:themeColor="text1"/>
          <w:w w:val="99"/>
          <w:kern w:val="2"/>
          <w:lang w:val="en-US" w:bidi="ar-SA"/>
          <w14:textFill>
            <w14:solidFill>
              <w14:schemeClr w14:val="tx1"/>
            </w14:solidFill>
          </w14:textFill>
        </w:rPr>
        <w:t xml:space="preserve">9.5.5 </w:t>
      </w:r>
      <w:r>
        <w:rPr>
          <w:rFonts w:ascii="Times New Roman" w:hAnsi="Times New Roman" w:cs="Times New Roman" w:eastAsiaTheme="minorEastAsia"/>
          <w:color w:val="000000" w:themeColor="text1"/>
          <w:w w:val="99"/>
          <w:kern w:val="2"/>
          <w14:textFill>
            <w14:solidFill>
              <w14:schemeClr w14:val="tx1"/>
            </w14:solidFill>
          </w14:textFill>
        </w:rPr>
        <w:t>固体废物环境影响分析和污染防治措施可行性结论</w:t>
      </w:r>
      <w:bookmarkEnd w:id="591"/>
    </w:p>
    <w:p w14:paraId="5D9FC81E">
      <w:pPr>
        <w:spacing w:line="430" w:lineRule="exact"/>
        <w:ind w:firstLine="474" w:firstLineChars="200"/>
        <w:jc w:val="both"/>
        <w:rPr>
          <w:rFonts w:ascii="Times New Roman" w:hAnsi="Times New Roman" w:cs="Times New Roman" w:eastAsiaTheme="minorEastAsia"/>
          <w:color w:val="000000" w:themeColor="text1"/>
          <w:w w:val="99"/>
          <w:kern w:val="21"/>
          <w:sz w:val="24"/>
          <w:szCs w:val="24"/>
          <w14:textFill>
            <w14:solidFill>
              <w14:schemeClr w14:val="tx1"/>
            </w14:solidFill>
          </w14:textFill>
        </w:rPr>
      </w:pPr>
      <w:bookmarkStart w:id="592" w:name="_Hlk530469360"/>
      <w:r>
        <w:rPr>
          <w:rFonts w:ascii="Times New Roman" w:hAnsi="Times New Roman" w:cs="Times New Roman" w:eastAsiaTheme="minorEastAsia"/>
          <w:color w:val="000000" w:themeColor="text1"/>
          <w:w w:val="99"/>
          <w:kern w:val="21"/>
          <w:sz w:val="24"/>
          <w:szCs w:val="24"/>
          <w14:textFill>
            <w14:solidFill>
              <w14:schemeClr w14:val="tx1"/>
            </w14:solidFill>
          </w14:textFill>
        </w:rPr>
        <w:t>本工程对施工期产生的各类固体废弃物均进行了合理的处置，能够实现固废的减量化、资源化和无害化，对环境影响较小。</w:t>
      </w:r>
    </w:p>
    <w:bookmarkEnd w:id="592"/>
    <w:p w14:paraId="55CD2141">
      <w:pPr>
        <w:pStyle w:val="5"/>
        <w:spacing w:before="60" w:after="60" w:line="430" w:lineRule="exact"/>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93" w:name="_Toc117794683"/>
      <w:r>
        <w:rPr>
          <w:rFonts w:ascii="Times New Roman" w:hAnsi="Times New Roman" w:cs="Times New Roman" w:eastAsiaTheme="minorEastAsia"/>
          <w:color w:val="000000" w:themeColor="text1"/>
          <w:w w:val="99"/>
          <w:kern w:val="2"/>
          <w:lang w:val="en-US" w:bidi="ar-SA"/>
          <w14:textFill>
            <w14:solidFill>
              <w14:schemeClr w14:val="tx1"/>
            </w14:solidFill>
          </w14:textFill>
        </w:rPr>
        <w:t xml:space="preserve">9.5.6 </w:t>
      </w:r>
      <w:r>
        <w:rPr>
          <w:rFonts w:ascii="Times New Roman" w:hAnsi="Times New Roman" w:cs="Times New Roman" w:eastAsiaTheme="minorEastAsia"/>
          <w:color w:val="000000" w:themeColor="text1"/>
          <w:w w:val="99"/>
          <w:kern w:val="2"/>
          <w14:textFill>
            <w14:solidFill>
              <w14:schemeClr w14:val="tx1"/>
            </w14:solidFill>
          </w14:textFill>
        </w:rPr>
        <w:t>生态环境影响分析和生态保护减缓措施可行性结论</w:t>
      </w:r>
      <w:bookmarkEnd w:id="593"/>
    </w:p>
    <w:p w14:paraId="3981AC35">
      <w:pPr>
        <w:pStyle w:val="105"/>
        <w:spacing w:beforeLines="0" w:line="43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项目的管道建设对土地的侵占，对植被的破坏，将使油田开发区内的第一生产者的生物量有一定程度的下降。通过选择适当时机施工，并在建设过程中采取必要的生态保护措施，可最大程度减小该项目建设对生态环境的不利影响，使生态环境在尽可能短的时间内得到恢复。</w:t>
      </w:r>
    </w:p>
    <w:p w14:paraId="3EB82ED1">
      <w:pPr>
        <w:pStyle w:val="5"/>
        <w:autoSpaceDE/>
        <w:autoSpaceDN/>
        <w:spacing w:before="60" w:after="60" w:line="43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94" w:name="_Toc117794684"/>
      <w:r>
        <w:rPr>
          <w:rFonts w:ascii="Times New Roman" w:hAnsi="Times New Roman" w:cs="Times New Roman" w:eastAsiaTheme="minorEastAsia"/>
          <w:color w:val="000000" w:themeColor="text1"/>
          <w:w w:val="99"/>
          <w:kern w:val="2"/>
          <w:lang w:val="en-US" w:bidi="ar-SA"/>
          <w14:textFill>
            <w14:solidFill>
              <w14:schemeClr w14:val="tx1"/>
            </w14:solidFill>
          </w14:textFill>
        </w:rPr>
        <w:t xml:space="preserve">9.5.7 </w:t>
      </w:r>
      <w:r>
        <w:rPr>
          <w:rFonts w:ascii="Times New Roman" w:hAnsi="Times New Roman" w:cs="Times New Roman" w:eastAsiaTheme="minorEastAsia"/>
          <w:color w:val="000000" w:themeColor="text1"/>
          <w:w w:val="99"/>
          <w:kern w:val="2"/>
          <w14:textFill>
            <w14:solidFill>
              <w14:schemeClr w14:val="tx1"/>
            </w14:solidFill>
          </w14:textFill>
        </w:rPr>
        <w:t>土壤环境影响分析和保护措施可行性结论</w:t>
      </w:r>
      <w:bookmarkEnd w:id="594"/>
    </w:p>
    <w:p w14:paraId="3AE8DF4B">
      <w:pPr>
        <w:pStyle w:val="105"/>
        <w:spacing w:beforeLines="0" w:line="43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本项目所在地土壤环境现状较好，根据土壤环境影响分析结果，本项目对土壤环境的影响较小。</w:t>
      </w:r>
    </w:p>
    <w:p w14:paraId="12CB1225">
      <w:pPr>
        <w:pStyle w:val="5"/>
        <w:autoSpaceDE/>
        <w:autoSpaceDN/>
        <w:spacing w:before="60" w:after="60" w:line="430" w:lineRule="exact"/>
        <w:ind w:left="0" w:firstLine="0"/>
        <w:jc w:val="both"/>
        <w:rPr>
          <w:rFonts w:ascii="Times New Roman" w:hAnsi="Times New Roman" w:cs="Times New Roman" w:eastAsiaTheme="minorEastAsia"/>
          <w:color w:val="000000" w:themeColor="text1"/>
          <w:w w:val="99"/>
          <w:kern w:val="2"/>
          <w:lang w:val="en-US" w:bidi="ar-SA"/>
          <w14:textFill>
            <w14:solidFill>
              <w14:schemeClr w14:val="tx1"/>
            </w14:solidFill>
          </w14:textFill>
        </w:rPr>
      </w:pPr>
      <w:bookmarkStart w:id="595" w:name="_Toc117794685"/>
      <w:r>
        <w:rPr>
          <w:rFonts w:ascii="Times New Roman" w:hAnsi="Times New Roman" w:cs="Times New Roman" w:eastAsiaTheme="minorEastAsia"/>
          <w:color w:val="000000" w:themeColor="text1"/>
          <w:w w:val="99"/>
          <w:kern w:val="2"/>
          <w:lang w:val="en-US" w:bidi="ar-SA"/>
          <w14:textFill>
            <w14:solidFill>
              <w14:schemeClr w14:val="tx1"/>
            </w14:solidFill>
          </w14:textFill>
        </w:rPr>
        <w:t xml:space="preserve">9.5.8 </w:t>
      </w:r>
      <w:r>
        <w:rPr>
          <w:rFonts w:ascii="Times New Roman" w:hAnsi="Times New Roman" w:cs="Times New Roman" w:eastAsiaTheme="minorEastAsia"/>
          <w:color w:val="000000" w:themeColor="text1"/>
          <w:w w:val="99"/>
          <w:kern w:val="2"/>
          <w14:textFill>
            <w14:solidFill>
              <w14:schemeClr w14:val="tx1"/>
            </w14:solidFill>
          </w14:textFill>
        </w:rPr>
        <w:t>环境风险分析可行性结论</w:t>
      </w:r>
      <w:bookmarkEnd w:id="595"/>
    </w:p>
    <w:p w14:paraId="1383DD60">
      <w:pPr>
        <w:pStyle w:val="105"/>
        <w:spacing w:beforeLines="0" w:line="43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本工程的主要环境风险是物料泄漏和火灾爆炸，对区域内的大气环境、地表水环境、地下水环境和生态环境有潜在危害性。在工程采取一系列风险防范措施、应急措施和建立环境风险防控体系后，原油泄漏和火灾爆炸影响可控，可以降低事故的发生率和事故情况下对周围环境的影响。</w:t>
      </w:r>
    </w:p>
    <w:p w14:paraId="44D06DBD">
      <w:pPr>
        <w:pStyle w:val="4"/>
        <w:autoSpaceDE/>
        <w:autoSpaceDN/>
        <w:spacing w:before="120" w:after="120" w:line="43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596" w:name="_Toc117794686"/>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9.6环境影响经济损益分析结论</w:t>
      </w:r>
      <w:bookmarkEnd w:id="596"/>
    </w:p>
    <w:p w14:paraId="0B0EB88A">
      <w:pPr>
        <w:spacing w:line="43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该项目的建设，为确保大庆油田的可持续发展、建设百年油田提供了强有力的保证，对保障我国石油供应、发展我国石油化工、繁荣经济、促进改革和社会发展，都将发挥重要的作用。同时，该项目的建设还可以提高项目所在地的税收、增加就业机会、带动当地第三产业的发展，提高当地的生活水平，实现当地经济环境的协调发展。</w:t>
      </w:r>
    </w:p>
    <w:p w14:paraId="4ECA478B">
      <w:pPr>
        <w:pStyle w:val="4"/>
        <w:autoSpaceDE/>
        <w:autoSpaceDN/>
        <w:spacing w:before="120" w:after="120" w:line="43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597" w:name="_Toc117794687"/>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9.7环境管理与监测计划结论</w:t>
      </w:r>
      <w:bookmarkEnd w:id="597"/>
    </w:p>
    <w:p w14:paraId="41278F4A">
      <w:pPr>
        <w:spacing w:line="430" w:lineRule="exact"/>
        <w:ind w:firstLine="474" w:firstLineChars="200"/>
        <w:jc w:val="both"/>
        <w:rPr>
          <w:rFonts w:ascii="Times New Roman" w:hAnsi="Times New Roman" w:cs="Times New Roman" w:eastAsiaTheme="minorEastAsia"/>
          <w:color w:val="000000" w:themeColor="text1"/>
          <w:w w:val="99"/>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工程投产运行后油田环境管理工作由大庆油田有限责任公司</w:t>
      </w:r>
      <w:r>
        <w:rPr>
          <w:rFonts w:hint="eastAsia" w:ascii="Times New Roman" w:hAnsi="Times New Roman" w:cs="Times New Roman" w:eastAsiaTheme="minorEastAsia"/>
          <w:color w:val="000000" w:themeColor="text1"/>
          <w:w w:val="99"/>
          <w:sz w:val="24"/>
          <w:szCs w:val="24"/>
          <w:lang w:eastAsia="zh-CN"/>
          <w14:textFill>
            <w14:solidFill>
              <w14:schemeClr w14:val="tx1"/>
            </w14:solidFill>
          </w14:textFill>
        </w:rPr>
        <w:t>第五采油厂</w:t>
      </w:r>
      <w:r>
        <w:rPr>
          <w:rFonts w:ascii="Times New Roman" w:hAnsi="Times New Roman" w:cs="Times New Roman" w:eastAsiaTheme="minorEastAsia"/>
          <w:color w:val="000000" w:themeColor="text1"/>
          <w:w w:val="99"/>
          <w:sz w:val="24"/>
          <w:szCs w:val="24"/>
          <w14:textFill>
            <w14:solidFill>
              <w14:schemeClr w14:val="tx1"/>
            </w14:solidFill>
          </w14:textFill>
        </w:rPr>
        <w:t>负责，在油田生产运行期，环境管理除抓好环保设施的运行、维护等工作外，工作重点应针对油气集输、处理和管理情况等事故的预防和处理上。施工期的环境监测可包括对作业场所的控制监测和事故发生后的影响监测。主要监测对象有土壤、植被、施工作业废气、废水和噪声等。运行期根据</w:t>
      </w:r>
      <w:r>
        <w:rPr>
          <w:rFonts w:ascii="Times New Roman" w:hAnsi="Times New Roman" w:cs="Times New Roman" w:eastAsiaTheme="minorEastAsia"/>
          <w:bCs/>
          <w:color w:val="000000" w:themeColor="text1"/>
          <w:w w:val="99"/>
          <w:sz w:val="24"/>
          <w:szCs w:val="24"/>
          <w:lang w:val="en-US"/>
          <w14:textFill>
            <w14:solidFill>
              <w14:schemeClr w14:val="tx1"/>
            </w14:solidFill>
          </w14:textFill>
        </w:rPr>
        <w:t>《排污单位自行监测技术指南 陆上石油天然气开采工业》（HJ1248-2022）</w:t>
      </w:r>
      <w:r>
        <w:rPr>
          <w:rFonts w:ascii="Times New Roman" w:hAnsi="Times New Roman" w:cs="Times New Roman" w:eastAsiaTheme="minorEastAsia"/>
          <w:color w:val="000000" w:themeColor="text1"/>
          <w:w w:val="99"/>
          <w:sz w:val="24"/>
          <w:szCs w:val="24"/>
          <w14:textFill>
            <w14:solidFill>
              <w14:schemeClr w14:val="tx1"/>
            </w14:solidFill>
          </w14:textFill>
        </w:rPr>
        <w:t>和油田运行期环境污染的特点，环境监测计划主要针对油田污染物排放、油田开发区生态恢复情况、事故而制定。</w:t>
      </w:r>
    </w:p>
    <w:p w14:paraId="25B0E406">
      <w:pPr>
        <w:pStyle w:val="4"/>
        <w:autoSpaceDE/>
        <w:autoSpaceDN/>
        <w:spacing w:before="120" w:after="120" w:line="430" w:lineRule="exact"/>
        <w:ind w:left="0" w:firstLine="0"/>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pPr>
      <w:bookmarkStart w:id="598" w:name="_Toc117794688"/>
      <w:r>
        <w:rPr>
          <w:rFonts w:ascii="Times New Roman" w:hAnsi="Times New Roman" w:cs="Times New Roman" w:eastAsiaTheme="minorEastAsia"/>
          <w:b/>
          <w:bCs/>
          <w:snapToGrid w:val="0"/>
          <w:color w:val="000000" w:themeColor="text1"/>
          <w:w w:val="99"/>
          <w:sz w:val="28"/>
          <w:szCs w:val="32"/>
          <w:lang w:val="en-US" w:bidi="ar-SA"/>
          <w14:textFill>
            <w14:solidFill>
              <w14:schemeClr w14:val="tx1"/>
            </w14:solidFill>
          </w14:textFill>
        </w:rPr>
        <w:t>9.8公众意见采纳情况</w:t>
      </w:r>
      <w:bookmarkEnd w:id="598"/>
    </w:p>
    <w:p w14:paraId="0E28815D">
      <w:pPr>
        <w:autoSpaceDE/>
        <w:autoSpaceDN/>
        <w:spacing w:line="430" w:lineRule="exact"/>
        <w:ind w:firstLine="474" w:firstLineChars="200"/>
        <w:jc w:val="both"/>
        <w:rPr>
          <w:rFonts w:ascii="Times New Roman" w:hAnsi="Times New Roman" w:cs="Times New Roman" w:eastAsiaTheme="minorEastAsia"/>
          <w:snapToGrid w:val="0"/>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4"/>
          <w:szCs w:val="24"/>
          <w:lang w:val="en-US" w:bidi="ar-SA"/>
          <w14:textFill>
            <w14:solidFill>
              <w14:schemeClr w14:val="tx1"/>
            </w14:solidFill>
          </w14:textFill>
        </w:rPr>
        <w:t>建设项目首次环境影响评价信息公开之日为2022年8月22日（黑龙江环保技术服务网http://www.hljhbjsfw.cn/NewsDetail.aspx?ID=511）。</w:t>
      </w:r>
    </w:p>
    <w:p w14:paraId="42F795B1">
      <w:pPr>
        <w:autoSpaceDE/>
        <w:autoSpaceDN/>
        <w:spacing w:line="430" w:lineRule="exact"/>
        <w:ind w:firstLine="474" w:firstLineChars="200"/>
        <w:jc w:val="both"/>
        <w:rPr>
          <w:rFonts w:ascii="Times New Roman" w:hAnsi="Times New Roman" w:cs="Times New Roman" w:eastAsiaTheme="minorEastAsia"/>
          <w:snapToGrid w:val="0"/>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4"/>
          <w:szCs w:val="24"/>
          <w:lang w:val="en-US" w:bidi="ar-SA"/>
          <w14:textFill>
            <w14:solidFill>
              <w14:schemeClr w14:val="tx1"/>
            </w14:solidFill>
          </w14:textFill>
        </w:rPr>
        <w:t>征求意见稿公示日期为2022年10月26日-2022年11月8日（黑龙江环保技术服务网，</w:t>
      </w:r>
      <w:r>
        <w:rPr>
          <w:rFonts w:ascii="Times New Roman" w:hAnsi="Times New Roman" w:cs="Times New Roman" w:eastAsiaTheme="minorEastAsia"/>
          <w:color w:val="000000" w:themeColor="text1"/>
          <w:w w:val="99"/>
          <w:kern w:val="2"/>
          <w:sz w:val="24"/>
          <w:szCs w:val="24"/>
          <w:lang w:val="en-US" w:bidi="ar-SA"/>
          <w14:textFill>
            <w14:solidFill>
              <w14:schemeClr w14:val="tx1"/>
            </w14:solidFill>
          </w14:textFill>
        </w:rPr>
        <w:t>网址为http://www.hljhbjsfw.cn/NewsDetail.aspx?ID=510）；报纸公示日期为2022年10月28日、31（大庆油田报），张贴公示日期为2022年10月26日-2022年11月8日，公示地点为附近村屯（杏树岗村、双榆树、龙虎岗村、东好利保村等）</w:t>
      </w:r>
      <w:r>
        <w:rPr>
          <w:rFonts w:ascii="Times New Roman" w:hAnsi="Times New Roman" w:cs="Times New Roman" w:eastAsiaTheme="minorEastAsia"/>
          <w:snapToGrid w:val="0"/>
          <w:color w:val="000000" w:themeColor="text1"/>
          <w:w w:val="99"/>
          <w:sz w:val="24"/>
          <w:szCs w:val="24"/>
          <w:lang w:val="en-US" w:bidi="ar-SA"/>
          <w14:textFill>
            <w14:solidFill>
              <w14:schemeClr w14:val="tx1"/>
            </w14:solidFill>
          </w14:textFill>
        </w:rPr>
        <w:t>。</w:t>
      </w:r>
    </w:p>
    <w:p w14:paraId="2F367707">
      <w:pPr>
        <w:pStyle w:val="129"/>
        <w:spacing w:line="430" w:lineRule="exact"/>
        <w:ind w:firstLine="473"/>
        <w:jc w:val="both"/>
        <w:rPr>
          <w:rFonts w:ascii="Times New Roman" w:hAnsi="Times New Roman" w:eastAsiaTheme="minorEastAsia"/>
          <w:snapToGrid w:val="0"/>
          <w:color w:val="000000" w:themeColor="text1"/>
          <w:w w:val="99"/>
          <w:sz w:val="24"/>
          <w:szCs w:val="24"/>
          <w:lang w:val="en-US" w:bidi="ar-SA"/>
          <w14:textFill>
            <w14:solidFill>
              <w14:schemeClr w14:val="tx1"/>
            </w14:solidFill>
          </w14:textFill>
        </w:rPr>
      </w:pPr>
      <w:r>
        <w:rPr>
          <w:rFonts w:ascii="Times New Roman" w:hAnsi="Times New Roman" w:eastAsiaTheme="minorEastAsia"/>
          <w:snapToGrid w:val="0"/>
          <w:color w:val="000000" w:themeColor="text1"/>
          <w:w w:val="99"/>
          <w:sz w:val="24"/>
          <w:szCs w:val="24"/>
          <w:lang w:val="en-US" w:bidi="ar-SA"/>
          <w14:textFill>
            <w14:solidFill>
              <w14:schemeClr w14:val="tx1"/>
            </w14:solidFill>
          </w14:textFill>
        </w:rPr>
        <w:t>2022年11月9日在黑龙江环保技术服务网网站（网址：http://www.hljhbjsfw.cn/NewsDetail.aspx?ID=515）进行本工程环境影响报告书全本公示和项目公众参与说明公示。</w:t>
      </w:r>
    </w:p>
    <w:p w14:paraId="57810535">
      <w:pPr>
        <w:autoSpaceDE/>
        <w:autoSpaceDN/>
        <w:spacing w:line="430" w:lineRule="exact"/>
        <w:ind w:firstLine="474" w:firstLineChars="200"/>
        <w:rPr>
          <w:rFonts w:ascii="Times New Roman" w:hAnsi="Times New Roman" w:cs="Times New Roman" w:eastAsiaTheme="minorEastAsia"/>
          <w:snapToGrid w:val="0"/>
          <w:color w:val="000000" w:themeColor="text1"/>
          <w:w w:val="99"/>
          <w:sz w:val="24"/>
          <w:szCs w:val="24"/>
          <w:lang w:val="en-US" w:bidi="ar-SA"/>
          <w14:textFill>
            <w14:solidFill>
              <w14:schemeClr w14:val="tx1"/>
            </w14:solidFill>
          </w14:textFill>
        </w:rPr>
      </w:pPr>
      <w:r>
        <w:rPr>
          <w:rFonts w:ascii="Times New Roman" w:hAnsi="Times New Roman" w:cs="Times New Roman" w:eastAsiaTheme="minorEastAsia"/>
          <w:snapToGrid w:val="0"/>
          <w:color w:val="000000" w:themeColor="text1"/>
          <w:w w:val="99"/>
          <w:sz w:val="24"/>
          <w:szCs w:val="24"/>
          <w:lang w:val="en-US" w:bidi="ar-SA"/>
          <w14:textFill>
            <w14:solidFill>
              <w14:schemeClr w14:val="tx1"/>
            </w14:solidFill>
          </w14:textFill>
        </w:rPr>
        <w:t>网络公示起到了应有的告知作用。在现场公示期间，对居民进行了必要的讲解和说明，让附近居民充分了解本项目的各项情况。选择了黑龙江环保技术服务网和《大庆油田报》进行公示，起到了网络和报纸传播较广，受众广泛的作用。在网上两次公示过程中、公示期间及问卷调查过程中没有接到任何人反映意见或建议的电话和邮件、传真等。</w:t>
      </w:r>
    </w:p>
    <w:p w14:paraId="0BB1AEE7">
      <w:pPr>
        <w:pStyle w:val="105"/>
        <w:spacing w:beforeLines="0" w:line="43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snapToGrid w:val="0"/>
          <w:color w:val="000000" w:themeColor="text1"/>
          <w:w w:val="99"/>
          <w:sz w:val="24"/>
          <w:szCs w:val="24"/>
          <w:lang w:val="en-US" w:bidi="ar-SA"/>
          <w14:textFill>
            <w14:solidFill>
              <w14:schemeClr w14:val="tx1"/>
            </w14:solidFill>
          </w14:textFill>
        </w:rPr>
        <w:t>建设单位的公参调查结果表明，本工程的建设周围民众是支持的。建设单位认真执行环保“三同时”制度，加强环境管理，使环境的负效应降至最低。并对周围环境的影响减至最小程度，达到公众对项目建设的环境要求愿望。</w:t>
      </w:r>
    </w:p>
    <w:p w14:paraId="3A8F95EE">
      <w:pPr>
        <w:pStyle w:val="105"/>
        <w:spacing w:before="120" w:beforeLines="0" w:after="120" w:line="430" w:lineRule="exact"/>
        <w:jc w:val="both"/>
        <w:outlineLvl w:val="1"/>
        <w:rPr>
          <w:rFonts w:ascii="Times New Roman" w:hAnsi="Times New Roman" w:cs="Times New Roman" w:eastAsiaTheme="minorEastAsia"/>
          <w:b/>
          <w:bCs/>
          <w:color w:val="000000" w:themeColor="text1"/>
          <w:w w:val="99"/>
          <w:sz w:val="28"/>
          <w:szCs w:val="28"/>
          <w:lang w:val="en-US"/>
          <w14:textFill>
            <w14:solidFill>
              <w14:schemeClr w14:val="tx1"/>
            </w14:solidFill>
          </w14:textFill>
        </w:rPr>
      </w:pPr>
      <w:bookmarkStart w:id="599" w:name="_Toc117794689"/>
      <w:r>
        <w:rPr>
          <w:rFonts w:ascii="Times New Roman" w:hAnsi="Times New Roman" w:cs="Times New Roman" w:eastAsiaTheme="minorEastAsia"/>
          <w:b/>
          <w:bCs/>
          <w:color w:val="000000" w:themeColor="text1"/>
          <w:w w:val="99"/>
          <w:sz w:val="28"/>
          <w:szCs w:val="28"/>
          <w:lang w:val="en-US"/>
          <w14:textFill>
            <w14:solidFill>
              <w14:schemeClr w14:val="tx1"/>
            </w14:solidFill>
          </w14:textFill>
        </w:rPr>
        <w:t>9.9综合结论</w:t>
      </w:r>
      <w:bookmarkEnd w:id="599"/>
    </w:p>
    <w:p w14:paraId="3177A646">
      <w:pPr>
        <w:pStyle w:val="105"/>
        <w:spacing w:beforeLines="0" w:line="430" w:lineRule="exact"/>
        <w:ind w:firstLine="474" w:firstLineChars="200"/>
        <w:jc w:val="both"/>
        <w:rPr>
          <w:rFonts w:ascii="Times New Roman" w:hAnsi="Times New Roman" w:cs="Times New Roman" w:eastAsiaTheme="minorEastAsia"/>
          <w:color w:val="000000" w:themeColor="text1"/>
          <w:w w:val="99"/>
          <w:sz w:val="24"/>
          <w:szCs w:val="24"/>
          <w14:textFill>
            <w14:solidFill>
              <w14:schemeClr w14:val="tx1"/>
            </w14:solidFill>
          </w14:textFill>
        </w:rPr>
      </w:pPr>
      <w:r>
        <w:rPr>
          <w:rFonts w:ascii="Times New Roman" w:hAnsi="Times New Roman" w:cs="Times New Roman" w:eastAsiaTheme="minorEastAsia"/>
          <w:color w:val="000000" w:themeColor="text1"/>
          <w:w w:val="99"/>
          <w:sz w:val="24"/>
          <w:szCs w:val="24"/>
          <w14:textFill>
            <w14:solidFill>
              <w14:schemeClr w14:val="tx1"/>
            </w14:solidFill>
          </w14:textFill>
        </w:rPr>
        <w:t>综上所述，</w:t>
      </w:r>
      <w:r>
        <w:rPr>
          <w:rFonts w:hint="eastAsia" w:ascii="Times New Roman" w:hAnsi="Times New Roman" w:cs="Times New Roman" w:eastAsiaTheme="minorEastAsia"/>
          <w:color w:val="000000" w:themeColor="text1"/>
          <w:w w:val="99"/>
          <w:sz w:val="24"/>
          <w:szCs w:val="24"/>
          <w:lang w:eastAsia="zh-CN"/>
          <w14:textFill>
            <w14:solidFill>
              <w14:schemeClr w14:val="tx1"/>
            </w14:solidFill>
          </w14:textFill>
        </w:rPr>
        <w:t>第五采油厂杏南二转油站及站外系统改造工程项目</w:t>
      </w:r>
      <w:r>
        <w:rPr>
          <w:rFonts w:ascii="Times New Roman" w:hAnsi="Times New Roman" w:cs="Times New Roman" w:eastAsiaTheme="minorEastAsia"/>
          <w:color w:val="000000" w:themeColor="text1"/>
          <w:w w:val="99"/>
          <w:sz w:val="24"/>
          <w:szCs w:val="24"/>
          <w14:textFill>
            <w14:solidFill>
              <w14:schemeClr w14:val="tx1"/>
            </w14:solidFill>
          </w14:textFill>
        </w:rPr>
        <w:t>符合国家产业政策和区域发展规划，油田正常生产情况下对环境的影响较小，工程施工及生产运行过程中可能出现的各类风险事故，在相应的污染防治措施、生态保护措施及事故应急措施得以切实有效实施的前提下，能够确保区域环境不受污染。从环境保护角度分析，本工程是可行的。</w:t>
      </w:r>
    </w:p>
    <w:p w14:paraId="1E91F4B2">
      <w:pPr>
        <w:rPr>
          <w:color w:val="000000" w:themeColor="text1"/>
          <w14:textFill>
            <w14:solidFill>
              <w14:schemeClr w14:val="tx1"/>
            </w14:solidFill>
          </w14:textFill>
        </w:rPr>
      </w:pPr>
    </w:p>
    <w:p w14:paraId="2A6B1413">
      <w:pPr>
        <w:autoSpaceDE/>
        <w:autoSpaceDN/>
        <w:spacing w:line="440" w:lineRule="exact"/>
        <w:jc w:val="both"/>
        <w:outlineLvl w:val="0"/>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bookmarkStart w:id="600" w:name="_Toc106810441"/>
      <w:bookmarkStart w:id="601" w:name="_Toc117794690"/>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附表1    建设项目大气环境影响评价自查表</w:t>
      </w:r>
      <w:bookmarkEnd w:id="600"/>
      <w:bookmarkEnd w:id="601"/>
    </w:p>
    <w:tbl>
      <w:tblPr>
        <w:tblStyle w:val="8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581"/>
        <w:gridCol w:w="1150"/>
        <w:gridCol w:w="417"/>
        <w:gridCol w:w="206"/>
        <w:gridCol w:w="202"/>
        <w:gridCol w:w="194"/>
        <w:gridCol w:w="316"/>
        <w:gridCol w:w="547"/>
        <w:gridCol w:w="443"/>
        <w:gridCol w:w="155"/>
        <w:gridCol w:w="64"/>
        <w:gridCol w:w="584"/>
        <w:gridCol w:w="172"/>
        <w:gridCol w:w="75"/>
        <w:gridCol w:w="203"/>
        <w:gridCol w:w="240"/>
        <w:gridCol w:w="127"/>
        <w:gridCol w:w="645"/>
        <w:gridCol w:w="650"/>
      </w:tblGrid>
      <w:tr w14:paraId="7AD5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1" w:type="dxa"/>
            <w:gridSpan w:val="2"/>
            <w:vAlign w:val="center"/>
          </w:tcPr>
          <w:p w14:paraId="68EDEA00">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工作内容</w:t>
            </w:r>
          </w:p>
        </w:tc>
        <w:tc>
          <w:tcPr>
            <w:tcW w:w="6390" w:type="dxa"/>
            <w:gridSpan w:val="18"/>
            <w:vAlign w:val="center"/>
          </w:tcPr>
          <w:p w14:paraId="0A36FEAF">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自查项目</w:t>
            </w:r>
          </w:p>
        </w:tc>
      </w:tr>
      <w:tr w14:paraId="5D825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vAlign w:val="center"/>
          </w:tcPr>
          <w:p w14:paraId="61843AD7">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评价等级与范围</w:t>
            </w:r>
          </w:p>
        </w:tc>
        <w:tc>
          <w:tcPr>
            <w:tcW w:w="1581" w:type="dxa"/>
            <w:vAlign w:val="center"/>
          </w:tcPr>
          <w:p w14:paraId="28D22D3D">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评价等级</w:t>
            </w:r>
          </w:p>
        </w:tc>
        <w:tc>
          <w:tcPr>
            <w:tcW w:w="2169" w:type="dxa"/>
            <w:gridSpan w:val="5"/>
            <w:vAlign w:val="center"/>
          </w:tcPr>
          <w:p w14:paraId="221E3C8D">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一级</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2356" w:type="dxa"/>
            <w:gridSpan w:val="8"/>
            <w:vAlign w:val="center"/>
          </w:tcPr>
          <w:p w14:paraId="7D05BA52">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二级</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865" w:type="dxa"/>
            <w:gridSpan w:val="5"/>
            <w:vAlign w:val="center"/>
          </w:tcPr>
          <w:p w14:paraId="5FC9D878">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三级</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p>
        </w:tc>
      </w:tr>
      <w:tr w14:paraId="68CE2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14:paraId="6C515C71">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581" w:type="dxa"/>
            <w:vAlign w:val="center"/>
          </w:tcPr>
          <w:p w14:paraId="08543E09">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评价范围</w:t>
            </w:r>
          </w:p>
        </w:tc>
        <w:tc>
          <w:tcPr>
            <w:tcW w:w="2169" w:type="dxa"/>
            <w:gridSpan w:val="5"/>
            <w:vAlign w:val="center"/>
          </w:tcPr>
          <w:p w14:paraId="22DC90CD">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边长=50km</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2356" w:type="dxa"/>
            <w:gridSpan w:val="8"/>
            <w:vAlign w:val="center"/>
          </w:tcPr>
          <w:p w14:paraId="02ABBE6D">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边长5~50km</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865" w:type="dxa"/>
            <w:gridSpan w:val="5"/>
            <w:vAlign w:val="center"/>
          </w:tcPr>
          <w:p w14:paraId="11B506AF">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边长&lt;5km</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p>
        </w:tc>
      </w:tr>
      <w:tr w14:paraId="3DBAB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vAlign w:val="center"/>
          </w:tcPr>
          <w:p w14:paraId="487D2D0A">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评价因子</w:t>
            </w:r>
          </w:p>
        </w:tc>
        <w:tc>
          <w:tcPr>
            <w:tcW w:w="1581" w:type="dxa"/>
            <w:vAlign w:val="center"/>
          </w:tcPr>
          <w:p w14:paraId="0535C090">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SO</w:t>
            </w:r>
            <w:r>
              <w:rPr>
                <w:rFonts w:ascii="Times New Roman" w:hAnsi="Times New Roman" w:cs="Times New Roman" w:eastAsiaTheme="minorEastAsia"/>
                <w:color w:val="000000" w:themeColor="text1"/>
                <w:w w:val="99"/>
                <w:kern w:val="21"/>
                <w:sz w:val="21"/>
                <w:szCs w:val="21"/>
                <w:vertAlign w:val="subscript"/>
                <w:lang w:val="en-US" w:bidi="ar-SA"/>
                <w14:textFill>
                  <w14:solidFill>
                    <w14:schemeClr w14:val="tx1"/>
                  </w14:solidFill>
                </w14:textFill>
              </w:rPr>
              <w:t>2</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+NO</w:t>
            </w:r>
            <w:r>
              <w:rPr>
                <w:rFonts w:ascii="Times New Roman" w:hAnsi="Times New Roman" w:cs="Times New Roman" w:eastAsiaTheme="minorEastAsia"/>
                <w:color w:val="000000" w:themeColor="text1"/>
                <w:w w:val="99"/>
                <w:kern w:val="21"/>
                <w:sz w:val="21"/>
                <w:szCs w:val="21"/>
                <w:vertAlign w:val="subscript"/>
                <w:lang w:val="en-US" w:bidi="ar-SA"/>
                <w14:textFill>
                  <w14:solidFill>
                    <w14:schemeClr w14:val="tx1"/>
                  </w14:solidFill>
                </w14:textFill>
              </w:rPr>
              <w:t>X</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排放</w:t>
            </w:r>
          </w:p>
        </w:tc>
        <w:tc>
          <w:tcPr>
            <w:tcW w:w="2169" w:type="dxa"/>
            <w:gridSpan w:val="5"/>
            <w:vAlign w:val="center"/>
          </w:tcPr>
          <w:p w14:paraId="7A290550">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hint="eastAsia"/>
                <w:color w:val="000000" w:themeColor="text1"/>
                <w:w w:val="99"/>
                <w:kern w:val="21"/>
                <w:sz w:val="21"/>
                <w:szCs w:val="21"/>
                <w:lang w:val="en-US" w:bidi="ar-SA"/>
                <w14:textFill>
                  <w14:solidFill>
                    <w14:schemeClr w14:val="tx1"/>
                  </w14:solidFill>
                </w14:textFill>
              </w:rPr>
              <w:t>≧</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2000t/a</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2356" w:type="dxa"/>
            <w:gridSpan w:val="8"/>
            <w:vAlign w:val="center"/>
          </w:tcPr>
          <w:p w14:paraId="12BDC653">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500~2000t/a</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865" w:type="dxa"/>
            <w:gridSpan w:val="5"/>
            <w:vAlign w:val="center"/>
          </w:tcPr>
          <w:p w14:paraId="156E2629">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&lt;500t/a</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p>
        </w:tc>
      </w:tr>
      <w:tr w14:paraId="7A8AA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14:paraId="3FC09753">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581" w:type="dxa"/>
            <w:vAlign w:val="center"/>
          </w:tcPr>
          <w:p w14:paraId="5A7A334D">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评价因子</w:t>
            </w:r>
          </w:p>
        </w:tc>
        <w:tc>
          <w:tcPr>
            <w:tcW w:w="4525" w:type="dxa"/>
            <w:gridSpan w:val="13"/>
            <w:vAlign w:val="center"/>
          </w:tcPr>
          <w:p w14:paraId="1D0EFD3F">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基本污染物（PM</w:t>
            </w:r>
            <w:r>
              <w:rPr>
                <w:rFonts w:ascii="Times New Roman" w:hAnsi="Times New Roman" w:cs="Times New Roman" w:eastAsiaTheme="minorEastAsia"/>
                <w:color w:val="000000" w:themeColor="text1"/>
                <w:w w:val="99"/>
                <w:kern w:val="21"/>
                <w:sz w:val="21"/>
                <w:szCs w:val="21"/>
                <w:vertAlign w:val="subscript"/>
                <w:lang w:val="en-US" w:bidi="ar-SA"/>
                <w14:textFill>
                  <w14:solidFill>
                    <w14:schemeClr w14:val="tx1"/>
                  </w14:solidFill>
                </w14:textFill>
              </w:rPr>
              <w:t>10</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、NO</w:t>
            </w:r>
            <w:r>
              <w:rPr>
                <w:rFonts w:ascii="Times New Roman" w:hAnsi="Times New Roman" w:cs="Times New Roman" w:eastAsiaTheme="minorEastAsia"/>
                <w:color w:val="000000" w:themeColor="text1"/>
                <w:w w:val="99"/>
                <w:kern w:val="21"/>
                <w:sz w:val="21"/>
                <w:szCs w:val="21"/>
                <w:vertAlign w:val="subscript"/>
                <w:lang w:val="en-US" w:bidi="ar-SA"/>
                <w14:textFill>
                  <w14:solidFill>
                    <w14:schemeClr w14:val="tx1"/>
                  </w14:solidFill>
                </w14:textFill>
              </w:rPr>
              <w:t>x</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、SO</w:t>
            </w:r>
            <w:r>
              <w:rPr>
                <w:rFonts w:ascii="Times New Roman" w:hAnsi="Times New Roman" w:cs="Times New Roman" w:eastAsiaTheme="minorEastAsia"/>
                <w:color w:val="000000" w:themeColor="text1"/>
                <w:w w:val="99"/>
                <w:kern w:val="21"/>
                <w:sz w:val="21"/>
                <w:szCs w:val="21"/>
                <w:vertAlign w:val="subscript"/>
                <w:lang w:val="en-US" w:bidi="ar-SA"/>
                <w14:textFill>
                  <w14:solidFill>
                    <w14:schemeClr w14:val="tx1"/>
                  </w14:solidFill>
                </w14:textFill>
              </w:rPr>
              <w:t>2、</w:t>
            </w:r>
            <w:r>
              <w:rPr>
                <w:rFonts w:ascii="Times New Roman" w:hAnsi="Times New Roman" w:cs="Times New Roman" w:eastAsiaTheme="minorEastAsia"/>
                <w:bCs/>
                <w:color w:val="000000" w:themeColor="text1"/>
                <w:w w:val="99"/>
                <w:kern w:val="21"/>
                <w:sz w:val="21"/>
                <w:szCs w:val="21"/>
                <w:lang w:val="en-US" w:bidi="ar-SA"/>
                <w14:textFill>
                  <w14:solidFill>
                    <w14:schemeClr w14:val="tx1"/>
                  </w14:solidFill>
                </w14:textFill>
              </w:rPr>
              <w:t>PM</w:t>
            </w:r>
            <w:r>
              <w:rPr>
                <w:rFonts w:ascii="Times New Roman" w:hAnsi="Times New Roman" w:cs="Times New Roman" w:eastAsiaTheme="minorEastAsia"/>
                <w:bCs/>
                <w:color w:val="000000" w:themeColor="text1"/>
                <w:w w:val="99"/>
                <w:kern w:val="21"/>
                <w:sz w:val="21"/>
                <w:szCs w:val="21"/>
                <w:vertAlign w:val="subscript"/>
                <w:lang w:val="en-US" w:bidi="ar-SA"/>
                <w14:textFill>
                  <w14:solidFill>
                    <w14:schemeClr w14:val="tx1"/>
                  </w14:solidFill>
                </w14:textFill>
              </w:rPr>
              <w:t>2.5</w:t>
            </w:r>
            <w:r>
              <w:rPr>
                <w:rFonts w:ascii="Times New Roman" w:hAnsi="Times New Roman" w:cs="Times New Roman" w:eastAsiaTheme="minorEastAsia"/>
                <w:bCs/>
                <w:color w:val="000000" w:themeColor="text1"/>
                <w:w w:val="99"/>
                <w:kern w:val="21"/>
                <w:sz w:val="21"/>
                <w:szCs w:val="21"/>
                <w:lang w:val="en-US" w:bidi="ar-SA"/>
                <w14:textFill>
                  <w14:solidFill>
                    <w14:schemeClr w14:val="tx1"/>
                  </w14:solidFill>
                </w14:textFill>
              </w:rPr>
              <w:t>、CO、O</w:t>
            </w:r>
            <w:r>
              <w:rPr>
                <w:rFonts w:ascii="Times New Roman" w:hAnsi="Times New Roman" w:cs="Times New Roman" w:eastAsiaTheme="minorEastAsia"/>
                <w:bCs/>
                <w:color w:val="000000" w:themeColor="text1"/>
                <w:w w:val="99"/>
                <w:kern w:val="21"/>
                <w:sz w:val="21"/>
                <w:szCs w:val="21"/>
                <w:vertAlign w:val="subscript"/>
                <w:lang w:val="en-US" w:bidi="ar-SA"/>
                <w14:textFill>
                  <w14:solidFill>
                    <w14:schemeClr w14:val="tx1"/>
                  </w14:solidFill>
                </w14:textFill>
              </w:rPr>
              <w:t>3</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w:t>
            </w:r>
          </w:p>
          <w:p w14:paraId="63161F6B">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其他污染物（非甲烷总烃、TSP）</w:t>
            </w:r>
          </w:p>
        </w:tc>
        <w:tc>
          <w:tcPr>
            <w:tcW w:w="1865" w:type="dxa"/>
            <w:gridSpan w:val="5"/>
            <w:vAlign w:val="center"/>
          </w:tcPr>
          <w:p w14:paraId="62C03B4A">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包括二次PM</w:t>
            </w:r>
            <w:r>
              <w:rPr>
                <w:rFonts w:ascii="Times New Roman" w:hAnsi="Times New Roman" w:cs="Times New Roman" w:eastAsiaTheme="minorEastAsia"/>
                <w:color w:val="000000" w:themeColor="text1"/>
                <w:w w:val="99"/>
                <w:kern w:val="21"/>
                <w:sz w:val="21"/>
                <w:szCs w:val="21"/>
                <w:vertAlign w:val="subscript"/>
                <w:lang w:val="en-US" w:bidi="ar-SA"/>
                <w14:textFill>
                  <w14:solidFill>
                    <w14:schemeClr w14:val="tx1"/>
                  </w14:solidFill>
                </w14:textFill>
              </w:rPr>
              <w:t>2.5</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p w14:paraId="03AF638C">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不包括二次PM</w:t>
            </w:r>
            <w:r>
              <w:rPr>
                <w:rFonts w:ascii="Times New Roman" w:hAnsi="Times New Roman" w:cs="Times New Roman" w:eastAsiaTheme="minorEastAsia"/>
                <w:color w:val="000000" w:themeColor="text1"/>
                <w:w w:val="99"/>
                <w:kern w:val="21"/>
                <w:sz w:val="21"/>
                <w:szCs w:val="21"/>
                <w:vertAlign w:val="subscript"/>
                <w:lang w:val="en-US" w:bidi="ar-SA"/>
                <w14:textFill>
                  <w14:solidFill>
                    <w14:schemeClr w14:val="tx1"/>
                  </w14:solidFill>
                </w14:textFill>
              </w:rPr>
              <w:t>2.5</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p>
        </w:tc>
      </w:tr>
      <w:tr w14:paraId="40ECD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Align w:val="center"/>
          </w:tcPr>
          <w:p w14:paraId="3440628D">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评价标准</w:t>
            </w:r>
          </w:p>
        </w:tc>
        <w:tc>
          <w:tcPr>
            <w:tcW w:w="1581" w:type="dxa"/>
            <w:vAlign w:val="center"/>
          </w:tcPr>
          <w:p w14:paraId="25119C8E">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评价标准</w:t>
            </w:r>
          </w:p>
        </w:tc>
        <w:tc>
          <w:tcPr>
            <w:tcW w:w="2169" w:type="dxa"/>
            <w:gridSpan w:val="5"/>
            <w:vAlign w:val="center"/>
          </w:tcPr>
          <w:p w14:paraId="2FAFCB8E">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国家标准</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p>
        </w:tc>
        <w:tc>
          <w:tcPr>
            <w:tcW w:w="1461" w:type="dxa"/>
            <w:gridSpan w:val="4"/>
            <w:vAlign w:val="center"/>
          </w:tcPr>
          <w:p w14:paraId="0620C382">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地方标准</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465" w:type="dxa"/>
            <w:gridSpan w:val="7"/>
            <w:vAlign w:val="center"/>
          </w:tcPr>
          <w:p w14:paraId="31F8F931">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附录D</w:t>
            </w:r>
          </w:p>
        </w:tc>
        <w:tc>
          <w:tcPr>
            <w:tcW w:w="1295" w:type="dxa"/>
            <w:gridSpan w:val="2"/>
            <w:vAlign w:val="center"/>
          </w:tcPr>
          <w:p w14:paraId="377C91A9">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其他标准</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p>
        </w:tc>
      </w:tr>
      <w:tr w14:paraId="5B715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vAlign w:val="center"/>
          </w:tcPr>
          <w:p w14:paraId="5912A641">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现状评价</w:t>
            </w:r>
          </w:p>
        </w:tc>
        <w:tc>
          <w:tcPr>
            <w:tcW w:w="1581" w:type="dxa"/>
            <w:vAlign w:val="center"/>
          </w:tcPr>
          <w:p w14:paraId="3B80E407">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环境功能区</w:t>
            </w:r>
          </w:p>
        </w:tc>
        <w:tc>
          <w:tcPr>
            <w:tcW w:w="2169" w:type="dxa"/>
            <w:gridSpan w:val="5"/>
            <w:vAlign w:val="center"/>
          </w:tcPr>
          <w:p w14:paraId="5AB8C745">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一类区</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2356" w:type="dxa"/>
            <w:gridSpan w:val="8"/>
            <w:vAlign w:val="center"/>
          </w:tcPr>
          <w:p w14:paraId="7DC17D07">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二类区</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p>
        </w:tc>
        <w:tc>
          <w:tcPr>
            <w:tcW w:w="1865" w:type="dxa"/>
            <w:gridSpan w:val="5"/>
            <w:vAlign w:val="center"/>
          </w:tcPr>
          <w:p w14:paraId="02E66304">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一类区和二类区</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r>
      <w:tr w14:paraId="6335B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14:paraId="25757A0C">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581" w:type="dxa"/>
            <w:vAlign w:val="center"/>
          </w:tcPr>
          <w:p w14:paraId="26D7EE89">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评价基准年</w:t>
            </w:r>
          </w:p>
        </w:tc>
        <w:tc>
          <w:tcPr>
            <w:tcW w:w="6390" w:type="dxa"/>
            <w:gridSpan w:val="18"/>
            <w:vAlign w:val="center"/>
          </w:tcPr>
          <w:p w14:paraId="44E6BEE2">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（2021）年</w:t>
            </w:r>
          </w:p>
        </w:tc>
      </w:tr>
      <w:tr w14:paraId="7A9FC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14:paraId="1EE18271">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581" w:type="dxa"/>
            <w:vAlign w:val="center"/>
          </w:tcPr>
          <w:p w14:paraId="4C55EEBC">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环境空气质量</w:t>
            </w:r>
          </w:p>
          <w:p w14:paraId="17B4794B">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现状调查数据来源</w:t>
            </w:r>
          </w:p>
        </w:tc>
        <w:tc>
          <w:tcPr>
            <w:tcW w:w="2169" w:type="dxa"/>
            <w:gridSpan w:val="5"/>
            <w:vAlign w:val="center"/>
          </w:tcPr>
          <w:p w14:paraId="019DE14E">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长期例行监测数据</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2356" w:type="dxa"/>
            <w:gridSpan w:val="8"/>
            <w:vAlign w:val="center"/>
          </w:tcPr>
          <w:p w14:paraId="20D92383">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主管部门发布的数据</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p>
        </w:tc>
        <w:tc>
          <w:tcPr>
            <w:tcW w:w="1865" w:type="dxa"/>
            <w:gridSpan w:val="5"/>
            <w:vAlign w:val="center"/>
          </w:tcPr>
          <w:p w14:paraId="45341894">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现状补充监测</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p>
        </w:tc>
      </w:tr>
      <w:tr w14:paraId="3FB5E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14:paraId="5FF1E326">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581" w:type="dxa"/>
            <w:vAlign w:val="center"/>
          </w:tcPr>
          <w:p w14:paraId="5DA3FFF2">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现状评价</w:t>
            </w:r>
          </w:p>
        </w:tc>
        <w:tc>
          <w:tcPr>
            <w:tcW w:w="3694" w:type="dxa"/>
            <w:gridSpan w:val="10"/>
            <w:vAlign w:val="center"/>
          </w:tcPr>
          <w:p w14:paraId="779ECA44">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达标区</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p>
        </w:tc>
        <w:tc>
          <w:tcPr>
            <w:tcW w:w="2696" w:type="dxa"/>
            <w:gridSpan w:val="8"/>
            <w:vAlign w:val="center"/>
          </w:tcPr>
          <w:p w14:paraId="21C28D5D">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不达标区</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r>
      <w:tr w14:paraId="74865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Align w:val="center"/>
          </w:tcPr>
          <w:p w14:paraId="40CF70FE">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污染源</w:t>
            </w:r>
          </w:p>
          <w:p w14:paraId="712E9504">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调查</w:t>
            </w:r>
          </w:p>
        </w:tc>
        <w:tc>
          <w:tcPr>
            <w:tcW w:w="1581" w:type="dxa"/>
            <w:vAlign w:val="center"/>
          </w:tcPr>
          <w:p w14:paraId="2317A501">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调查内容</w:t>
            </w:r>
          </w:p>
        </w:tc>
        <w:tc>
          <w:tcPr>
            <w:tcW w:w="2485" w:type="dxa"/>
            <w:gridSpan w:val="6"/>
            <w:vAlign w:val="center"/>
          </w:tcPr>
          <w:p w14:paraId="5D21D63A">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建设项目正常排放源</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p>
          <w:p w14:paraId="7624581E">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建设项目非正常排放源</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p w14:paraId="6B556A10">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现有污染源</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209" w:type="dxa"/>
            <w:gridSpan w:val="4"/>
            <w:vAlign w:val="center"/>
          </w:tcPr>
          <w:p w14:paraId="46D2C8B2">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拟替代的污染源</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401" w:type="dxa"/>
            <w:gridSpan w:val="6"/>
            <w:vAlign w:val="center"/>
          </w:tcPr>
          <w:p w14:paraId="1F6A2943">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其他在建、拟建项目污染源</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295" w:type="dxa"/>
            <w:gridSpan w:val="2"/>
            <w:vAlign w:val="center"/>
          </w:tcPr>
          <w:p w14:paraId="46BDA596">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区域污染源</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r>
      <w:tr w14:paraId="5892C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vAlign w:val="center"/>
          </w:tcPr>
          <w:p w14:paraId="6109FDED">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大气环境影响预测与评价</w:t>
            </w:r>
          </w:p>
        </w:tc>
        <w:tc>
          <w:tcPr>
            <w:tcW w:w="1581" w:type="dxa"/>
            <w:vAlign w:val="center"/>
          </w:tcPr>
          <w:p w14:paraId="575F4955">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预测模型</w:t>
            </w:r>
          </w:p>
        </w:tc>
        <w:tc>
          <w:tcPr>
            <w:tcW w:w="1150" w:type="dxa"/>
            <w:vAlign w:val="center"/>
          </w:tcPr>
          <w:p w14:paraId="7D8D32B8">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AERMOD</w:t>
            </w:r>
          </w:p>
          <w:p w14:paraId="2CDFABD0">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825" w:type="dxa"/>
            <w:gridSpan w:val="3"/>
            <w:vAlign w:val="center"/>
          </w:tcPr>
          <w:p w14:paraId="1BCF24DB">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ADMS</w:t>
            </w:r>
          </w:p>
          <w:p w14:paraId="74C59450">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500" w:type="dxa"/>
            <w:gridSpan w:val="4"/>
            <w:vAlign w:val="center"/>
          </w:tcPr>
          <w:p w14:paraId="5AD7A816">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AUSTAL2000</w:t>
            </w:r>
          </w:p>
          <w:p w14:paraId="1E584AE8">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975" w:type="dxa"/>
            <w:gridSpan w:val="4"/>
            <w:vAlign w:val="center"/>
          </w:tcPr>
          <w:p w14:paraId="3C3E63DF">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EDMS</w:t>
            </w:r>
          </w:p>
          <w:p w14:paraId="408A47B1">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290" w:type="dxa"/>
            <w:gridSpan w:val="5"/>
            <w:vAlign w:val="center"/>
          </w:tcPr>
          <w:p w14:paraId="13ED1770">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CALPUFF</w:t>
            </w:r>
          </w:p>
          <w:p w14:paraId="09A8D7C4">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650" w:type="dxa"/>
            <w:vAlign w:val="center"/>
          </w:tcPr>
          <w:p w14:paraId="2D6A36E6">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其他</w:t>
            </w:r>
          </w:p>
          <w:p w14:paraId="5EC8CDF9">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r>
      <w:tr w14:paraId="2AC32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14:paraId="110498F1">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581" w:type="dxa"/>
            <w:vAlign w:val="center"/>
          </w:tcPr>
          <w:p w14:paraId="786C1623">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预测范围</w:t>
            </w:r>
          </w:p>
        </w:tc>
        <w:tc>
          <w:tcPr>
            <w:tcW w:w="2169" w:type="dxa"/>
            <w:gridSpan w:val="5"/>
            <w:vAlign w:val="center"/>
          </w:tcPr>
          <w:p w14:paraId="659A2C95">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边长</w:t>
            </w:r>
            <w:r>
              <w:rPr>
                <w:rFonts w:hint="eastAsia"/>
                <w:color w:val="000000" w:themeColor="text1"/>
                <w:w w:val="99"/>
                <w:kern w:val="21"/>
                <w:sz w:val="21"/>
                <w:szCs w:val="21"/>
                <w:lang w:val="en-US" w:bidi="ar-SA"/>
                <w14:textFill>
                  <w14:solidFill>
                    <w14:schemeClr w14:val="tx1"/>
                  </w14:solidFill>
                </w14:textFill>
              </w:rPr>
              <w:t>≧</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50km</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2281" w:type="dxa"/>
            <w:gridSpan w:val="7"/>
            <w:vAlign w:val="center"/>
          </w:tcPr>
          <w:p w14:paraId="66AD314F">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边长5~50km</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940" w:type="dxa"/>
            <w:gridSpan w:val="6"/>
            <w:vAlign w:val="center"/>
          </w:tcPr>
          <w:p w14:paraId="1D499418">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边长&lt;5km</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p>
        </w:tc>
      </w:tr>
      <w:tr w14:paraId="0F236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14:paraId="1AF78151">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581" w:type="dxa"/>
            <w:vAlign w:val="center"/>
          </w:tcPr>
          <w:p w14:paraId="2428CC55">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预测因子</w:t>
            </w:r>
          </w:p>
        </w:tc>
        <w:tc>
          <w:tcPr>
            <w:tcW w:w="3032" w:type="dxa"/>
            <w:gridSpan w:val="7"/>
            <w:vAlign w:val="center"/>
          </w:tcPr>
          <w:p w14:paraId="4C338C6E">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预测因子</w:t>
            </w:r>
          </w:p>
        </w:tc>
        <w:tc>
          <w:tcPr>
            <w:tcW w:w="3358" w:type="dxa"/>
            <w:gridSpan w:val="11"/>
            <w:vAlign w:val="center"/>
          </w:tcPr>
          <w:p w14:paraId="709F3099">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包括二次PM</w:t>
            </w:r>
            <w:r>
              <w:rPr>
                <w:rFonts w:ascii="Times New Roman" w:hAnsi="Times New Roman" w:cs="Times New Roman" w:eastAsiaTheme="minorEastAsia"/>
                <w:color w:val="000000" w:themeColor="text1"/>
                <w:w w:val="99"/>
                <w:kern w:val="21"/>
                <w:sz w:val="21"/>
                <w:szCs w:val="21"/>
                <w:vertAlign w:val="subscript"/>
                <w:lang w:val="en-US" w:bidi="ar-SA"/>
                <w14:textFill>
                  <w14:solidFill>
                    <w14:schemeClr w14:val="tx1"/>
                  </w14:solidFill>
                </w14:textFill>
              </w:rPr>
              <w:t>2.5</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p w14:paraId="26185937">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不包括二次PM</w:t>
            </w:r>
            <w:r>
              <w:rPr>
                <w:rFonts w:ascii="Times New Roman" w:hAnsi="Times New Roman" w:cs="Times New Roman" w:eastAsiaTheme="minorEastAsia"/>
                <w:color w:val="000000" w:themeColor="text1"/>
                <w:w w:val="99"/>
                <w:kern w:val="21"/>
                <w:sz w:val="21"/>
                <w:szCs w:val="21"/>
                <w:vertAlign w:val="subscript"/>
                <w:lang w:val="en-US" w:bidi="ar-SA"/>
                <w14:textFill>
                  <w14:solidFill>
                    <w14:schemeClr w14:val="tx1"/>
                  </w14:solidFill>
                </w14:textFill>
              </w:rPr>
              <w:t>2.5</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r>
      <w:tr w14:paraId="52AF3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14:paraId="5B69191A">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581" w:type="dxa"/>
            <w:vAlign w:val="center"/>
          </w:tcPr>
          <w:p w14:paraId="69F4CFF0">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正常排放短期浓度贡献值</w:t>
            </w:r>
          </w:p>
        </w:tc>
        <w:tc>
          <w:tcPr>
            <w:tcW w:w="3032" w:type="dxa"/>
            <w:gridSpan w:val="7"/>
            <w:vAlign w:val="center"/>
          </w:tcPr>
          <w:p w14:paraId="6FDA0DB1">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C</w:t>
            </w:r>
            <w:r>
              <w:rPr>
                <w:rFonts w:ascii="Times New Roman" w:hAnsi="Times New Roman" w:cs="Times New Roman" w:eastAsiaTheme="minorEastAsia"/>
                <w:color w:val="000000" w:themeColor="text1"/>
                <w:w w:val="99"/>
                <w:kern w:val="21"/>
                <w:sz w:val="21"/>
                <w:szCs w:val="21"/>
                <w:vertAlign w:val="subscript"/>
                <w:lang w:val="en-US" w:bidi="ar-SA"/>
                <w14:textFill>
                  <w14:solidFill>
                    <w14:schemeClr w14:val="tx1"/>
                  </w14:solidFill>
                </w14:textFill>
              </w:rPr>
              <w:t>建设项目</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最大占标率</w:t>
            </w:r>
            <w:r>
              <w:rPr>
                <w:rFonts w:hint="eastAsia"/>
                <w:color w:val="000000" w:themeColor="text1"/>
                <w:w w:val="99"/>
                <w:kern w:val="21"/>
                <w:sz w:val="21"/>
                <w:szCs w:val="21"/>
                <w:lang w:val="en-US" w:bidi="ar-SA"/>
                <w14:textFill>
                  <w14:solidFill>
                    <w14:schemeClr w14:val="tx1"/>
                  </w14:solidFill>
                </w14:textFill>
              </w:rPr>
              <w:t>≦</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100%</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3358" w:type="dxa"/>
            <w:gridSpan w:val="11"/>
            <w:vAlign w:val="center"/>
          </w:tcPr>
          <w:p w14:paraId="1B4C2189">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C</w:t>
            </w:r>
            <w:r>
              <w:rPr>
                <w:rFonts w:ascii="Times New Roman" w:hAnsi="Times New Roman" w:cs="Times New Roman" w:eastAsiaTheme="minorEastAsia"/>
                <w:color w:val="000000" w:themeColor="text1"/>
                <w:w w:val="99"/>
                <w:kern w:val="21"/>
                <w:sz w:val="21"/>
                <w:szCs w:val="21"/>
                <w:vertAlign w:val="subscript"/>
                <w:lang w:val="en-US" w:bidi="ar-SA"/>
                <w14:textFill>
                  <w14:solidFill>
                    <w14:schemeClr w14:val="tx1"/>
                  </w14:solidFill>
                </w14:textFill>
              </w:rPr>
              <w:t>建设项目</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最大占标率&gt;100%</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r>
      <w:tr w14:paraId="3AE0C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14:paraId="27D111C4">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581" w:type="dxa"/>
            <w:vMerge w:val="restart"/>
            <w:vAlign w:val="center"/>
          </w:tcPr>
          <w:p w14:paraId="1AA359E8">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正常排放年均浓度贡献值</w:t>
            </w:r>
          </w:p>
        </w:tc>
        <w:tc>
          <w:tcPr>
            <w:tcW w:w="1773" w:type="dxa"/>
            <w:gridSpan w:val="3"/>
            <w:vAlign w:val="center"/>
          </w:tcPr>
          <w:p w14:paraId="07BCDA9F">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一类区</w:t>
            </w:r>
          </w:p>
        </w:tc>
        <w:tc>
          <w:tcPr>
            <w:tcW w:w="2505" w:type="dxa"/>
            <w:gridSpan w:val="8"/>
            <w:vAlign w:val="center"/>
          </w:tcPr>
          <w:p w14:paraId="731BC838">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C</w:t>
            </w:r>
            <w:r>
              <w:rPr>
                <w:rFonts w:ascii="Times New Roman" w:hAnsi="Times New Roman" w:cs="Times New Roman" w:eastAsiaTheme="minorEastAsia"/>
                <w:color w:val="000000" w:themeColor="text1"/>
                <w:w w:val="99"/>
                <w:kern w:val="21"/>
                <w:sz w:val="21"/>
                <w:szCs w:val="21"/>
                <w:vertAlign w:val="subscript"/>
                <w:lang w:val="en-US" w:bidi="ar-SA"/>
                <w14:textFill>
                  <w14:solidFill>
                    <w14:schemeClr w14:val="tx1"/>
                  </w14:solidFill>
                </w14:textFill>
              </w:rPr>
              <w:t>建设项目</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最大占标率</w:t>
            </w:r>
            <w:r>
              <w:rPr>
                <w:rFonts w:hint="eastAsia"/>
                <w:color w:val="000000" w:themeColor="text1"/>
                <w:w w:val="99"/>
                <w:kern w:val="21"/>
                <w:sz w:val="21"/>
                <w:szCs w:val="21"/>
                <w:lang w:val="en-US" w:bidi="ar-SA"/>
                <w14:textFill>
                  <w14:solidFill>
                    <w14:schemeClr w14:val="tx1"/>
                  </w14:solidFill>
                </w14:textFill>
              </w:rPr>
              <w:t>≦</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10%</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2112" w:type="dxa"/>
            <w:gridSpan w:val="7"/>
            <w:vAlign w:val="center"/>
          </w:tcPr>
          <w:p w14:paraId="0BDD10F8">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C</w:t>
            </w:r>
            <w:r>
              <w:rPr>
                <w:rFonts w:ascii="Times New Roman" w:hAnsi="Times New Roman" w:cs="Times New Roman" w:eastAsiaTheme="minorEastAsia"/>
                <w:color w:val="000000" w:themeColor="text1"/>
                <w:w w:val="99"/>
                <w:kern w:val="21"/>
                <w:sz w:val="21"/>
                <w:szCs w:val="21"/>
                <w:vertAlign w:val="subscript"/>
                <w:lang w:val="en-US" w:bidi="ar-SA"/>
                <w14:textFill>
                  <w14:solidFill>
                    <w14:schemeClr w14:val="tx1"/>
                  </w14:solidFill>
                </w14:textFill>
              </w:rPr>
              <w:t>建设项目</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最大占标率＞10%</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r>
      <w:tr w14:paraId="7EB7C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14:paraId="5B5AEA16">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581" w:type="dxa"/>
            <w:vMerge w:val="continue"/>
            <w:vAlign w:val="center"/>
          </w:tcPr>
          <w:p w14:paraId="49D32A14">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773" w:type="dxa"/>
            <w:gridSpan w:val="3"/>
            <w:vAlign w:val="center"/>
          </w:tcPr>
          <w:p w14:paraId="4502242C">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二类区</w:t>
            </w:r>
          </w:p>
        </w:tc>
        <w:tc>
          <w:tcPr>
            <w:tcW w:w="2505" w:type="dxa"/>
            <w:gridSpan w:val="8"/>
            <w:vAlign w:val="center"/>
          </w:tcPr>
          <w:p w14:paraId="7E327CD4">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C</w:t>
            </w:r>
            <w:r>
              <w:rPr>
                <w:rFonts w:ascii="Times New Roman" w:hAnsi="Times New Roman" w:cs="Times New Roman" w:eastAsiaTheme="minorEastAsia"/>
                <w:color w:val="000000" w:themeColor="text1"/>
                <w:w w:val="99"/>
                <w:kern w:val="21"/>
                <w:sz w:val="21"/>
                <w:szCs w:val="21"/>
                <w:vertAlign w:val="subscript"/>
                <w:lang w:val="en-US" w:bidi="ar-SA"/>
                <w14:textFill>
                  <w14:solidFill>
                    <w14:schemeClr w14:val="tx1"/>
                  </w14:solidFill>
                </w14:textFill>
              </w:rPr>
              <w:t>建设项目</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最大占标率</w:t>
            </w:r>
            <w:r>
              <w:rPr>
                <w:rFonts w:hint="eastAsia"/>
                <w:color w:val="000000" w:themeColor="text1"/>
                <w:w w:val="99"/>
                <w:kern w:val="21"/>
                <w:sz w:val="21"/>
                <w:szCs w:val="21"/>
                <w:lang w:val="en-US" w:bidi="ar-SA"/>
                <w14:textFill>
                  <w14:solidFill>
                    <w14:schemeClr w14:val="tx1"/>
                  </w14:solidFill>
                </w14:textFill>
              </w:rPr>
              <w:t>≦</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30%</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2112" w:type="dxa"/>
            <w:gridSpan w:val="7"/>
            <w:vAlign w:val="center"/>
          </w:tcPr>
          <w:p w14:paraId="71EBD0D7">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C</w:t>
            </w:r>
            <w:r>
              <w:rPr>
                <w:rFonts w:ascii="Times New Roman" w:hAnsi="Times New Roman" w:cs="Times New Roman" w:eastAsiaTheme="minorEastAsia"/>
                <w:color w:val="000000" w:themeColor="text1"/>
                <w:w w:val="99"/>
                <w:kern w:val="21"/>
                <w:sz w:val="21"/>
                <w:szCs w:val="21"/>
                <w:vertAlign w:val="subscript"/>
                <w:lang w:val="en-US" w:bidi="ar-SA"/>
                <w14:textFill>
                  <w14:solidFill>
                    <w14:schemeClr w14:val="tx1"/>
                  </w14:solidFill>
                </w14:textFill>
              </w:rPr>
              <w:t>建设项目</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最大占标率＞30%</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r>
      <w:tr w14:paraId="5D072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14:paraId="6ADFD834">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581" w:type="dxa"/>
            <w:vAlign w:val="center"/>
          </w:tcPr>
          <w:p w14:paraId="28763469">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非正常排放1h浓度贡献值</w:t>
            </w:r>
          </w:p>
        </w:tc>
        <w:tc>
          <w:tcPr>
            <w:tcW w:w="2169" w:type="dxa"/>
            <w:gridSpan w:val="5"/>
            <w:vAlign w:val="center"/>
          </w:tcPr>
          <w:p w14:paraId="59C55AD0">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非正常持续时长（）h</w:t>
            </w:r>
          </w:p>
        </w:tc>
        <w:tc>
          <w:tcPr>
            <w:tcW w:w="2356" w:type="dxa"/>
            <w:gridSpan w:val="8"/>
            <w:vAlign w:val="center"/>
          </w:tcPr>
          <w:p w14:paraId="0339C006">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C非正常占标率</w:t>
            </w:r>
            <w:r>
              <w:rPr>
                <w:rFonts w:hint="eastAsia"/>
                <w:color w:val="000000" w:themeColor="text1"/>
                <w:w w:val="99"/>
                <w:kern w:val="21"/>
                <w:sz w:val="21"/>
                <w:szCs w:val="21"/>
                <w:lang w:val="en-US" w:bidi="ar-SA"/>
                <w14:textFill>
                  <w14:solidFill>
                    <w14:schemeClr w14:val="tx1"/>
                  </w14:solidFill>
                </w14:textFill>
              </w:rPr>
              <w:t>≦</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100%</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865" w:type="dxa"/>
            <w:gridSpan w:val="5"/>
            <w:vAlign w:val="center"/>
          </w:tcPr>
          <w:p w14:paraId="59884D37">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C非正常占标率&gt;100%</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r>
      <w:tr w14:paraId="38F86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14:paraId="76C366EE">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581" w:type="dxa"/>
            <w:vAlign w:val="center"/>
          </w:tcPr>
          <w:p w14:paraId="4150B285">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保证率日平均浓度和年评价浓度叠加值</w:t>
            </w:r>
          </w:p>
        </w:tc>
        <w:tc>
          <w:tcPr>
            <w:tcW w:w="3032" w:type="dxa"/>
            <w:gridSpan w:val="7"/>
            <w:vAlign w:val="center"/>
          </w:tcPr>
          <w:p w14:paraId="4FDD6E1C">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C叠加达标</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3358" w:type="dxa"/>
            <w:gridSpan w:val="11"/>
            <w:vAlign w:val="center"/>
          </w:tcPr>
          <w:p w14:paraId="7CD6012F">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C叠加不达标</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r>
      <w:tr w14:paraId="6AA74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14:paraId="2B8ECB82">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581" w:type="dxa"/>
            <w:vAlign w:val="center"/>
          </w:tcPr>
          <w:p w14:paraId="20220B4D">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区域环境质量的整体变化情况</w:t>
            </w:r>
          </w:p>
        </w:tc>
        <w:tc>
          <w:tcPr>
            <w:tcW w:w="3032" w:type="dxa"/>
            <w:gridSpan w:val="7"/>
            <w:vAlign w:val="center"/>
          </w:tcPr>
          <w:p w14:paraId="551850FA">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k</w:t>
            </w:r>
            <w:r>
              <w:rPr>
                <w:rFonts w:hint="eastAsia"/>
                <w:color w:val="000000" w:themeColor="text1"/>
                <w:w w:val="99"/>
                <w:kern w:val="21"/>
                <w:sz w:val="21"/>
                <w:szCs w:val="21"/>
                <w:lang w:val="en-US" w:bidi="ar-SA"/>
                <w14:textFill>
                  <w14:solidFill>
                    <w14:schemeClr w14:val="tx1"/>
                  </w14:solidFill>
                </w14:textFill>
              </w:rPr>
              <w:t>≦</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-20%</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3358" w:type="dxa"/>
            <w:gridSpan w:val="11"/>
            <w:vAlign w:val="center"/>
          </w:tcPr>
          <w:p w14:paraId="20E77604">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K&gt;-20%</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r>
      <w:tr w14:paraId="7262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vAlign w:val="center"/>
          </w:tcPr>
          <w:p w14:paraId="2D571968">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环境监测计划</w:t>
            </w:r>
          </w:p>
        </w:tc>
        <w:tc>
          <w:tcPr>
            <w:tcW w:w="1581" w:type="dxa"/>
            <w:vAlign w:val="center"/>
          </w:tcPr>
          <w:p w14:paraId="017670B2">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污染源监测</w:t>
            </w:r>
          </w:p>
        </w:tc>
        <w:tc>
          <w:tcPr>
            <w:tcW w:w="3032" w:type="dxa"/>
            <w:gridSpan w:val="7"/>
            <w:vAlign w:val="center"/>
          </w:tcPr>
          <w:p w14:paraId="37CDFBD6">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监测因子：（）</w:t>
            </w:r>
          </w:p>
        </w:tc>
        <w:tc>
          <w:tcPr>
            <w:tcW w:w="1936" w:type="dxa"/>
            <w:gridSpan w:val="8"/>
            <w:vAlign w:val="center"/>
          </w:tcPr>
          <w:p w14:paraId="744309CC">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有组织废气监测</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p w14:paraId="4ADBC03C">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无组织废气监测</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422" w:type="dxa"/>
            <w:gridSpan w:val="3"/>
            <w:vAlign w:val="center"/>
          </w:tcPr>
          <w:p w14:paraId="6B6A91A4">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无监测</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p>
        </w:tc>
      </w:tr>
      <w:tr w14:paraId="1D813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14:paraId="3A14DBC0">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581" w:type="dxa"/>
            <w:vAlign w:val="center"/>
          </w:tcPr>
          <w:p w14:paraId="4D3F3961">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环境质量监测</w:t>
            </w:r>
          </w:p>
        </w:tc>
        <w:tc>
          <w:tcPr>
            <w:tcW w:w="3032" w:type="dxa"/>
            <w:gridSpan w:val="7"/>
            <w:vAlign w:val="center"/>
          </w:tcPr>
          <w:p w14:paraId="0D8915E8">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监测因子：（）</w:t>
            </w:r>
          </w:p>
        </w:tc>
        <w:tc>
          <w:tcPr>
            <w:tcW w:w="1936" w:type="dxa"/>
            <w:gridSpan w:val="8"/>
            <w:vAlign w:val="center"/>
          </w:tcPr>
          <w:p w14:paraId="5F1A2CB0">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监测点位数（）</w:t>
            </w:r>
          </w:p>
        </w:tc>
        <w:tc>
          <w:tcPr>
            <w:tcW w:w="1422" w:type="dxa"/>
            <w:gridSpan w:val="3"/>
            <w:vAlign w:val="center"/>
          </w:tcPr>
          <w:p w14:paraId="0A3139C0">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无监测</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p>
        </w:tc>
      </w:tr>
      <w:tr w14:paraId="01D6D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vAlign w:val="center"/>
          </w:tcPr>
          <w:p w14:paraId="02389D54">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环评结论</w:t>
            </w:r>
          </w:p>
        </w:tc>
        <w:tc>
          <w:tcPr>
            <w:tcW w:w="1581" w:type="dxa"/>
            <w:vAlign w:val="center"/>
          </w:tcPr>
          <w:p w14:paraId="50F85B3C">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环境影响</w:t>
            </w:r>
          </w:p>
        </w:tc>
        <w:tc>
          <w:tcPr>
            <w:tcW w:w="6390" w:type="dxa"/>
            <w:gridSpan w:val="18"/>
            <w:vAlign w:val="center"/>
          </w:tcPr>
          <w:p w14:paraId="62D0DDB8">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可以接受</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不可以接受</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r>
      <w:tr w14:paraId="36B6D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14:paraId="2974392A">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581" w:type="dxa"/>
            <w:vAlign w:val="center"/>
          </w:tcPr>
          <w:p w14:paraId="6AC1C917">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大气防护距离</w:t>
            </w:r>
          </w:p>
        </w:tc>
        <w:tc>
          <w:tcPr>
            <w:tcW w:w="6390" w:type="dxa"/>
            <w:gridSpan w:val="18"/>
            <w:vAlign w:val="center"/>
          </w:tcPr>
          <w:p w14:paraId="274C571E">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距（）厂界最远（）m</w:t>
            </w:r>
          </w:p>
        </w:tc>
      </w:tr>
      <w:tr w14:paraId="3895F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14:paraId="1EBAE47F">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581" w:type="dxa"/>
            <w:vAlign w:val="center"/>
          </w:tcPr>
          <w:p w14:paraId="02DCA199">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污染源</w:t>
            </w:r>
          </w:p>
          <w:p w14:paraId="65302CAB">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年排放量</w:t>
            </w:r>
          </w:p>
        </w:tc>
        <w:tc>
          <w:tcPr>
            <w:tcW w:w="1567" w:type="dxa"/>
            <w:gridSpan w:val="2"/>
            <w:vAlign w:val="center"/>
          </w:tcPr>
          <w:p w14:paraId="042E7DE9">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NO</w:t>
            </w:r>
            <w:r>
              <w:rPr>
                <w:rFonts w:ascii="Times New Roman" w:hAnsi="Times New Roman" w:cs="Times New Roman" w:eastAsiaTheme="minorEastAsia"/>
                <w:color w:val="000000" w:themeColor="text1"/>
                <w:w w:val="99"/>
                <w:kern w:val="21"/>
                <w:sz w:val="21"/>
                <w:szCs w:val="21"/>
                <w:vertAlign w:val="subscript"/>
                <w:lang w:val="en-US" w:bidi="ar-SA"/>
                <w14:textFill>
                  <w14:solidFill>
                    <w14:schemeClr w14:val="tx1"/>
                  </w14:solidFill>
                </w14:textFill>
              </w:rPr>
              <w:t>x</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：（）t/a</w:t>
            </w:r>
          </w:p>
        </w:tc>
        <w:tc>
          <w:tcPr>
            <w:tcW w:w="1465" w:type="dxa"/>
            <w:gridSpan w:val="5"/>
            <w:vAlign w:val="center"/>
          </w:tcPr>
          <w:p w14:paraId="06A0F956">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SO</w:t>
            </w:r>
            <w:r>
              <w:rPr>
                <w:rFonts w:ascii="Times New Roman" w:hAnsi="Times New Roman" w:cs="Times New Roman" w:eastAsiaTheme="minorEastAsia"/>
                <w:color w:val="000000" w:themeColor="text1"/>
                <w:w w:val="99"/>
                <w:kern w:val="21"/>
                <w:sz w:val="21"/>
                <w:szCs w:val="21"/>
                <w:vertAlign w:val="subscript"/>
                <w:lang w:val="en-US" w:bidi="ar-SA"/>
                <w14:textFill>
                  <w14:solidFill>
                    <w14:schemeClr w14:val="tx1"/>
                  </w14:solidFill>
                </w14:textFill>
              </w:rPr>
              <w:t>2</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：（）t/a</w:t>
            </w:r>
          </w:p>
        </w:tc>
        <w:tc>
          <w:tcPr>
            <w:tcW w:w="1696" w:type="dxa"/>
            <w:gridSpan w:val="7"/>
            <w:vAlign w:val="center"/>
          </w:tcPr>
          <w:p w14:paraId="688A19BA">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颗粒物：（）t/a</w:t>
            </w:r>
          </w:p>
        </w:tc>
        <w:tc>
          <w:tcPr>
            <w:tcW w:w="1662" w:type="dxa"/>
            <w:gridSpan w:val="4"/>
            <w:vAlign w:val="center"/>
          </w:tcPr>
          <w:p w14:paraId="1509EB56">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NMHC：（</w:t>
            </w:r>
            <w:r>
              <w:rPr>
                <w:rFonts w:hint="eastAsia" w:ascii="Times New Roman" w:hAnsi="Times New Roman" w:cs="Times New Roman" w:eastAsiaTheme="minorEastAsia"/>
                <w:color w:val="000000" w:themeColor="text1"/>
                <w:w w:val="99"/>
                <w:kern w:val="21"/>
                <w:sz w:val="21"/>
                <w:szCs w:val="21"/>
                <w:lang w:val="en-US" w:bidi="ar-SA"/>
                <w14:textFill>
                  <w14:solidFill>
                    <w14:schemeClr w14:val="tx1"/>
                  </w14:solidFill>
                </w14:textFill>
              </w:rPr>
              <w:t>0.002</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）t/a</w:t>
            </w:r>
          </w:p>
        </w:tc>
      </w:tr>
      <w:tr w14:paraId="6E3C3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gridSpan w:val="20"/>
            <w:vAlign w:val="center"/>
          </w:tcPr>
          <w:p w14:paraId="6B6DCC1C">
            <w:pPr>
              <w:autoSpaceDE/>
              <w:autoSpaceDN/>
              <w:spacing w:line="280" w:lineRule="exact"/>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注：“</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”为勾选项，填“√”；“（）”为内容填写项</w:t>
            </w:r>
          </w:p>
        </w:tc>
      </w:tr>
    </w:tbl>
    <w:p w14:paraId="1786CE01">
      <w:pPr>
        <w:widowControl/>
        <w:autoSpaceDE/>
        <w:autoSpaceDN/>
        <w:adjustRightInd w:val="0"/>
        <w:snapToGrid w:val="0"/>
        <w:spacing w:after="200" w:line="360" w:lineRule="auto"/>
        <w:jc w:val="both"/>
        <w:rPr>
          <w:rFonts w:ascii="Times New Roman" w:hAnsi="Times New Roman" w:cs="Times New Roman" w:eastAsiaTheme="minorEastAsia"/>
          <w:bCs/>
          <w:color w:val="000000" w:themeColor="text1"/>
          <w:w w:val="99"/>
          <w:kern w:val="21"/>
          <w:sz w:val="24"/>
          <w:szCs w:val="24"/>
          <w:lang w:val="en-US" w:bidi="ar"/>
          <w14:textFill>
            <w14:solidFill>
              <w14:schemeClr w14:val="tx1"/>
            </w14:solidFill>
          </w14:textFill>
        </w:rPr>
      </w:pPr>
      <w:bookmarkStart w:id="602" w:name="_Toc6995251"/>
      <w:bookmarkStart w:id="603" w:name="_Toc13942_WPSOffice_Level1"/>
      <w:bookmarkStart w:id="604" w:name="_Toc15833342"/>
      <w:bookmarkStart w:id="605" w:name="_Toc16217"/>
    </w:p>
    <w:p w14:paraId="2999C9EA">
      <w:pPr>
        <w:autoSpaceDE/>
        <w:autoSpaceDN/>
        <w:spacing w:line="440" w:lineRule="exact"/>
        <w:jc w:val="both"/>
        <w:outlineLvl w:val="0"/>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pPr>
      <w:bookmarkStart w:id="606" w:name="_Toc28243"/>
      <w:bookmarkStart w:id="607" w:name="_Toc117794691"/>
      <w:bookmarkStart w:id="608" w:name="_Toc106810442"/>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附表2    建设项目环境风险评价自查表</w:t>
      </w:r>
      <w:bookmarkEnd w:id="602"/>
      <w:bookmarkEnd w:id="603"/>
      <w:bookmarkEnd w:id="604"/>
      <w:bookmarkEnd w:id="605"/>
      <w:bookmarkEnd w:id="606"/>
      <w:bookmarkEnd w:id="607"/>
      <w:bookmarkEnd w:id="608"/>
    </w:p>
    <w:tbl>
      <w:tblPr>
        <w:tblStyle w:val="80"/>
        <w:tblW w:w="90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8"/>
        <w:gridCol w:w="1212"/>
        <w:gridCol w:w="1076"/>
        <w:gridCol w:w="431"/>
        <w:gridCol w:w="634"/>
        <w:gridCol w:w="855"/>
        <w:gridCol w:w="1315"/>
        <w:gridCol w:w="667"/>
        <w:gridCol w:w="808"/>
        <w:gridCol w:w="1505"/>
      </w:tblGrid>
      <w:tr w14:paraId="357FA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tcBorders>
              <w:top w:val="single" w:color="auto" w:sz="4" w:space="0"/>
              <w:left w:val="single" w:color="auto" w:sz="4" w:space="0"/>
              <w:bottom w:val="single" w:color="auto" w:sz="4" w:space="0"/>
              <w:right w:val="single" w:color="auto" w:sz="4" w:space="0"/>
            </w:tcBorders>
            <w:vAlign w:val="center"/>
          </w:tcPr>
          <w:p w14:paraId="0BE3EFC7">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工作内容</w:t>
            </w:r>
          </w:p>
        </w:tc>
        <w:tc>
          <w:tcPr>
            <w:tcW w:w="7291" w:type="dxa"/>
            <w:gridSpan w:val="8"/>
            <w:tcBorders>
              <w:top w:val="single" w:color="auto" w:sz="4" w:space="0"/>
              <w:left w:val="single" w:color="auto" w:sz="4" w:space="0"/>
              <w:bottom w:val="single" w:color="auto" w:sz="4" w:space="0"/>
              <w:right w:val="single" w:color="auto" w:sz="4" w:space="0"/>
            </w:tcBorders>
            <w:vAlign w:val="center"/>
          </w:tcPr>
          <w:p w14:paraId="427249A2">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完成情况</w:t>
            </w:r>
          </w:p>
        </w:tc>
      </w:tr>
      <w:tr w14:paraId="0B3CD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restart"/>
            <w:tcBorders>
              <w:top w:val="single" w:color="auto" w:sz="4" w:space="0"/>
              <w:left w:val="single" w:color="auto" w:sz="4" w:space="0"/>
              <w:bottom w:val="single" w:color="auto" w:sz="4" w:space="0"/>
              <w:right w:val="single" w:color="auto" w:sz="4" w:space="0"/>
            </w:tcBorders>
            <w:vAlign w:val="center"/>
          </w:tcPr>
          <w:p w14:paraId="7D9122A2">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风险调查</w:t>
            </w:r>
          </w:p>
        </w:tc>
        <w:tc>
          <w:tcPr>
            <w:tcW w:w="1212" w:type="dxa"/>
            <w:vMerge w:val="restart"/>
            <w:tcBorders>
              <w:top w:val="single" w:color="auto" w:sz="4" w:space="0"/>
              <w:left w:val="single" w:color="auto" w:sz="4" w:space="0"/>
              <w:right w:val="single" w:color="auto" w:sz="4" w:space="0"/>
            </w:tcBorders>
            <w:vAlign w:val="center"/>
          </w:tcPr>
          <w:p w14:paraId="43EA967D">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危险物质</w:t>
            </w:r>
          </w:p>
        </w:tc>
        <w:tc>
          <w:tcPr>
            <w:tcW w:w="1076" w:type="dxa"/>
            <w:tcBorders>
              <w:top w:val="single" w:color="auto" w:sz="4" w:space="0"/>
              <w:left w:val="single" w:color="auto" w:sz="4" w:space="0"/>
              <w:bottom w:val="single" w:color="auto" w:sz="4" w:space="0"/>
              <w:right w:val="single" w:color="auto" w:sz="4" w:space="0"/>
            </w:tcBorders>
            <w:vAlign w:val="center"/>
          </w:tcPr>
          <w:p w14:paraId="199C1A25">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名称</w:t>
            </w:r>
          </w:p>
        </w:tc>
        <w:tc>
          <w:tcPr>
            <w:tcW w:w="1920" w:type="dxa"/>
            <w:gridSpan w:val="3"/>
            <w:tcBorders>
              <w:top w:val="single" w:color="auto" w:sz="4" w:space="0"/>
              <w:left w:val="single" w:color="auto" w:sz="4" w:space="0"/>
              <w:bottom w:val="single" w:color="auto" w:sz="4" w:space="0"/>
              <w:right w:val="single" w:color="auto" w:sz="4" w:space="0"/>
            </w:tcBorders>
            <w:vAlign w:val="center"/>
          </w:tcPr>
          <w:p w14:paraId="14A3C407">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原油</w:t>
            </w:r>
          </w:p>
        </w:tc>
        <w:tc>
          <w:tcPr>
            <w:tcW w:w="1315" w:type="dxa"/>
            <w:tcBorders>
              <w:top w:val="single" w:color="auto" w:sz="4" w:space="0"/>
              <w:left w:val="single" w:color="auto" w:sz="4" w:space="0"/>
              <w:bottom w:val="single" w:color="auto" w:sz="4" w:space="0"/>
              <w:right w:val="single" w:color="auto" w:sz="4" w:space="0"/>
            </w:tcBorders>
            <w:vAlign w:val="center"/>
          </w:tcPr>
          <w:p w14:paraId="69A3F810">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天然气</w:t>
            </w:r>
          </w:p>
        </w:tc>
        <w:tc>
          <w:tcPr>
            <w:tcW w:w="1475" w:type="dxa"/>
            <w:gridSpan w:val="2"/>
            <w:tcBorders>
              <w:top w:val="single" w:color="auto" w:sz="4" w:space="0"/>
              <w:left w:val="single" w:color="auto" w:sz="4" w:space="0"/>
              <w:bottom w:val="single" w:color="auto" w:sz="4" w:space="0"/>
              <w:right w:val="single" w:color="auto" w:sz="4" w:space="0"/>
            </w:tcBorders>
            <w:vAlign w:val="center"/>
          </w:tcPr>
          <w:p w14:paraId="52706E81">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505" w:type="dxa"/>
            <w:tcBorders>
              <w:top w:val="single" w:color="auto" w:sz="4" w:space="0"/>
              <w:left w:val="single" w:color="auto" w:sz="4" w:space="0"/>
              <w:bottom w:val="single" w:color="auto" w:sz="4" w:space="0"/>
              <w:right w:val="single" w:color="auto" w:sz="4" w:space="0"/>
            </w:tcBorders>
            <w:vAlign w:val="center"/>
          </w:tcPr>
          <w:p w14:paraId="3E4C2BE5">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r>
      <w:tr w14:paraId="7A2CF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14:paraId="3769F7B5">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212" w:type="dxa"/>
            <w:vMerge w:val="continue"/>
            <w:tcBorders>
              <w:left w:val="single" w:color="auto" w:sz="4" w:space="0"/>
              <w:bottom w:val="single" w:color="auto" w:sz="4" w:space="0"/>
              <w:right w:val="single" w:color="auto" w:sz="4" w:space="0"/>
            </w:tcBorders>
            <w:vAlign w:val="center"/>
          </w:tcPr>
          <w:p w14:paraId="7750A694">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076" w:type="dxa"/>
            <w:tcBorders>
              <w:top w:val="single" w:color="auto" w:sz="4" w:space="0"/>
              <w:left w:val="single" w:color="auto" w:sz="4" w:space="0"/>
              <w:bottom w:val="single" w:color="auto" w:sz="4" w:space="0"/>
              <w:right w:val="single" w:color="auto" w:sz="4" w:space="0"/>
            </w:tcBorders>
            <w:vAlign w:val="center"/>
          </w:tcPr>
          <w:p w14:paraId="6C137512">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存在总量</w:t>
            </w:r>
          </w:p>
        </w:tc>
        <w:tc>
          <w:tcPr>
            <w:tcW w:w="1920" w:type="dxa"/>
            <w:gridSpan w:val="3"/>
            <w:tcBorders>
              <w:top w:val="single" w:color="auto" w:sz="4" w:space="0"/>
              <w:left w:val="single" w:color="auto" w:sz="4" w:space="0"/>
              <w:bottom w:val="single" w:color="auto" w:sz="4" w:space="0"/>
              <w:right w:val="single" w:color="auto" w:sz="4" w:space="0"/>
            </w:tcBorders>
            <w:vAlign w:val="center"/>
          </w:tcPr>
          <w:p w14:paraId="417F36BD">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136.8t</w:t>
            </w:r>
          </w:p>
        </w:tc>
        <w:tc>
          <w:tcPr>
            <w:tcW w:w="1315" w:type="dxa"/>
            <w:tcBorders>
              <w:top w:val="single" w:color="auto" w:sz="4" w:space="0"/>
              <w:left w:val="single" w:color="auto" w:sz="4" w:space="0"/>
              <w:bottom w:val="single" w:color="auto" w:sz="4" w:space="0"/>
              <w:right w:val="single" w:color="auto" w:sz="4" w:space="0"/>
            </w:tcBorders>
            <w:vAlign w:val="center"/>
          </w:tcPr>
          <w:p w14:paraId="4863CC99">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3.086t</w:t>
            </w:r>
          </w:p>
        </w:tc>
        <w:tc>
          <w:tcPr>
            <w:tcW w:w="1475" w:type="dxa"/>
            <w:gridSpan w:val="2"/>
            <w:tcBorders>
              <w:top w:val="single" w:color="auto" w:sz="4" w:space="0"/>
              <w:left w:val="single" w:color="auto" w:sz="4" w:space="0"/>
              <w:bottom w:val="single" w:color="auto" w:sz="4" w:space="0"/>
              <w:right w:val="single" w:color="auto" w:sz="4" w:space="0"/>
            </w:tcBorders>
            <w:vAlign w:val="center"/>
          </w:tcPr>
          <w:p w14:paraId="37ACDE8D">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505" w:type="dxa"/>
            <w:tcBorders>
              <w:top w:val="single" w:color="auto" w:sz="4" w:space="0"/>
              <w:left w:val="single" w:color="auto" w:sz="4" w:space="0"/>
              <w:bottom w:val="single" w:color="auto" w:sz="4" w:space="0"/>
              <w:right w:val="single" w:color="auto" w:sz="4" w:space="0"/>
            </w:tcBorders>
            <w:vAlign w:val="center"/>
          </w:tcPr>
          <w:p w14:paraId="7DE2A04F">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r>
      <w:tr w14:paraId="03162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14:paraId="29DDAF88">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212" w:type="dxa"/>
            <w:vMerge w:val="restart"/>
            <w:tcBorders>
              <w:left w:val="single" w:color="auto" w:sz="4" w:space="0"/>
              <w:right w:val="single" w:color="auto" w:sz="4" w:space="0"/>
            </w:tcBorders>
            <w:vAlign w:val="center"/>
          </w:tcPr>
          <w:p w14:paraId="38A3BEF6">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环境</w:t>
            </w:r>
          </w:p>
          <w:p w14:paraId="7CE1B2F0">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敏感性</w:t>
            </w:r>
          </w:p>
        </w:tc>
        <w:tc>
          <w:tcPr>
            <w:tcW w:w="1076" w:type="dxa"/>
            <w:vMerge w:val="restart"/>
            <w:tcBorders>
              <w:top w:val="single" w:color="auto" w:sz="4" w:space="0"/>
              <w:left w:val="single" w:color="auto" w:sz="4" w:space="0"/>
              <w:right w:val="single" w:color="auto" w:sz="4" w:space="0"/>
            </w:tcBorders>
            <w:vAlign w:val="center"/>
          </w:tcPr>
          <w:p w14:paraId="799A9DA4">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大气</w:t>
            </w:r>
          </w:p>
        </w:tc>
        <w:tc>
          <w:tcPr>
            <w:tcW w:w="3235" w:type="dxa"/>
            <w:gridSpan w:val="4"/>
            <w:tcBorders>
              <w:top w:val="single" w:color="auto" w:sz="4" w:space="0"/>
              <w:left w:val="single" w:color="auto" w:sz="4" w:space="0"/>
              <w:bottom w:val="single" w:color="auto" w:sz="4" w:space="0"/>
              <w:right w:val="single" w:color="auto" w:sz="4" w:space="0"/>
            </w:tcBorders>
            <w:vAlign w:val="center"/>
          </w:tcPr>
          <w:p w14:paraId="3B9E918B">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500m范围内人口数</w:t>
            </w:r>
            <w:r>
              <w:rPr>
                <w:rFonts w:ascii="Times New Roman" w:hAnsi="Times New Roman" w:cs="Times New Roman" w:eastAsiaTheme="minorEastAsia"/>
                <w:color w:val="000000" w:themeColor="text1"/>
                <w:w w:val="99"/>
                <w:kern w:val="21"/>
                <w:sz w:val="21"/>
                <w:szCs w:val="21"/>
                <w:u w:val="single"/>
                <w:lang w:val="en-US" w:bidi="ar-SA"/>
                <w14:textFill>
                  <w14:solidFill>
                    <w14:schemeClr w14:val="tx1"/>
                  </w14:solidFill>
                </w14:textFill>
              </w:rPr>
              <w:t xml:space="preserve">   </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人</w:t>
            </w:r>
          </w:p>
        </w:tc>
        <w:tc>
          <w:tcPr>
            <w:tcW w:w="2980" w:type="dxa"/>
            <w:gridSpan w:val="3"/>
            <w:tcBorders>
              <w:top w:val="single" w:color="auto" w:sz="4" w:space="0"/>
              <w:left w:val="single" w:color="auto" w:sz="4" w:space="0"/>
              <w:bottom w:val="single" w:color="auto" w:sz="4" w:space="0"/>
              <w:right w:val="single" w:color="auto" w:sz="4" w:space="0"/>
            </w:tcBorders>
            <w:vAlign w:val="center"/>
          </w:tcPr>
          <w:p w14:paraId="4D4249CD">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5km范围内人口数</w:t>
            </w:r>
            <w:r>
              <w:rPr>
                <w:rFonts w:ascii="Times New Roman" w:hAnsi="Times New Roman" w:cs="Times New Roman" w:eastAsiaTheme="minorEastAsia"/>
                <w:color w:val="000000" w:themeColor="text1"/>
                <w:w w:val="99"/>
                <w:kern w:val="21"/>
                <w:sz w:val="21"/>
                <w:szCs w:val="21"/>
                <w:u w:val="single"/>
                <w:lang w:val="en-US" w:bidi="ar-SA"/>
                <w14:textFill>
                  <w14:solidFill>
                    <w14:schemeClr w14:val="tx1"/>
                  </w14:solidFill>
                </w14:textFill>
              </w:rPr>
              <w:t xml:space="preserve">   </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人</w:t>
            </w:r>
          </w:p>
        </w:tc>
      </w:tr>
      <w:tr w14:paraId="536F0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14:paraId="0329F6FC">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212" w:type="dxa"/>
            <w:vMerge w:val="continue"/>
            <w:tcBorders>
              <w:left w:val="single" w:color="auto" w:sz="4" w:space="0"/>
              <w:right w:val="single" w:color="auto" w:sz="4" w:space="0"/>
            </w:tcBorders>
            <w:vAlign w:val="center"/>
          </w:tcPr>
          <w:p w14:paraId="7BF4E4D5">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076" w:type="dxa"/>
            <w:vMerge w:val="continue"/>
            <w:tcBorders>
              <w:left w:val="single" w:color="auto" w:sz="4" w:space="0"/>
              <w:bottom w:val="single" w:color="auto" w:sz="4" w:space="0"/>
              <w:right w:val="single" w:color="auto" w:sz="4" w:space="0"/>
            </w:tcBorders>
            <w:vAlign w:val="center"/>
          </w:tcPr>
          <w:p w14:paraId="7CFBB48F">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4710" w:type="dxa"/>
            <w:gridSpan w:val="6"/>
            <w:tcBorders>
              <w:top w:val="single" w:color="auto" w:sz="4" w:space="0"/>
              <w:left w:val="single" w:color="auto" w:sz="4" w:space="0"/>
              <w:bottom w:val="single" w:color="auto" w:sz="4" w:space="0"/>
              <w:right w:val="single" w:color="auto" w:sz="4" w:space="0"/>
            </w:tcBorders>
            <w:vAlign w:val="center"/>
          </w:tcPr>
          <w:p w14:paraId="5F4ACDF4">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每公里管段周边200m范围内人口数（最大）</w:t>
            </w:r>
          </w:p>
        </w:tc>
        <w:tc>
          <w:tcPr>
            <w:tcW w:w="1505" w:type="dxa"/>
            <w:tcBorders>
              <w:top w:val="single" w:color="auto" w:sz="4" w:space="0"/>
              <w:left w:val="single" w:color="auto" w:sz="4" w:space="0"/>
              <w:bottom w:val="single" w:color="auto" w:sz="4" w:space="0"/>
              <w:right w:val="single" w:color="auto" w:sz="4" w:space="0"/>
            </w:tcBorders>
            <w:vAlign w:val="center"/>
          </w:tcPr>
          <w:p w14:paraId="53CBFB28">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u w:val="single"/>
                <w:lang w:val="en-US" w:bidi="ar-SA"/>
                <w14:textFill>
                  <w14:solidFill>
                    <w14:schemeClr w14:val="tx1"/>
                  </w14:solidFill>
                </w14:textFill>
              </w:rPr>
              <w:t xml:space="preserve">   </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人</w:t>
            </w:r>
          </w:p>
        </w:tc>
      </w:tr>
      <w:tr w14:paraId="372F7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14:paraId="668BACE5">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212" w:type="dxa"/>
            <w:vMerge w:val="continue"/>
            <w:tcBorders>
              <w:left w:val="single" w:color="auto" w:sz="4" w:space="0"/>
              <w:right w:val="single" w:color="auto" w:sz="4" w:space="0"/>
            </w:tcBorders>
            <w:vAlign w:val="center"/>
          </w:tcPr>
          <w:p w14:paraId="1774C514">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076" w:type="dxa"/>
            <w:vMerge w:val="restart"/>
            <w:tcBorders>
              <w:top w:val="single" w:color="auto" w:sz="4" w:space="0"/>
              <w:left w:val="single" w:color="auto" w:sz="4" w:space="0"/>
              <w:right w:val="single" w:color="auto" w:sz="4" w:space="0"/>
            </w:tcBorders>
            <w:vAlign w:val="center"/>
          </w:tcPr>
          <w:p w14:paraId="75B95BB7">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地表水</w:t>
            </w:r>
          </w:p>
        </w:tc>
        <w:tc>
          <w:tcPr>
            <w:tcW w:w="1920" w:type="dxa"/>
            <w:gridSpan w:val="3"/>
            <w:tcBorders>
              <w:top w:val="single" w:color="auto" w:sz="4" w:space="0"/>
              <w:left w:val="single" w:color="auto" w:sz="4" w:space="0"/>
              <w:bottom w:val="single" w:color="auto" w:sz="4" w:space="0"/>
              <w:right w:val="single" w:color="auto" w:sz="4" w:space="0"/>
            </w:tcBorders>
            <w:vAlign w:val="center"/>
          </w:tcPr>
          <w:p w14:paraId="6300784F">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地表水功能敏感性</w:t>
            </w:r>
          </w:p>
        </w:tc>
        <w:tc>
          <w:tcPr>
            <w:tcW w:w="1315" w:type="dxa"/>
            <w:tcBorders>
              <w:top w:val="single" w:color="auto" w:sz="4" w:space="0"/>
              <w:left w:val="single" w:color="auto" w:sz="4" w:space="0"/>
              <w:bottom w:val="single" w:color="auto" w:sz="4" w:space="0"/>
              <w:right w:val="single" w:color="auto" w:sz="4" w:space="0"/>
            </w:tcBorders>
            <w:vAlign w:val="center"/>
          </w:tcPr>
          <w:p w14:paraId="24146038">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F1</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475" w:type="dxa"/>
            <w:gridSpan w:val="2"/>
            <w:tcBorders>
              <w:top w:val="single" w:color="auto" w:sz="4" w:space="0"/>
              <w:left w:val="single" w:color="auto" w:sz="4" w:space="0"/>
              <w:bottom w:val="single" w:color="auto" w:sz="4" w:space="0"/>
              <w:right w:val="single" w:color="auto" w:sz="4" w:space="0"/>
            </w:tcBorders>
            <w:vAlign w:val="center"/>
          </w:tcPr>
          <w:p w14:paraId="3CBBFEF0">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F2</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14:paraId="133018AE">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F3</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r>
      <w:tr w14:paraId="00B64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14:paraId="32DCE5F7">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212" w:type="dxa"/>
            <w:vMerge w:val="continue"/>
            <w:tcBorders>
              <w:left w:val="single" w:color="auto" w:sz="4" w:space="0"/>
              <w:right w:val="single" w:color="auto" w:sz="4" w:space="0"/>
            </w:tcBorders>
            <w:vAlign w:val="center"/>
          </w:tcPr>
          <w:p w14:paraId="5F6F0B32">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076" w:type="dxa"/>
            <w:vMerge w:val="continue"/>
            <w:tcBorders>
              <w:left w:val="single" w:color="auto" w:sz="4" w:space="0"/>
              <w:bottom w:val="single" w:color="auto" w:sz="4" w:space="0"/>
              <w:right w:val="single" w:color="auto" w:sz="4" w:space="0"/>
            </w:tcBorders>
            <w:vAlign w:val="center"/>
          </w:tcPr>
          <w:p w14:paraId="420D6E88">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920" w:type="dxa"/>
            <w:gridSpan w:val="3"/>
            <w:tcBorders>
              <w:top w:val="single" w:color="auto" w:sz="4" w:space="0"/>
              <w:left w:val="single" w:color="auto" w:sz="4" w:space="0"/>
              <w:bottom w:val="single" w:color="auto" w:sz="4" w:space="0"/>
              <w:right w:val="single" w:color="auto" w:sz="4" w:space="0"/>
            </w:tcBorders>
            <w:vAlign w:val="center"/>
          </w:tcPr>
          <w:p w14:paraId="18562A6E">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环境敏感目标分级</w:t>
            </w:r>
          </w:p>
        </w:tc>
        <w:tc>
          <w:tcPr>
            <w:tcW w:w="1315" w:type="dxa"/>
            <w:tcBorders>
              <w:top w:val="single" w:color="auto" w:sz="4" w:space="0"/>
              <w:left w:val="single" w:color="auto" w:sz="4" w:space="0"/>
              <w:bottom w:val="single" w:color="auto" w:sz="4" w:space="0"/>
              <w:right w:val="single" w:color="auto" w:sz="4" w:space="0"/>
            </w:tcBorders>
            <w:vAlign w:val="center"/>
          </w:tcPr>
          <w:p w14:paraId="3CA67B54">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S1</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475" w:type="dxa"/>
            <w:gridSpan w:val="2"/>
            <w:tcBorders>
              <w:top w:val="single" w:color="auto" w:sz="4" w:space="0"/>
              <w:left w:val="single" w:color="auto" w:sz="4" w:space="0"/>
              <w:bottom w:val="single" w:color="auto" w:sz="4" w:space="0"/>
              <w:right w:val="single" w:color="auto" w:sz="4" w:space="0"/>
            </w:tcBorders>
            <w:vAlign w:val="center"/>
          </w:tcPr>
          <w:p w14:paraId="59D61649">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S2</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14:paraId="0521E762">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S3</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r>
      <w:tr w14:paraId="2D195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14:paraId="6CCA07D7">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212" w:type="dxa"/>
            <w:vMerge w:val="continue"/>
            <w:tcBorders>
              <w:left w:val="single" w:color="auto" w:sz="4" w:space="0"/>
              <w:right w:val="single" w:color="auto" w:sz="4" w:space="0"/>
            </w:tcBorders>
            <w:vAlign w:val="center"/>
          </w:tcPr>
          <w:p w14:paraId="1D9BB959">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076" w:type="dxa"/>
            <w:vMerge w:val="restart"/>
            <w:tcBorders>
              <w:top w:val="single" w:color="auto" w:sz="4" w:space="0"/>
              <w:left w:val="single" w:color="auto" w:sz="4" w:space="0"/>
              <w:right w:val="single" w:color="auto" w:sz="4" w:space="0"/>
            </w:tcBorders>
            <w:vAlign w:val="center"/>
          </w:tcPr>
          <w:p w14:paraId="7A223C1B">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地下水</w:t>
            </w:r>
          </w:p>
        </w:tc>
        <w:tc>
          <w:tcPr>
            <w:tcW w:w="1920" w:type="dxa"/>
            <w:gridSpan w:val="3"/>
            <w:tcBorders>
              <w:top w:val="single" w:color="auto" w:sz="4" w:space="0"/>
              <w:left w:val="single" w:color="auto" w:sz="4" w:space="0"/>
              <w:bottom w:val="single" w:color="auto" w:sz="4" w:space="0"/>
              <w:right w:val="single" w:color="auto" w:sz="4" w:space="0"/>
            </w:tcBorders>
            <w:vAlign w:val="center"/>
          </w:tcPr>
          <w:p w14:paraId="0E68E188">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地下水功能敏感性</w:t>
            </w:r>
          </w:p>
        </w:tc>
        <w:tc>
          <w:tcPr>
            <w:tcW w:w="1315" w:type="dxa"/>
            <w:tcBorders>
              <w:top w:val="single" w:color="auto" w:sz="4" w:space="0"/>
              <w:left w:val="single" w:color="auto" w:sz="4" w:space="0"/>
              <w:bottom w:val="single" w:color="auto" w:sz="4" w:space="0"/>
              <w:right w:val="single" w:color="auto" w:sz="4" w:space="0"/>
            </w:tcBorders>
            <w:vAlign w:val="center"/>
          </w:tcPr>
          <w:p w14:paraId="68A0CC7C">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G1</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475" w:type="dxa"/>
            <w:gridSpan w:val="2"/>
            <w:tcBorders>
              <w:top w:val="single" w:color="auto" w:sz="4" w:space="0"/>
              <w:left w:val="single" w:color="auto" w:sz="4" w:space="0"/>
              <w:bottom w:val="single" w:color="auto" w:sz="4" w:space="0"/>
              <w:right w:val="single" w:color="auto" w:sz="4" w:space="0"/>
            </w:tcBorders>
            <w:vAlign w:val="center"/>
          </w:tcPr>
          <w:p w14:paraId="7BD1A615">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G2</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14:paraId="34DD6931">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G3</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r>
      <w:tr w14:paraId="03A08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14:paraId="4017E382">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212" w:type="dxa"/>
            <w:vMerge w:val="continue"/>
            <w:tcBorders>
              <w:left w:val="single" w:color="auto" w:sz="4" w:space="0"/>
              <w:right w:val="single" w:color="auto" w:sz="4" w:space="0"/>
            </w:tcBorders>
            <w:vAlign w:val="center"/>
          </w:tcPr>
          <w:p w14:paraId="6F7FD3DB">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076" w:type="dxa"/>
            <w:vMerge w:val="continue"/>
            <w:tcBorders>
              <w:left w:val="single" w:color="auto" w:sz="4" w:space="0"/>
              <w:bottom w:val="single" w:color="auto" w:sz="4" w:space="0"/>
              <w:right w:val="single" w:color="auto" w:sz="4" w:space="0"/>
            </w:tcBorders>
            <w:vAlign w:val="center"/>
          </w:tcPr>
          <w:p w14:paraId="15EF6C67">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920" w:type="dxa"/>
            <w:gridSpan w:val="3"/>
            <w:tcBorders>
              <w:top w:val="single" w:color="auto" w:sz="4" w:space="0"/>
              <w:left w:val="single" w:color="auto" w:sz="4" w:space="0"/>
              <w:bottom w:val="single" w:color="auto" w:sz="4" w:space="0"/>
              <w:right w:val="single" w:color="auto" w:sz="4" w:space="0"/>
            </w:tcBorders>
            <w:vAlign w:val="center"/>
          </w:tcPr>
          <w:p w14:paraId="1D1E5801">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包气带防污性能</w:t>
            </w:r>
          </w:p>
        </w:tc>
        <w:tc>
          <w:tcPr>
            <w:tcW w:w="1315" w:type="dxa"/>
            <w:tcBorders>
              <w:top w:val="single" w:color="auto" w:sz="4" w:space="0"/>
              <w:left w:val="single" w:color="auto" w:sz="4" w:space="0"/>
              <w:bottom w:val="single" w:color="auto" w:sz="4" w:space="0"/>
              <w:right w:val="single" w:color="auto" w:sz="4" w:space="0"/>
            </w:tcBorders>
            <w:vAlign w:val="center"/>
          </w:tcPr>
          <w:p w14:paraId="3022D4C3">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D1</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475" w:type="dxa"/>
            <w:gridSpan w:val="2"/>
            <w:tcBorders>
              <w:top w:val="single" w:color="auto" w:sz="4" w:space="0"/>
              <w:left w:val="single" w:color="auto" w:sz="4" w:space="0"/>
              <w:bottom w:val="single" w:color="auto" w:sz="4" w:space="0"/>
              <w:right w:val="single" w:color="auto" w:sz="4" w:space="0"/>
            </w:tcBorders>
            <w:vAlign w:val="center"/>
          </w:tcPr>
          <w:p w14:paraId="434911BC">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D2</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14:paraId="653A2B6B">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D3</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r>
      <w:tr w14:paraId="69950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vMerge w:val="restart"/>
            <w:tcBorders>
              <w:top w:val="single" w:color="auto" w:sz="4" w:space="0"/>
              <w:left w:val="single" w:color="auto" w:sz="4" w:space="0"/>
              <w:right w:val="single" w:color="auto" w:sz="4" w:space="0"/>
            </w:tcBorders>
            <w:vAlign w:val="center"/>
          </w:tcPr>
          <w:p w14:paraId="400FEF9E">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物质及工艺系数危险性</w:t>
            </w:r>
          </w:p>
        </w:tc>
        <w:tc>
          <w:tcPr>
            <w:tcW w:w="1076" w:type="dxa"/>
            <w:tcBorders>
              <w:top w:val="single" w:color="auto" w:sz="4" w:space="0"/>
              <w:left w:val="single" w:color="auto" w:sz="4" w:space="0"/>
              <w:bottom w:val="single" w:color="auto" w:sz="4" w:space="0"/>
              <w:right w:val="single" w:color="auto" w:sz="4" w:space="0"/>
            </w:tcBorders>
            <w:vAlign w:val="center"/>
          </w:tcPr>
          <w:p w14:paraId="3E684E66">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Q值</w:t>
            </w:r>
          </w:p>
        </w:tc>
        <w:tc>
          <w:tcPr>
            <w:tcW w:w="1920" w:type="dxa"/>
            <w:gridSpan w:val="3"/>
            <w:tcBorders>
              <w:top w:val="single" w:color="auto" w:sz="4" w:space="0"/>
              <w:left w:val="single" w:color="auto" w:sz="4" w:space="0"/>
              <w:bottom w:val="single" w:color="auto" w:sz="4" w:space="0"/>
              <w:right w:val="single" w:color="auto" w:sz="4" w:space="0"/>
            </w:tcBorders>
            <w:vAlign w:val="center"/>
          </w:tcPr>
          <w:p w14:paraId="42947C44">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Q＜1</w:t>
            </w: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sym w:font="Wingdings" w:char="00FE"/>
            </w:r>
          </w:p>
        </w:tc>
        <w:tc>
          <w:tcPr>
            <w:tcW w:w="1315" w:type="dxa"/>
            <w:tcBorders>
              <w:top w:val="single" w:color="auto" w:sz="4" w:space="0"/>
              <w:left w:val="single" w:color="auto" w:sz="4" w:space="0"/>
              <w:bottom w:val="single" w:color="auto" w:sz="4" w:space="0"/>
              <w:right w:val="single" w:color="auto" w:sz="4" w:space="0"/>
            </w:tcBorders>
            <w:vAlign w:val="center"/>
          </w:tcPr>
          <w:p w14:paraId="5570150B">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1≤Q＜10</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475" w:type="dxa"/>
            <w:gridSpan w:val="2"/>
            <w:tcBorders>
              <w:top w:val="single" w:color="auto" w:sz="4" w:space="0"/>
              <w:left w:val="single" w:color="auto" w:sz="4" w:space="0"/>
              <w:bottom w:val="single" w:color="auto" w:sz="4" w:space="0"/>
              <w:right w:val="single" w:color="auto" w:sz="4" w:space="0"/>
            </w:tcBorders>
            <w:vAlign w:val="center"/>
          </w:tcPr>
          <w:p w14:paraId="47E426C1">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10≤Q＜100</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14:paraId="16AF9933">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Q＞100</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r>
      <w:tr w14:paraId="7C878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vMerge w:val="continue"/>
            <w:tcBorders>
              <w:left w:val="single" w:color="auto" w:sz="4" w:space="0"/>
              <w:right w:val="single" w:color="auto" w:sz="4" w:space="0"/>
            </w:tcBorders>
            <w:vAlign w:val="center"/>
          </w:tcPr>
          <w:p w14:paraId="1437CFCD">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076" w:type="dxa"/>
            <w:tcBorders>
              <w:top w:val="single" w:color="auto" w:sz="4" w:space="0"/>
              <w:left w:val="single" w:color="auto" w:sz="4" w:space="0"/>
              <w:bottom w:val="single" w:color="auto" w:sz="4" w:space="0"/>
              <w:right w:val="single" w:color="auto" w:sz="4" w:space="0"/>
            </w:tcBorders>
            <w:vAlign w:val="center"/>
          </w:tcPr>
          <w:p w14:paraId="3C2BAD8F">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M值</w:t>
            </w:r>
          </w:p>
        </w:tc>
        <w:tc>
          <w:tcPr>
            <w:tcW w:w="1920" w:type="dxa"/>
            <w:gridSpan w:val="3"/>
            <w:tcBorders>
              <w:top w:val="single" w:color="auto" w:sz="4" w:space="0"/>
              <w:left w:val="single" w:color="auto" w:sz="4" w:space="0"/>
              <w:bottom w:val="single" w:color="auto" w:sz="4" w:space="0"/>
              <w:right w:val="single" w:color="auto" w:sz="4" w:space="0"/>
            </w:tcBorders>
            <w:vAlign w:val="center"/>
          </w:tcPr>
          <w:p w14:paraId="72AE28BA">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M1</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315" w:type="dxa"/>
            <w:tcBorders>
              <w:top w:val="single" w:color="auto" w:sz="4" w:space="0"/>
              <w:left w:val="single" w:color="auto" w:sz="4" w:space="0"/>
              <w:bottom w:val="single" w:color="auto" w:sz="4" w:space="0"/>
              <w:right w:val="single" w:color="auto" w:sz="4" w:space="0"/>
            </w:tcBorders>
            <w:vAlign w:val="center"/>
          </w:tcPr>
          <w:p w14:paraId="1E5D6959">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M2</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475" w:type="dxa"/>
            <w:gridSpan w:val="2"/>
            <w:tcBorders>
              <w:top w:val="single" w:color="auto" w:sz="4" w:space="0"/>
              <w:left w:val="single" w:color="auto" w:sz="4" w:space="0"/>
              <w:bottom w:val="single" w:color="auto" w:sz="4" w:space="0"/>
              <w:right w:val="single" w:color="auto" w:sz="4" w:space="0"/>
            </w:tcBorders>
            <w:vAlign w:val="center"/>
          </w:tcPr>
          <w:p w14:paraId="009F45E4">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M3</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14:paraId="7948E509">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M4</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r>
      <w:tr w14:paraId="2DD18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vMerge w:val="continue"/>
            <w:tcBorders>
              <w:left w:val="single" w:color="auto" w:sz="4" w:space="0"/>
              <w:bottom w:val="single" w:color="auto" w:sz="4" w:space="0"/>
              <w:right w:val="single" w:color="auto" w:sz="4" w:space="0"/>
            </w:tcBorders>
            <w:vAlign w:val="center"/>
          </w:tcPr>
          <w:p w14:paraId="764867B5">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076" w:type="dxa"/>
            <w:tcBorders>
              <w:top w:val="single" w:color="auto" w:sz="4" w:space="0"/>
              <w:left w:val="single" w:color="auto" w:sz="4" w:space="0"/>
              <w:bottom w:val="single" w:color="auto" w:sz="4" w:space="0"/>
              <w:right w:val="single" w:color="auto" w:sz="4" w:space="0"/>
            </w:tcBorders>
            <w:vAlign w:val="center"/>
          </w:tcPr>
          <w:p w14:paraId="52BF7860">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P值</w:t>
            </w:r>
          </w:p>
        </w:tc>
        <w:tc>
          <w:tcPr>
            <w:tcW w:w="1920" w:type="dxa"/>
            <w:gridSpan w:val="3"/>
            <w:tcBorders>
              <w:top w:val="single" w:color="auto" w:sz="4" w:space="0"/>
              <w:left w:val="single" w:color="auto" w:sz="4" w:space="0"/>
              <w:bottom w:val="single" w:color="auto" w:sz="4" w:space="0"/>
              <w:right w:val="single" w:color="auto" w:sz="4" w:space="0"/>
            </w:tcBorders>
            <w:vAlign w:val="center"/>
          </w:tcPr>
          <w:p w14:paraId="1679CAD4">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P1</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315" w:type="dxa"/>
            <w:tcBorders>
              <w:top w:val="single" w:color="auto" w:sz="4" w:space="0"/>
              <w:left w:val="single" w:color="auto" w:sz="4" w:space="0"/>
              <w:bottom w:val="single" w:color="auto" w:sz="4" w:space="0"/>
              <w:right w:val="single" w:color="auto" w:sz="4" w:space="0"/>
            </w:tcBorders>
            <w:vAlign w:val="center"/>
          </w:tcPr>
          <w:p w14:paraId="5966D339">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P2</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475" w:type="dxa"/>
            <w:gridSpan w:val="2"/>
            <w:tcBorders>
              <w:top w:val="single" w:color="auto" w:sz="4" w:space="0"/>
              <w:left w:val="single" w:color="auto" w:sz="4" w:space="0"/>
              <w:bottom w:val="single" w:color="auto" w:sz="4" w:space="0"/>
              <w:right w:val="single" w:color="auto" w:sz="4" w:space="0"/>
            </w:tcBorders>
            <w:vAlign w:val="center"/>
          </w:tcPr>
          <w:p w14:paraId="58C211FD">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P3</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14:paraId="28390069">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P4</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r>
      <w:tr w14:paraId="1B93C8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tcBorders>
              <w:top w:val="single" w:color="auto" w:sz="4" w:space="0"/>
              <w:left w:val="single" w:color="auto" w:sz="4" w:space="0"/>
              <w:bottom w:val="single" w:color="auto" w:sz="4" w:space="0"/>
              <w:right w:val="single" w:color="auto" w:sz="4" w:space="0"/>
            </w:tcBorders>
            <w:vAlign w:val="center"/>
          </w:tcPr>
          <w:p w14:paraId="5B03C6C5">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环境风险潜势</w:t>
            </w:r>
          </w:p>
        </w:tc>
        <w:tc>
          <w:tcPr>
            <w:tcW w:w="1507" w:type="dxa"/>
            <w:gridSpan w:val="2"/>
            <w:tcBorders>
              <w:top w:val="single" w:color="auto" w:sz="4" w:space="0"/>
              <w:left w:val="single" w:color="auto" w:sz="4" w:space="0"/>
              <w:bottom w:val="single" w:color="auto" w:sz="4" w:space="0"/>
              <w:right w:val="single" w:color="auto" w:sz="4" w:space="0"/>
            </w:tcBorders>
            <w:vAlign w:val="center"/>
          </w:tcPr>
          <w:p w14:paraId="3AED69BB">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Ⅳ+</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489" w:type="dxa"/>
            <w:gridSpan w:val="2"/>
            <w:tcBorders>
              <w:top w:val="single" w:color="auto" w:sz="4" w:space="0"/>
              <w:left w:val="single" w:color="auto" w:sz="4" w:space="0"/>
              <w:bottom w:val="single" w:color="auto" w:sz="4" w:space="0"/>
              <w:right w:val="single" w:color="auto" w:sz="4" w:space="0"/>
            </w:tcBorders>
            <w:vAlign w:val="center"/>
          </w:tcPr>
          <w:p w14:paraId="40FDEF91">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Ⅳ</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315" w:type="dxa"/>
            <w:tcBorders>
              <w:top w:val="single" w:color="auto" w:sz="4" w:space="0"/>
              <w:left w:val="single" w:color="auto" w:sz="4" w:space="0"/>
              <w:bottom w:val="single" w:color="auto" w:sz="4" w:space="0"/>
              <w:right w:val="single" w:color="auto" w:sz="4" w:space="0"/>
            </w:tcBorders>
            <w:vAlign w:val="center"/>
          </w:tcPr>
          <w:p w14:paraId="68DC7633">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Ⅲ</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475" w:type="dxa"/>
            <w:gridSpan w:val="2"/>
            <w:tcBorders>
              <w:top w:val="single" w:color="auto" w:sz="4" w:space="0"/>
              <w:left w:val="single" w:color="auto" w:sz="4" w:space="0"/>
              <w:bottom w:val="single" w:color="auto" w:sz="4" w:space="0"/>
              <w:right w:val="single" w:color="auto" w:sz="4" w:space="0"/>
            </w:tcBorders>
            <w:vAlign w:val="center"/>
          </w:tcPr>
          <w:p w14:paraId="6CAF6B46">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Ⅱ</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14:paraId="20B35A16">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Ⅰ</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p>
        </w:tc>
      </w:tr>
      <w:tr w14:paraId="283C8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tcBorders>
              <w:top w:val="single" w:color="auto" w:sz="4" w:space="0"/>
              <w:left w:val="single" w:color="auto" w:sz="4" w:space="0"/>
              <w:bottom w:val="single" w:color="auto" w:sz="4" w:space="0"/>
              <w:right w:val="single" w:color="auto" w:sz="4" w:space="0"/>
            </w:tcBorders>
            <w:vAlign w:val="center"/>
          </w:tcPr>
          <w:p w14:paraId="0F92B1A9">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评价等级</w:t>
            </w:r>
          </w:p>
        </w:tc>
        <w:tc>
          <w:tcPr>
            <w:tcW w:w="2996" w:type="dxa"/>
            <w:gridSpan w:val="4"/>
            <w:tcBorders>
              <w:top w:val="single" w:color="auto" w:sz="4" w:space="0"/>
              <w:left w:val="single" w:color="auto" w:sz="4" w:space="0"/>
              <w:bottom w:val="single" w:color="auto" w:sz="4" w:space="0"/>
              <w:right w:val="single" w:color="auto" w:sz="4" w:space="0"/>
            </w:tcBorders>
            <w:vAlign w:val="center"/>
          </w:tcPr>
          <w:p w14:paraId="09B65DC4">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一级</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315" w:type="dxa"/>
            <w:tcBorders>
              <w:top w:val="single" w:color="auto" w:sz="4" w:space="0"/>
              <w:left w:val="single" w:color="auto" w:sz="4" w:space="0"/>
              <w:bottom w:val="single" w:color="auto" w:sz="4" w:space="0"/>
              <w:right w:val="single" w:color="auto" w:sz="4" w:space="0"/>
            </w:tcBorders>
            <w:vAlign w:val="center"/>
          </w:tcPr>
          <w:p w14:paraId="3437D29D">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二级</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475" w:type="dxa"/>
            <w:gridSpan w:val="2"/>
            <w:tcBorders>
              <w:top w:val="single" w:color="auto" w:sz="4" w:space="0"/>
              <w:left w:val="single" w:color="auto" w:sz="4" w:space="0"/>
              <w:bottom w:val="single" w:color="auto" w:sz="4" w:space="0"/>
              <w:right w:val="single" w:color="auto" w:sz="4" w:space="0"/>
            </w:tcBorders>
            <w:vAlign w:val="center"/>
          </w:tcPr>
          <w:p w14:paraId="5C97A388">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三级</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14:paraId="406971B9">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简单分析</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p>
        </w:tc>
      </w:tr>
      <w:tr w14:paraId="58122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restart"/>
            <w:tcBorders>
              <w:top w:val="single" w:color="auto" w:sz="4" w:space="0"/>
              <w:left w:val="single" w:color="auto" w:sz="4" w:space="0"/>
              <w:bottom w:val="single" w:color="auto" w:sz="4" w:space="0"/>
              <w:right w:val="single" w:color="auto" w:sz="4" w:space="0"/>
            </w:tcBorders>
            <w:vAlign w:val="center"/>
          </w:tcPr>
          <w:p w14:paraId="360BDE1B">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风险识别</w:t>
            </w:r>
          </w:p>
        </w:tc>
        <w:tc>
          <w:tcPr>
            <w:tcW w:w="1212" w:type="dxa"/>
            <w:tcBorders>
              <w:top w:val="single" w:color="auto" w:sz="4" w:space="0"/>
              <w:left w:val="single" w:color="auto" w:sz="4" w:space="0"/>
              <w:bottom w:val="single" w:color="auto" w:sz="4" w:space="0"/>
              <w:right w:val="single" w:color="auto" w:sz="4" w:space="0"/>
            </w:tcBorders>
            <w:vAlign w:val="center"/>
          </w:tcPr>
          <w:p w14:paraId="00547D6A">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物质</w:t>
            </w:r>
          </w:p>
          <w:p w14:paraId="445C098C">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危险性</w:t>
            </w:r>
          </w:p>
        </w:tc>
        <w:tc>
          <w:tcPr>
            <w:tcW w:w="4311" w:type="dxa"/>
            <w:gridSpan w:val="5"/>
            <w:tcBorders>
              <w:top w:val="single" w:color="auto" w:sz="4" w:space="0"/>
              <w:left w:val="single" w:color="auto" w:sz="4" w:space="0"/>
              <w:bottom w:val="single" w:color="auto" w:sz="4" w:space="0"/>
              <w:right w:val="single" w:color="auto" w:sz="4" w:space="0"/>
            </w:tcBorders>
            <w:vAlign w:val="center"/>
          </w:tcPr>
          <w:p w14:paraId="19E728FD">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有毒有害</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p>
        </w:tc>
        <w:tc>
          <w:tcPr>
            <w:tcW w:w="2980" w:type="dxa"/>
            <w:gridSpan w:val="3"/>
            <w:tcBorders>
              <w:top w:val="single" w:color="auto" w:sz="4" w:space="0"/>
              <w:left w:val="single" w:color="auto" w:sz="4" w:space="0"/>
              <w:bottom w:val="single" w:color="auto" w:sz="4" w:space="0"/>
              <w:right w:val="single" w:color="auto" w:sz="4" w:space="0"/>
            </w:tcBorders>
            <w:vAlign w:val="center"/>
          </w:tcPr>
          <w:p w14:paraId="541C2DB4">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易燃易爆</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p>
        </w:tc>
      </w:tr>
      <w:tr w14:paraId="0814C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14:paraId="4BECE878">
            <w:pPr>
              <w:widowControl/>
              <w:autoSpaceDE/>
              <w:autoSpaceDN/>
              <w:spacing w:line="320" w:lineRule="exact"/>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212" w:type="dxa"/>
            <w:tcBorders>
              <w:top w:val="single" w:color="auto" w:sz="4" w:space="0"/>
              <w:left w:val="single" w:color="auto" w:sz="4" w:space="0"/>
              <w:bottom w:val="single" w:color="auto" w:sz="4" w:space="0"/>
              <w:right w:val="single" w:color="auto" w:sz="4" w:space="0"/>
            </w:tcBorders>
            <w:vAlign w:val="center"/>
          </w:tcPr>
          <w:p w14:paraId="5A9F150A">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环境</w:t>
            </w:r>
          </w:p>
          <w:p w14:paraId="23F70B7C">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风险类型</w:t>
            </w:r>
          </w:p>
        </w:tc>
        <w:tc>
          <w:tcPr>
            <w:tcW w:w="4311" w:type="dxa"/>
            <w:gridSpan w:val="5"/>
            <w:tcBorders>
              <w:top w:val="single" w:color="auto" w:sz="4" w:space="0"/>
              <w:left w:val="single" w:color="auto" w:sz="4" w:space="0"/>
              <w:bottom w:val="single" w:color="auto" w:sz="4" w:space="0"/>
              <w:right w:val="single" w:color="auto" w:sz="4" w:space="0"/>
            </w:tcBorders>
            <w:vAlign w:val="center"/>
          </w:tcPr>
          <w:p w14:paraId="57804845">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泄漏</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p>
        </w:tc>
        <w:tc>
          <w:tcPr>
            <w:tcW w:w="2980" w:type="dxa"/>
            <w:gridSpan w:val="3"/>
            <w:tcBorders>
              <w:top w:val="single" w:color="auto" w:sz="4" w:space="0"/>
              <w:left w:val="single" w:color="auto" w:sz="4" w:space="0"/>
              <w:bottom w:val="single" w:color="auto" w:sz="4" w:space="0"/>
              <w:right w:val="single" w:color="auto" w:sz="4" w:space="0"/>
            </w:tcBorders>
            <w:vAlign w:val="center"/>
          </w:tcPr>
          <w:p w14:paraId="6F61700E">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火灾、爆炸引发伴生/次生污染物排放</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p>
        </w:tc>
      </w:tr>
      <w:tr w14:paraId="05AE0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14:paraId="1FFC7352">
            <w:pPr>
              <w:widowControl/>
              <w:autoSpaceDE/>
              <w:autoSpaceDN/>
              <w:spacing w:line="320" w:lineRule="exact"/>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212" w:type="dxa"/>
            <w:tcBorders>
              <w:top w:val="single" w:color="auto" w:sz="4" w:space="0"/>
              <w:left w:val="single" w:color="auto" w:sz="4" w:space="0"/>
              <w:bottom w:val="single" w:color="auto" w:sz="4" w:space="0"/>
              <w:right w:val="single" w:color="auto" w:sz="4" w:space="0"/>
            </w:tcBorders>
            <w:vAlign w:val="center"/>
          </w:tcPr>
          <w:p w14:paraId="32E0E6A8">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影响途径</w:t>
            </w:r>
          </w:p>
        </w:tc>
        <w:tc>
          <w:tcPr>
            <w:tcW w:w="2141" w:type="dxa"/>
            <w:gridSpan w:val="3"/>
            <w:tcBorders>
              <w:top w:val="single" w:color="auto" w:sz="4" w:space="0"/>
              <w:left w:val="single" w:color="auto" w:sz="4" w:space="0"/>
              <w:bottom w:val="single" w:color="auto" w:sz="4" w:space="0"/>
              <w:right w:val="single" w:color="auto" w:sz="4" w:space="0"/>
            </w:tcBorders>
            <w:vAlign w:val="center"/>
          </w:tcPr>
          <w:p w14:paraId="78FD9B03">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大气</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p>
        </w:tc>
        <w:tc>
          <w:tcPr>
            <w:tcW w:w="2837" w:type="dxa"/>
            <w:gridSpan w:val="3"/>
            <w:tcBorders>
              <w:top w:val="single" w:color="auto" w:sz="4" w:space="0"/>
              <w:left w:val="single" w:color="auto" w:sz="4" w:space="0"/>
              <w:bottom w:val="single" w:color="auto" w:sz="4" w:space="0"/>
              <w:right w:val="single" w:color="auto" w:sz="4" w:space="0"/>
            </w:tcBorders>
            <w:vAlign w:val="center"/>
          </w:tcPr>
          <w:p w14:paraId="3430B614">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地表水</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p>
        </w:tc>
        <w:tc>
          <w:tcPr>
            <w:tcW w:w="2313" w:type="dxa"/>
            <w:gridSpan w:val="2"/>
            <w:tcBorders>
              <w:top w:val="single" w:color="auto" w:sz="4" w:space="0"/>
              <w:left w:val="single" w:color="auto" w:sz="4" w:space="0"/>
              <w:bottom w:val="single" w:color="auto" w:sz="4" w:space="0"/>
              <w:right w:val="single" w:color="auto" w:sz="4" w:space="0"/>
            </w:tcBorders>
            <w:vAlign w:val="center"/>
          </w:tcPr>
          <w:p w14:paraId="4BC5FDFF">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地下水</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p>
        </w:tc>
      </w:tr>
      <w:tr w14:paraId="21CAD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tcBorders>
              <w:top w:val="single" w:color="auto" w:sz="4" w:space="0"/>
              <w:left w:val="single" w:color="auto" w:sz="4" w:space="0"/>
              <w:bottom w:val="single" w:color="auto" w:sz="4" w:space="0"/>
              <w:right w:val="single" w:color="auto" w:sz="4" w:space="0"/>
            </w:tcBorders>
            <w:vAlign w:val="center"/>
          </w:tcPr>
          <w:p w14:paraId="01258E05">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事故情形分析</w:t>
            </w:r>
          </w:p>
        </w:tc>
        <w:tc>
          <w:tcPr>
            <w:tcW w:w="2141" w:type="dxa"/>
            <w:gridSpan w:val="3"/>
            <w:tcBorders>
              <w:top w:val="single" w:color="auto" w:sz="4" w:space="0"/>
              <w:left w:val="single" w:color="auto" w:sz="4" w:space="0"/>
              <w:bottom w:val="single" w:color="auto" w:sz="4" w:space="0"/>
              <w:right w:val="single" w:color="auto" w:sz="4" w:space="0"/>
            </w:tcBorders>
            <w:vAlign w:val="center"/>
          </w:tcPr>
          <w:p w14:paraId="18C5F9C9">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源强设定方法</w:t>
            </w:r>
          </w:p>
        </w:tc>
        <w:tc>
          <w:tcPr>
            <w:tcW w:w="2170" w:type="dxa"/>
            <w:gridSpan w:val="2"/>
            <w:tcBorders>
              <w:top w:val="single" w:color="auto" w:sz="4" w:space="0"/>
              <w:left w:val="single" w:color="auto" w:sz="4" w:space="0"/>
              <w:bottom w:val="single" w:color="auto" w:sz="4" w:space="0"/>
              <w:right w:val="single" w:color="auto" w:sz="4" w:space="0"/>
            </w:tcBorders>
            <w:vAlign w:val="center"/>
          </w:tcPr>
          <w:p w14:paraId="7E0C4EB0">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计算法</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475" w:type="dxa"/>
            <w:gridSpan w:val="2"/>
            <w:tcBorders>
              <w:top w:val="single" w:color="auto" w:sz="4" w:space="0"/>
              <w:left w:val="single" w:color="auto" w:sz="4" w:space="0"/>
              <w:bottom w:val="single" w:color="auto" w:sz="4" w:space="0"/>
              <w:right w:val="single" w:color="auto" w:sz="4" w:space="0"/>
            </w:tcBorders>
            <w:vAlign w:val="center"/>
          </w:tcPr>
          <w:p w14:paraId="3933A3E5">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经验估算法</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14:paraId="0D236448">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其他估算法</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p>
        </w:tc>
      </w:tr>
      <w:tr w14:paraId="00EEC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restart"/>
            <w:tcBorders>
              <w:top w:val="single" w:color="auto" w:sz="4" w:space="0"/>
              <w:left w:val="single" w:color="auto" w:sz="4" w:space="0"/>
              <w:bottom w:val="single" w:color="auto" w:sz="4" w:space="0"/>
              <w:right w:val="single" w:color="auto" w:sz="4" w:space="0"/>
            </w:tcBorders>
            <w:vAlign w:val="center"/>
          </w:tcPr>
          <w:p w14:paraId="7E34D5DF">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风险预测与评价</w:t>
            </w:r>
          </w:p>
        </w:tc>
        <w:tc>
          <w:tcPr>
            <w:tcW w:w="1212" w:type="dxa"/>
            <w:vMerge w:val="restart"/>
            <w:tcBorders>
              <w:top w:val="single" w:color="auto" w:sz="4" w:space="0"/>
              <w:left w:val="single" w:color="auto" w:sz="4" w:space="0"/>
              <w:right w:val="single" w:color="auto" w:sz="4" w:space="0"/>
            </w:tcBorders>
            <w:vAlign w:val="center"/>
          </w:tcPr>
          <w:p w14:paraId="4BFDCBD7">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大气</w:t>
            </w:r>
          </w:p>
        </w:tc>
        <w:tc>
          <w:tcPr>
            <w:tcW w:w="2141" w:type="dxa"/>
            <w:gridSpan w:val="3"/>
            <w:tcBorders>
              <w:top w:val="single" w:color="auto" w:sz="4" w:space="0"/>
              <w:left w:val="single" w:color="auto" w:sz="4" w:space="0"/>
              <w:bottom w:val="single" w:color="auto" w:sz="4" w:space="0"/>
              <w:right w:val="single" w:color="auto" w:sz="4" w:space="0"/>
            </w:tcBorders>
            <w:vAlign w:val="center"/>
          </w:tcPr>
          <w:p w14:paraId="6281CC72">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预测模型</w:t>
            </w:r>
          </w:p>
        </w:tc>
        <w:tc>
          <w:tcPr>
            <w:tcW w:w="2170" w:type="dxa"/>
            <w:gridSpan w:val="2"/>
            <w:tcBorders>
              <w:top w:val="single" w:color="auto" w:sz="4" w:space="0"/>
              <w:left w:val="single" w:color="auto" w:sz="4" w:space="0"/>
              <w:bottom w:val="single" w:color="auto" w:sz="4" w:space="0"/>
              <w:right w:val="single" w:color="auto" w:sz="4" w:space="0"/>
            </w:tcBorders>
            <w:vAlign w:val="center"/>
          </w:tcPr>
          <w:p w14:paraId="288D2D59">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SLAB</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475" w:type="dxa"/>
            <w:gridSpan w:val="2"/>
            <w:tcBorders>
              <w:top w:val="single" w:color="auto" w:sz="4" w:space="0"/>
              <w:left w:val="single" w:color="auto" w:sz="4" w:space="0"/>
              <w:bottom w:val="single" w:color="auto" w:sz="4" w:space="0"/>
              <w:right w:val="single" w:color="auto" w:sz="4" w:space="0"/>
            </w:tcBorders>
            <w:vAlign w:val="center"/>
          </w:tcPr>
          <w:p w14:paraId="4B117371">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AFTOX</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14:paraId="77869428">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其他</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r>
      <w:tr w14:paraId="74A93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14:paraId="63806EBB">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212" w:type="dxa"/>
            <w:vMerge w:val="continue"/>
            <w:tcBorders>
              <w:left w:val="single" w:color="auto" w:sz="4" w:space="0"/>
              <w:right w:val="single" w:color="auto" w:sz="4" w:space="0"/>
            </w:tcBorders>
            <w:vAlign w:val="center"/>
          </w:tcPr>
          <w:p w14:paraId="5124E67B">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2141" w:type="dxa"/>
            <w:gridSpan w:val="3"/>
            <w:vMerge w:val="restart"/>
            <w:tcBorders>
              <w:top w:val="single" w:color="auto" w:sz="4" w:space="0"/>
              <w:left w:val="single" w:color="auto" w:sz="4" w:space="0"/>
              <w:right w:val="single" w:color="auto" w:sz="4" w:space="0"/>
            </w:tcBorders>
            <w:vAlign w:val="center"/>
          </w:tcPr>
          <w:p w14:paraId="0FAAED3B">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预测结果</w:t>
            </w:r>
          </w:p>
        </w:tc>
        <w:tc>
          <w:tcPr>
            <w:tcW w:w="5150" w:type="dxa"/>
            <w:gridSpan w:val="5"/>
            <w:tcBorders>
              <w:top w:val="single" w:color="auto" w:sz="4" w:space="0"/>
              <w:left w:val="single" w:color="auto" w:sz="4" w:space="0"/>
              <w:bottom w:val="single" w:color="auto" w:sz="4" w:space="0"/>
              <w:right w:val="single" w:color="auto" w:sz="4" w:space="0"/>
            </w:tcBorders>
            <w:vAlign w:val="center"/>
          </w:tcPr>
          <w:p w14:paraId="2B5B9D2B">
            <w:pPr>
              <w:autoSpaceDE/>
              <w:autoSpaceDN/>
              <w:spacing w:line="320" w:lineRule="exact"/>
              <w:jc w:val="center"/>
              <w:rPr>
                <w:rFonts w:ascii="Times New Roman" w:hAnsi="Times New Roman" w:cs="Times New Roman" w:eastAsiaTheme="minorEastAsia"/>
                <w:color w:val="000000" w:themeColor="text1"/>
                <w:w w:val="99"/>
                <w:kern w:val="21"/>
                <w:sz w:val="21"/>
                <w:szCs w:val="21"/>
                <w:u w:val="single"/>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大气毒性终点浓度-1 最大影响范围</w:t>
            </w:r>
            <w:r>
              <w:rPr>
                <w:rFonts w:ascii="Times New Roman" w:hAnsi="Times New Roman" w:cs="Times New Roman" w:eastAsiaTheme="minorEastAsia"/>
                <w:color w:val="000000" w:themeColor="text1"/>
                <w:w w:val="99"/>
                <w:kern w:val="21"/>
                <w:sz w:val="21"/>
                <w:szCs w:val="21"/>
                <w:u w:val="single"/>
                <w:lang w:val="en-US" w:bidi="ar-SA"/>
                <w14:textFill>
                  <w14:solidFill>
                    <w14:schemeClr w14:val="tx1"/>
                  </w14:solidFill>
                </w14:textFill>
              </w:rPr>
              <w:t xml:space="preserve">     </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m</w:t>
            </w:r>
          </w:p>
        </w:tc>
      </w:tr>
      <w:tr w14:paraId="6F011C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14:paraId="1BE109A8">
            <w:pPr>
              <w:widowControl/>
              <w:autoSpaceDE/>
              <w:autoSpaceDN/>
              <w:spacing w:line="320" w:lineRule="exact"/>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212" w:type="dxa"/>
            <w:vMerge w:val="continue"/>
            <w:tcBorders>
              <w:left w:val="single" w:color="auto" w:sz="4" w:space="0"/>
              <w:bottom w:val="single" w:color="auto" w:sz="4" w:space="0"/>
              <w:right w:val="single" w:color="auto" w:sz="4" w:space="0"/>
            </w:tcBorders>
            <w:vAlign w:val="center"/>
          </w:tcPr>
          <w:p w14:paraId="233C44FB">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2141" w:type="dxa"/>
            <w:gridSpan w:val="3"/>
            <w:vMerge w:val="continue"/>
            <w:tcBorders>
              <w:left w:val="single" w:color="auto" w:sz="4" w:space="0"/>
              <w:bottom w:val="single" w:color="auto" w:sz="4" w:space="0"/>
              <w:right w:val="single" w:color="auto" w:sz="4" w:space="0"/>
            </w:tcBorders>
            <w:vAlign w:val="center"/>
          </w:tcPr>
          <w:p w14:paraId="5A2F0795">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5150" w:type="dxa"/>
            <w:gridSpan w:val="5"/>
            <w:tcBorders>
              <w:top w:val="single" w:color="auto" w:sz="4" w:space="0"/>
              <w:left w:val="single" w:color="auto" w:sz="4" w:space="0"/>
              <w:bottom w:val="single" w:color="auto" w:sz="4" w:space="0"/>
              <w:right w:val="single" w:color="auto" w:sz="4" w:space="0"/>
            </w:tcBorders>
            <w:vAlign w:val="center"/>
          </w:tcPr>
          <w:p w14:paraId="5942B405">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大气毒性终点浓度-2 最大影响范围</w:t>
            </w:r>
            <w:r>
              <w:rPr>
                <w:rFonts w:ascii="Times New Roman" w:hAnsi="Times New Roman" w:cs="Times New Roman" w:eastAsiaTheme="minorEastAsia"/>
                <w:color w:val="000000" w:themeColor="text1"/>
                <w:w w:val="99"/>
                <w:kern w:val="21"/>
                <w:sz w:val="21"/>
                <w:szCs w:val="21"/>
                <w:u w:val="single"/>
                <w:lang w:val="en-US" w:bidi="ar-SA"/>
                <w14:textFill>
                  <w14:solidFill>
                    <w14:schemeClr w14:val="tx1"/>
                  </w14:solidFill>
                </w14:textFill>
              </w:rPr>
              <w:t xml:space="preserve">     </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m</w:t>
            </w:r>
          </w:p>
        </w:tc>
      </w:tr>
      <w:tr w14:paraId="74707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14:paraId="18A792D0">
            <w:pPr>
              <w:widowControl/>
              <w:autoSpaceDE/>
              <w:autoSpaceDN/>
              <w:spacing w:line="320" w:lineRule="exact"/>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212" w:type="dxa"/>
            <w:tcBorders>
              <w:left w:val="single" w:color="auto" w:sz="4" w:space="0"/>
              <w:bottom w:val="single" w:color="auto" w:sz="4" w:space="0"/>
              <w:right w:val="single" w:color="auto" w:sz="4" w:space="0"/>
            </w:tcBorders>
            <w:vAlign w:val="center"/>
          </w:tcPr>
          <w:p w14:paraId="6FB7EB22">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地表水</w:t>
            </w:r>
          </w:p>
        </w:tc>
        <w:tc>
          <w:tcPr>
            <w:tcW w:w="7291" w:type="dxa"/>
            <w:gridSpan w:val="8"/>
            <w:tcBorders>
              <w:left w:val="single" w:color="auto" w:sz="4" w:space="0"/>
              <w:bottom w:val="single" w:color="auto" w:sz="4" w:space="0"/>
              <w:right w:val="single" w:color="auto" w:sz="4" w:space="0"/>
            </w:tcBorders>
            <w:vAlign w:val="center"/>
          </w:tcPr>
          <w:p w14:paraId="7DC472AE">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最近敏感目标</w:t>
            </w:r>
            <w:r>
              <w:rPr>
                <w:rFonts w:ascii="Times New Roman" w:hAnsi="Times New Roman" w:cs="Times New Roman" w:eastAsiaTheme="minorEastAsia"/>
                <w:color w:val="000000" w:themeColor="text1"/>
                <w:w w:val="99"/>
                <w:kern w:val="21"/>
                <w:sz w:val="21"/>
                <w:szCs w:val="21"/>
                <w:u w:val="single"/>
                <w:lang w:val="en-US" w:bidi="ar-SA"/>
                <w14:textFill>
                  <w14:solidFill>
                    <w14:schemeClr w14:val="tx1"/>
                  </w14:solidFill>
                </w14:textFill>
              </w:rPr>
              <w:t xml:space="preserve">       </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，到达时间</w:t>
            </w:r>
            <w:r>
              <w:rPr>
                <w:rFonts w:ascii="Times New Roman" w:hAnsi="Times New Roman" w:cs="Times New Roman" w:eastAsiaTheme="minorEastAsia"/>
                <w:color w:val="000000" w:themeColor="text1"/>
                <w:w w:val="99"/>
                <w:kern w:val="21"/>
                <w:sz w:val="21"/>
                <w:szCs w:val="21"/>
                <w:u w:val="single"/>
                <w:lang w:val="en-US" w:bidi="ar-SA"/>
                <w14:textFill>
                  <w14:solidFill>
                    <w14:schemeClr w14:val="tx1"/>
                  </w14:solidFill>
                </w14:textFill>
              </w:rPr>
              <w:t xml:space="preserve">     </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h</w:t>
            </w:r>
          </w:p>
        </w:tc>
      </w:tr>
      <w:tr w14:paraId="016C5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14:paraId="1A711E4B">
            <w:pPr>
              <w:widowControl/>
              <w:autoSpaceDE/>
              <w:autoSpaceDN/>
              <w:spacing w:line="320" w:lineRule="exact"/>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212" w:type="dxa"/>
            <w:vMerge w:val="restart"/>
            <w:tcBorders>
              <w:left w:val="single" w:color="auto" w:sz="4" w:space="0"/>
              <w:right w:val="single" w:color="auto" w:sz="4" w:space="0"/>
            </w:tcBorders>
            <w:vAlign w:val="center"/>
          </w:tcPr>
          <w:p w14:paraId="00A3D7ED">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地下水</w:t>
            </w:r>
          </w:p>
        </w:tc>
        <w:tc>
          <w:tcPr>
            <w:tcW w:w="7291" w:type="dxa"/>
            <w:gridSpan w:val="8"/>
            <w:tcBorders>
              <w:left w:val="single" w:color="auto" w:sz="4" w:space="0"/>
              <w:bottom w:val="single" w:color="auto" w:sz="4" w:space="0"/>
              <w:right w:val="single" w:color="auto" w:sz="4" w:space="0"/>
            </w:tcBorders>
            <w:vAlign w:val="center"/>
          </w:tcPr>
          <w:p w14:paraId="289F46D0">
            <w:pPr>
              <w:autoSpaceDE/>
              <w:autoSpaceDN/>
              <w:spacing w:line="320" w:lineRule="exact"/>
              <w:jc w:val="center"/>
              <w:rPr>
                <w:rFonts w:ascii="Times New Roman" w:hAnsi="Times New Roman" w:cs="Times New Roman" w:eastAsiaTheme="minorEastAsia"/>
                <w:color w:val="000000" w:themeColor="text1"/>
                <w:w w:val="99"/>
                <w:kern w:val="21"/>
                <w:sz w:val="21"/>
                <w:szCs w:val="21"/>
                <w:u w:val="single"/>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下游厂区边界到达时间</w:t>
            </w:r>
            <w:r>
              <w:rPr>
                <w:rFonts w:ascii="Times New Roman" w:hAnsi="Times New Roman" w:cs="Times New Roman" w:eastAsiaTheme="minorEastAsia"/>
                <w:color w:val="000000" w:themeColor="text1"/>
                <w:w w:val="99"/>
                <w:kern w:val="21"/>
                <w:sz w:val="21"/>
                <w:szCs w:val="21"/>
                <w:u w:val="single"/>
                <w:lang w:val="en-US" w:bidi="ar-SA"/>
                <w14:textFill>
                  <w14:solidFill>
                    <w14:schemeClr w14:val="tx1"/>
                  </w14:solidFill>
                </w14:textFill>
              </w:rPr>
              <w:t xml:space="preserve">      </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d</w:t>
            </w:r>
          </w:p>
        </w:tc>
      </w:tr>
      <w:tr w14:paraId="41ADA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14:paraId="346103F6">
            <w:pPr>
              <w:widowControl/>
              <w:autoSpaceDE/>
              <w:autoSpaceDN/>
              <w:spacing w:line="320" w:lineRule="exact"/>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212" w:type="dxa"/>
            <w:vMerge w:val="continue"/>
            <w:tcBorders>
              <w:left w:val="single" w:color="auto" w:sz="4" w:space="0"/>
              <w:bottom w:val="single" w:color="auto" w:sz="4" w:space="0"/>
              <w:right w:val="single" w:color="auto" w:sz="4" w:space="0"/>
            </w:tcBorders>
            <w:vAlign w:val="center"/>
          </w:tcPr>
          <w:p w14:paraId="08E1BCCA">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7291" w:type="dxa"/>
            <w:gridSpan w:val="8"/>
            <w:tcBorders>
              <w:top w:val="single" w:color="auto" w:sz="4" w:space="0"/>
              <w:left w:val="single" w:color="auto" w:sz="4" w:space="0"/>
              <w:bottom w:val="single" w:color="auto" w:sz="4" w:space="0"/>
              <w:right w:val="single" w:color="auto" w:sz="4" w:space="0"/>
            </w:tcBorders>
            <w:vAlign w:val="center"/>
          </w:tcPr>
          <w:p w14:paraId="5714527F">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最近环境敏感目标</w:t>
            </w:r>
            <w:r>
              <w:rPr>
                <w:rFonts w:ascii="Times New Roman" w:hAnsi="Times New Roman" w:cs="Times New Roman" w:eastAsiaTheme="minorEastAsia"/>
                <w:color w:val="000000" w:themeColor="text1"/>
                <w:w w:val="99"/>
                <w:kern w:val="21"/>
                <w:sz w:val="21"/>
                <w:szCs w:val="21"/>
                <w:u w:val="single"/>
                <w:lang w:val="en-US" w:bidi="ar-SA"/>
                <w14:textFill>
                  <w14:solidFill>
                    <w14:schemeClr w14:val="tx1"/>
                  </w14:solidFill>
                </w14:textFill>
              </w:rPr>
              <w:t xml:space="preserve">      </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，到达时间</w:t>
            </w:r>
            <w:r>
              <w:rPr>
                <w:rFonts w:ascii="Times New Roman" w:hAnsi="Times New Roman" w:cs="Times New Roman" w:eastAsiaTheme="minorEastAsia"/>
                <w:color w:val="000000" w:themeColor="text1"/>
                <w:w w:val="99"/>
                <w:kern w:val="21"/>
                <w:sz w:val="21"/>
                <w:szCs w:val="21"/>
                <w:u w:val="single"/>
                <w:lang w:val="en-US" w:bidi="ar-SA"/>
                <w14:textFill>
                  <w14:solidFill>
                    <w14:schemeClr w14:val="tx1"/>
                  </w14:solidFill>
                </w14:textFill>
              </w:rPr>
              <w:t xml:space="preserve">     </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d</w:t>
            </w:r>
          </w:p>
        </w:tc>
      </w:tr>
      <w:tr w14:paraId="7FECD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tcBorders>
              <w:top w:val="single" w:color="auto" w:sz="4" w:space="0"/>
              <w:left w:val="single" w:color="auto" w:sz="4" w:space="0"/>
              <w:right w:val="single" w:color="auto" w:sz="4" w:space="0"/>
            </w:tcBorders>
            <w:vAlign w:val="center"/>
          </w:tcPr>
          <w:p w14:paraId="3DC851B6">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重点风险</w:t>
            </w:r>
          </w:p>
          <w:p w14:paraId="48F378CD">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防范措施</w:t>
            </w:r>
          </w:p>
        </w:tc>
        <w:tc>
          <w:tcPr>
            <w:tcW w:w="7291" w:type="dxa"/>
            <w:gridSpan w:val="8"/>
            <w:tcBorders>
              <w:top w:val="single" w:color="auto" w:sz="4" w:space="0"/>
              <w:left w:val="single" w:color="auto" w:sz="4" w:space="0"/>
              <w:right w:val="single" w:color="auto" w:sz="4" w:space="0"/>
            </w:tcBorders>
            <w:vAlign w:val="center"/>
          </w:tcPr>
          <w:p w14:paraId="3F6E2777">
            <w:pPr>
              <w:autoSpaceDE/>
              <w:autoSpaceDN/>
              <w:spacing w:line="320" w:lineRule="exact"/>
              <w:jc w:val="both"/>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sz w:val="21"/>
                <w:szCs w:val="21"/>
                <w:lang w:val="en-US" w:bidi="ar-SA"/>
                <w14:textFill>
                  <w14:solidFill>
                    <w14:schemeClr w14:val="tx1"/>
                  </w14:solidFill>
                </w14:textFill>
              </w:rPr>
              <w:t>管道密闭输送、防腐、试压等，运行期制定操作规程、巡线、检测、应急等管理措施</w:t>
            </w:r>
          </w:p>
        </w:tc>
      </w:tr>
      <w:tr w14:paraId="326DF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tcBorders>
              <w:top w:val="single" w:color="auto" w:sz="4" w:space="0"/>
              <w:left w:val="single" w:color="auto" w:sz="4" w:space="0"/>
              <w:right w:val="single" w:color="auto" w:sz="4" w:space="0"/>
            </w:tcBorders>
            <w:vAlign w:val="center"/>
          </w:tcPr>
          <w:p w14:paraId="3BCD1DD7">
            <w:pPr>
              <w:autoSpaceDE/>
              <w:autoSpaceDN/>
              <w:spacing w:line="32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评价结论与建议</w:t>
            </w:r>
          </w:p>
        </w:tc>
        <w:tc>
          <w:tcPr>
            <w:tcW w:w="7291" w:type="dxa"/>
            <w:gridSpan w:val="8"/>
            <w:tcBorders>
              <w:top w:val="single" w:color="auto" w:sz="4" w:space="0"/>
              <w:left w:val="single" w:color="auto" w:sz="4" w:space="0"/>
              <w:right w:val="single" w:color="auto" w:sz="4" w:space="0"/>
            </w:tcBorders>
            <w:vAlign w:val="center"/>
          </w:tcPr>
          <w:p w14:paraId="46FEA788">
            <w:pPr>
              <w:autoSpaceDE/>
              <w:autoSpaceDN/>
              <w:spacing w:line="320" w:lineRule="exact"/>
              <w:jc w:val="both"/>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bCs/>
                <w:color w:val="000000" w:themeColor="text1"/>
                <w:w w:val="99"/>
                <w:kern w:val="21"/>
                <w:sz w:val="21"/>
                <w:szCs w:val="21"/>
                <w:lang w:val="en-US" w:bidi="ar-SA"/>
                <w14:textFill>
                  <w14:solidFill>
                    <w14:schemeClr w14:val="tx1"/>
                  </w14:solidFill>
                </w14:textFill>
              </w:rPr>
              <w:t>本工程的主要环境风险是泄漏和火灾爆炸</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，对区域内的大气环境、地表水环境、地下水环境和土壤植被危害性不大。在工程采取一系列风险防范措施和应急措施后，可以控制和降低工程发生事故情况下对周围环境的影响。</w:t>
            </w:r>
          </w:p>
        </w:tc>
      </w:tr>
      <w:tr w14:paraId="59BDF4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71" w:type="dxa"/>
            <w:gridSpan w:val="10"/>
            <w:tcBorders>
              <w:top w:val="single" w:color="auto" w:sz="4" w:space="0"/>
              <w:left w:val="single" w:color="auto" w:sz="4" w:space="0"/>
              <w:bottom w:val="single" w:color="auto" w:sz="4" w:space="0"/>
              <w:right w:val="single" w:color="auto" w:sz="4" w:space="0"/>
            </w:tcBorders>
            <w:vAlign w:val="center"/>
          </w:tcPr>
          <w:p w14:paraId="3EE45C83">
            <w:pPr>
              <w:autoSpaceDE/>
              <w:autoSpaceDN/>
              <w:spacing w:line="320" w:lineRule="exact"/>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注：“</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”为勾选项， “</w:t>
            </w:r>
            <w:r>
              <w:rPr>
                <w:rFonts w:ascii="Times New Roman" w:hAnsi="Times New Roman" w:cs="Times New Roman" w:eastAsiaTheme="minorEastAsia"/>
                <w:color w:val="000000" w:themeColor="text1"/>
                <w:w w:val="99"/>
                <w:kern w:val="21"/>
                <w:sz w:val="21"/>
                <w:szCs w:val="21"/>
                <w:u w:val="single"/>
                <w:lang w:val="en-US" w:bidi="ar-SA"/>
                <w14:textFill>
                  <w14:solidFill>
                    <w14:schemeClr w14:val="tx1"/>
                  </w14:solidFill>
                </w14:textFill>
              </w:rPr>
              <w:t xml:space="preserve">    </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”为内容填写项</w:t>
            </w:r>
          </w:p>
        </w:tc>
      </w:tr>
    </w:tbl>
    <w:p w14:paraId="67558242">
      <w:pPr>
        <w:autoSpaceDE/>
        <w:autoSpaceDN/>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pPr>
    </w:p>
    <w:p w14:paraId="56730753">
      <w:pPr>
        <w:autoSpaceDE/>
        <w:autoSpaceDN/>
        <w:adjustRightInd w:val="0"/>
        <w:snapToGrid w:val="0"/>
        <w:spacing w:line="360" w:lineRule="auto"/>
        <w:jc w:val="center"/>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p>
    <w:p w14:paraId="15ECE3D4">
      <w:pPr>
        <w:widowControl/>
        <w:autoSpaceDE/>
        <w:autoSpaceDN/>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p>
    <w:p w14:paraId="3BED0C57">
      <w:pPr>
        <w:autoSpaceDE/>
        <w:autoSpaceDN/>
        <w:adjustRightInd w:val="0"/>
        <w:snapToGrid w:val="0"/>
        <w:spacing w:line="360" w:lineRule="auto"/>
        <w:jc w:val="center"/>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p>
    <w:p w14:paraId="0FFF34A8">
      <w:pPr>
        <w:widowControl/>
        <w:autoSpaceDE/>
        <w:autoSpaceDN/>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p>
    <w:p w14:paraId="4C93DCB5">
      <w:pPr>
        <w:autoSpaceDE/>
        <w:autoSpaceDN/>
        <w:adjustRightInd w:val="0"/>
        <w:snapToGrid w:val="0"/>
        <w:spacing w:line="360" w:lineRule="auto"/>
        <w:jc w:val="center"/>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p>
    <w:p w14:paraId="5F86F720">
      <w:pPr>
        <w:widowControl/>
        <w:autoSpaceDE/>
        <w:autoSpaceDN/>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p>
    <w:p w14:paraId="57C36BA1">
      <w:pPr>
        <w:autoSpaceDE/>
        <w:autoSpaceDN/>
        <w:spacing w:line="440" w:lineRule="exact"/>
        <w:jc w:val="both"/>
        <w:outlineLvl w:val="0"/>
        <w:rPr>
          <w:rFonts w:ascii="Times New Roman" w:hAnsi="Times New Roman" w:cs="Times New Roman" w:eastAsiaTheme="minorEastAsia"/>
          <w:color w:val="000000" w:themeColor="text1"/>
          <w:w w:val="99"/>
          <w:kern w:val="21"/>
          <w:sz w:val="24"/>
          <w:szCs w:val="24"/>
          <w:lang w:val="en-US" w:bidi="ar-SA"/>
          <w14:textFill>
            <w14:solidFill>
              <w14:schemeClr w14:val="tx1"/>
            </w14:solidFill>
          </w14:textFill>
        </w:rPr>
      </w:pPr>
      <w:bookmarkStart w:id="609" w:name="_Toc30212_WPSOffice_Level1"/>
      <w:bookmarkStart w:id="610" w:name="_Toc18781"/>
      <w:bookmarkStart w:id="611" w:name="_Toc18979"/>
      <w:bookmarkStart w:id="612" w:name="_Toc15833343"/>
      <w:bookmarkStart w:id="613" w:name="_Toc106810443"/>
      <w:bookmarkStart w:id="614" w:name="_Toc117794692"/>
      <w:r>
        <w:rPr>
          <w:rFonts w:ascii="Times New Roman" w:hAnsi="Times New Roman" w:cs="Times New Roman" w:eastAsiaTheme="minorEastAsia"/>
          <w:b/>
          <w:color w:val="000000" w:themeColor="text1"/>
          <w:w w:val="99"/>
          <w:kern w:val="2"/>
          <w:sz w:val="24"/>
          <w:szCs w:val="24"/>
          <w:lang w:val="en-US" w:bidi="ar-SA"/>
          <w14:textFill>
            <w14:solidFill>
              <w14:schemeClr w14:val="tx1"/>
            </w14:solidFill>
          </w14:textFill>
        </w:rPr>
        <w:t>附表3    建设项目土壤环境影响评价自查表</w:t>
      </w:r>
      <w:bookmarkEnd w:id="609"/>
      <w:bookmarkEnd w:id="610"/>
      <w:bookmarkEnd w:id="611"/>
      <w:bookmarkEnd w:id="612"/>
      <w:bookmarkEnd w:id="613"/>
      <w:bookmarkEnd w:id="614"/>
    </w:p>
    <w:tbl>
      <w:tblPr>
        <w:tblStyle w:val="8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1663"/>
        <w:gridCol w:w="1334"/>
        <w:gridCol w:w="620"/>
        <w:gridCol w:w="697"/>
        <w:gridCol w:w="1316"/>
        <w:gridCol w:w="151"/>
        <w:gridCol w:w="1738"/>
        <w:gridCol w:w="1101"/>
      </w:tblGrid>
      <w:tr w14:paraId="30A90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gridSpan w:val="2"/>
            <w:vAlign w:val="center"/>
          </w:tcPr>
          <w:p w14:paraId="7F04D3A1">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工作内容</w:t>
            </w:r>
          </w:p>
        </w:tc>
        <w:tc>
          <w:tcPr>
            <w:tcW w:w="5856" w:type="dxa"/>
            <w:gridSpan w:val="6"/>
            <w:vAlign w:val="center"/>
          </w:tcPr>
          <w:p w14:paraId="7737C703">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完成情况</w:t>
            </w:r>
          </w:p>
        </w:tc>
        <w:tc>
          <w:tcPr>
            <w:tcW w:w="1101" w:type="dxa"/>
            <w:vAlign w:val="center"/>
          </w:tcPr>
          <w:p w14:paraId="31DAC44A">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备注</w:t>
            </w:r>
          </w:p>
        </w:tc>
      </w:tr>
      <w:tr w14:paraId="4C6F9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restart"/>
            <w:vAlign w:val="center"/>
          </w:tcPr>
          <w:p w14:paraId="600A4BE2">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影</w:t>
            </w:r>
          </w:p>
          <w:p w14:paraId="060E052E">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响</w:t>
            </w:r>
          </w:p>
          <w:p w14:paraId="62E974A6">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识</w:t>
            </w:r>
          </w:p>
          <w:p w14:paraId="312CF453">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别</w:t>
            </w:r>
          </w:p>
        </w:tc>
        <w:tc>
          <w:tcPr>
            <w:tcW w:w="1663" w:type="dxa"/>
            <w:vAlign w:val="center"/>
          </w:tcPr>
          <w:p w14:paraId="24A5DCD6">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影响类型</w:t>
            </w:r>
          </w:p>
        </w:tc>
        <w:tc>
          <w:tcPr>
            <w:tcW w:w="5856" w:type="dxa"/>
            <w:gridSpan w:val="6"/>
            <w:vAlign w:val="center"/>
          </w:tcPr>
          <w:p w14:paraId="0A15B891">
            <w:pPr>
              <w:autoSpaceDE/>
              <w:autoSpaceDN/>
              <w:spacing w:line="280" w:lineRule="exact"/>
              <w:jc w:val="both"/>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污染影响型</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；生态影响型□；两种兼有□</w:t>
            </w:r>
          </w:p>
        </w:tc>
        <w:tc>
          <w:tcPr>
            <w:tcW w:w="1101" w:type="dxa"/>
            <w:vAlign w:val="center"/>
          </w:tcPr>
          <w:p w14:paraId="7E563657">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r>
      <w:tr w14:paraId="1295D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6F6C25A3">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663" w:type="dxa"/>
            <w:vAlign w:val="center"/>
          </w:tcPr>
          <w:p w14:paraId="22ECD773">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土地利用类型</w:t>
            </w:r>
          </w:p>
        </w:tc>
        <w:tc>
          <w:tcPr>
            <w:tcW w:w="5856" w:type="dxa"/>
            <w:gridSpan w:val="6"/>
            <w:vAlign w:val="center"/>
          </w:tcPr>
          <w:p w14:paraId="73122CB8">
            <w:pPr>
              <w:autoSpaceDE/>
              <w:autoSpaceDN/>
              <w:spacing w:line="280" w:lineRule="exact"/>
              <w:jc w:val="both"/>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建设用地</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；农用地</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；未利用地□</w:t>
            </w:r>
          </w:p>
        </w:tc>
        <w:tc>
          <w:tcPr>
            <w:tcW w:w="1101" w:type="dxa"/>
            <w:vAlign w:val="center"/>
          </w:tcPr>
          <w:p w14:paraId="1B4A75CC">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土地利用类型图</w:t>
            </w:r>
          </w:p>
        </w:tc>
      </w:tr>
      <w:tr w14:paraId="560C5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1A4313E3">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663" w:type="dxa"/>
            <w:vAlign w:val="center"/>
          </w:tcPr>
          <w:p w14:paraId="1A5EA649">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占地规模</w:t>
            </w:r>
          </w:p>
        </w:tc>
        <w:tc>
          <w:tcPr>
            <w:tcW w:w="5856" w:type="dxa"/>
            <w:gridSpan w:val="6"/>
            <w:vAlign w:val="center"/>
          </w:tcPr>
          <w:p w14:paraId="3C1E088D">
            <w:pPr>
              <w:autoSpaceDE/>
              <w:autoSpaceDN/>
              <w:spacing w:line="280" w:lineRule="exact"/>
              <w:jc w:val="both"/>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（0）hm</w:t>
            </w:r>
            <w:r>
              <w:rPr>
                <w:rFonts w:ascii="Times New Roman" w:hAnsi="Times New Roman" w:cs="Times New Roman" w:eastAsiaTheme="minorEastAsia"/>
                <w:color w:val="000000" w:themeColor="text1"/>
                <w:w w:val="99"/>
                <w:kern w:val="21"/>
                <w:sz w:val="21"/>
                <w:szCs w:val="21"/>
                <w:vertAlign w:val="superscript"/>
                <w:lang w:val="en-US" w:bidi="ar-SA"/>
                <w14:textFill>
                  <w14:solidFill>
                    <w14:schemeClr w14:val="tx1"/>
                  </w14:solidFill>
                </w14:textFill>
              </w:rPr>
              <w:t>2</w:t>
            </w:r>
          </w:p>
        </w:tc>
        <w:tc>
          <w:tcPr>
            <w:tcW w:w="1101" w:type="dxa"/>
            <w:vAlign w:val="center"/>
          </w:tcPr>
          <w:p w14:paraId="673ACE61">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r>
      <w:tr w14:paraId="1E010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31B97A9D">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663" w:type="dxa"/>
            <w:vAlign w:val="center"/>
          </w:tcPr>
          <w:p w14:paraId="33A1B2F3">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敏感目标信息</w:t>
            </w:r>
          </w:p>
        </w:tc>
        <w:tc>
          <w:tcPr>
            <w:tcW w:w="5856" w:type="dxa"/>
            <w:gridSpan w:val="6"/>
            <w:vAlign w:val="center"/>
          </w:tcPr>
          <w:p w14:paraId="5D5AECEB">
            <w:pPr>
              <w:autoSpaceDE/>
              <w:autoSpaceDN/>
              <w:spacing w:line="280" w:lineRule="exact"/>
              <w:jc w:val="both"/>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敏感目标（）、方位（）、距离（）</w:t>
            </w:r>
          </w:p>
        </w:tc>
        <w:tc>
          <w:tcPr>
            <w:tcW w:w="1101" w:type="dxa"/>
            <w:vAlign w:val="center"/>
          </w:tcPr>
          <w:p w14:paraId="043FC8A5">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r>
      <w:tr w14:paraId="3DE6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28F04EF2">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663" w:type="dxa"/>
            <w:vAlign w:val="center"/>
          </w:tcPr>
          <w:p w14:paraId="2611514A">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影响途径</w:t>
            </w:r>
          </w:p>
        </w:tc>
        <w:tc>
          <w:tcPr>
            <w:tcW w:w="5856" w:type="dxa"/>
            <w:gridSpan w:val="6"/>
            <w:vAlign w:val="center"/>
          </w:tcPr>
          <w:p w14:paraId="01684047">
            <w:pPr>
              <w:autoSpaceDE/>
              <w:autoSpaceDN/>
              <w:spacing w:line="280" w:lineRule="exact"/>
              <w:jc w:val="both"/>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大气沉降□；地面漫流□；垂直入渗</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；地下水位□；其他</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A8"/>
            </w:r>
          </w:p>
        </w:tc>
        <w:tc>
          <w:tcPr>
            <w:tcW w:w="1101" w:type="dxa"/>
            <w:vAlign w:val="center"/>
          </w:tcPr>
          <w:p w14:paraId="1776A6B5">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r>
      <w:tr w14:paraId="29F2C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41C38407">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663" w:type="dxa"/>
            <w:vAlign w:val="center"/>
          </w:tcPr>
          <w:p w14:paraId="04ACDDE8">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特征因子</w:t>
            </w:r>
          </w:p>
        </w:tc>
        <w:tc>
          <w:tcPr>
            <w:tcW w:w="5856" w:type="dxa"/>
            <w:gridSpan w:val="6"/>
            <w:vAlign w:val="center"/>
          </w:tcPr>
          <w:p w14:paraId="76C9CD31">
            <w:pPr>
              <w:autoSpaceDE/>
              <w:autoSpaceDN/>
              <w:spacing w:line="280" w:lineRule="exact"/>
              <w:jc w:val="both"/>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石油烃</w:t>
            </w:r>
          </w:p>
        </w:tc>
        <w:tc>
          <w:tcPr>
            <w:tcW w:w="1101" w:type="dxa"/>
            <w:vAlign w:val="center"/>
          </w:tcPr>
          <w:p w14:paraId="36D1CEAE">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r>
      <w:tr w14:paraId="7A22F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6217910C">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663" w:type="dxa"/>
            <w:vAlign w:val="center"/>
          </w:tcPr>
          <w:p w14:paraId="3D246256">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土壤环境影响评价项目类别</w:t>
            </w:r>
          </w:p>
        </w:tc>
        <w:tc>
          <w:tcPr>
            <w:tcW w:w="5856" w:type="dxa"/>
            <w:gridSpan w:val="6"/>
            <w:vAlign w:val="center"/>
          </w:tcPr>
          <w:p w14:paraId="37DD4314">
            <w:pPr>
              <w:autoSpaceDE/>
              <w:autoSpaceDN/>
              <w:spacing w:line="280" w:lineRule="exact"/>
              <w:jc w:val="both"/>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Ⅰ类</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；Ⅱ类□；Ⅲ类□；Ⅳ类□</w:t>
            </w:r>
          </w:p>
        </w:tc>
        <w:tc>
          <w:tcPr>
            <w:tcW w:w="1101" w:type="dxa"/>
            <w:vAlign w:val="center"/>
          </w:tcPr>
          <w:p w14:paraId="3E6314D5">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r>
      <w:tr w14:paraId="5E6AC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2B3FB0E0">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663" w:type="dxa"/>
            <w:vAlign w:val="center"/>
          </w:tcPr>
          <w:p w14:paraId="45713A65">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敏感程度</w:t>
            </w:r>
          </w:p>
        </w:tc>
        <w:tc>
          <w:tcPr>
            <w:tcW w:w="5856" w:type="dxa"/>
            <w:gridSpan w:val="6"/>
            <w:vAlign w:val="center"/>
          </w:tcPr>
          <w:p w14:paraId="23DA174D">
            <w:pPr>
              <w:autoSpaceDE/>
              <w:autoSpaceDN/>
              <w:spacing w:line="280" w:lineRule="exact"/>
              <w:jc w:val="both"/>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敏感</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；较敏感□；不敏感□</w:t>
            </w:r>
          </w:p>
        </w:tc>
        <w:tc>
          <w:tcPr>
            <w:tcW w:w="1101" w:type="dxa"/>
            <w:vAlign w:val="center"/>
          </w:tcPr>
          <w:p w14:paraId="00BC99F3">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r>
      <w:tr w14:paraId="6D260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gridSpan w:val="2"/>
            <w:vAlign w:val="center"/>
          </w:tcPr>
          <w:p w14:paraId="40C26BFB">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评价工作等级</w:t>
            </w:r>
          </w:p>
        </w:tc>
        <w:tc>
          <w:tcPr>
            <w:tcW w:w="5856" w:type="dxa"/>
            <w:gridSpan w:val="6"/>
            <w:vAlign w:val="center"/>
          </w:tcPr>
          <w:p w14:paraId="7DB55D5D">
            <w:pPr>
              <w:autoSpaceDE/>
              <w:autoSpaceDN/>
              <w:spacing w:line="280" w:lineRule="exact"/>
              <w:jc w:val="both"/>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一级</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；二级□；三级□</w:t>
            </w:r>
          </w:p>
        </w:tc>
        <w:tc>
          <w:tcPr>
            <w:tcW w:w="1101" w:type="dxa"/>
            <w:vAlign w:val="center"/>
          </w:tcPr>
          <w:p w14:paraId="31CBA92E">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r>
      <w:tr w14:paraId="620CD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restart"/>
            <w:vAlign w:val="center"/>
          </w:tcPr>
          <w:p w14:paraId="68154D96">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现</w:t>
            </w:r>
          </w:p>
          <w:p w14:paraId="144E65E9">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状</w:t>
            </w:r>
          </w:p>
          <w:p w14:paraId="1EA85D22">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调</w:t>
            </w:r>
          </w:p>
          <w:p w14:paraId="3C09B1C0">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查内容</w:t>
            </w:r>
          </w:p>
        </w:tc>
        <w:tc>
          <w:tcPr>
            <w:tcW w:w="1663" w:type="dxa"/>
            <w:vAlign w:val="center"/>
          </w:tcPr>
          <w:p w14:paraId="5AF4E8C4">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资料收集</w:t>
            </w:r>
          </w:p>
        </w:tc>
        <w:tc>
          <w:tcPr>
            <w:tcW w:w="5856" w:type="dxa"/>
            <w:gridSpan w:val="6"/>
            <w:vAlign w:val="center"/>
          </w:tcPr>
          <w:p w14:paraId="00929521">
            <w:pPr>
              <w:autoSpaceDE/>
              <w:autoSpaceDN/>
              <w:spacing w:line="280" w:lineRule="exact"/>
              <w:jc w:val="both"/>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a）</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；b）</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；c）</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；d）</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p>
        </w:tc>
        <w:tc>
          <w:tcPr>
            <w:tcW w:w="1101" w:type="dxa"/>
            <w:vAlign w:val="center"/>
          </w:tcPr>
          <w:p w14:paraId="126FB203">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r>
      <w:tr w14:paraId="307B2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21CF5AA9">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663" w:type="dxa"/>
            <w:vAlign w:val="center"/>
          </w:tcPr>
          <w:p w14:paraId="2AD5C8AF">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理化特性</w:t>
            </w:r>
          </w:p>
        </w:tc>
        <w:tc>
          <w:tcPr>
            <w:tcW w:w="5856" w:type="dxa"/>
            <w:gridSpan w:val="6"/>
            <w:vAlign w:val="center"/>
          </w:tcPr>
          <w:p w14:paraId="66809965">
            <w:pPr>
              <w:autoSpaceDE/>
              <w:autoSpaceDN/>
              <w:spacing w:line="280" w:lineRule="exact"/>
              <w:jc w:val="both"/>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w:t>
            </w:r>
          </w:p>
        </w:tc>
        <w:tc>
          <w:tcPr>
            <w:tcW w:w="1101" w:type="dxa"/>
            <w:vAlign w:val="center"/>
          </w:tcPr>
          <w:p w14:paraId="6E899DE4">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同附录C</w:t>
            </w:r>
          </w:p>
        </w:tc>
      </w:tr>
      <w:tr w14:paraId="5A81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002378B2">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663" w:type="dxa"/>
            <w:vMerge w:val="restart"/>
            <w:vAlign w:val="center"/>
          </w:tcPr>
          <w:p w14:paraId="6BD9E495">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现状监测点位</w:t>
            </w:r>
          </w:p>
        </w:tc>
        <w:tc>
          <w:tcPr>
            <w:tcW w:w="1334" w:type="dxa"/>
            <w:vAlign w:val="center"/>
          </w:tcPr>
          <w:p w14:paraId="21231082">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317" w:type="dxa"/>
            <w:gridSpan w:val="2"/>
            <w:vAlign w:val="center"/>
          </w:tcPr>
          <w:p w14:paraId="593D0E23">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占地范围内</w:t>
            </w:r>
          </w:p>
        </w:tc>
        <w:tc>
          <w:tcPr>
            <w:tcW w:w="1316" w:type="dxa"/>
            <w:vAlign w:val="center"/>
          </w:tcPr>
          <w:p w14:paraId="1654366D">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占地范围外</w:t>
            </w:r>
          </w:p>
        </w:tc>
        <w:tc>
          <w:tcPr>
            <w:tcW w:w="1889" w:type="dxa"/>
            <w:gridSpan w:val="2"/>
            <w:vAlign w:val="center"/>
          </w:tcPr>
          <w:p w14:paraId="37B8A1AE">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深度</w:t>
            </w:r>
          </w:p>
        </w:tc>
        <w:tc>
          <w:tcPr>
            <w:tcW w:w="1101" w:type="dxa"/>
            <w:vMerge w:val="restart"/>
            <w:vAlign w:val="center"/>
          </w:tcPr>
          <w:p w14:paraId="411F5EE3">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点位</w:t>
            </w:r>
          </w:p>
          <w:p w14:paraId="6B87F9A9">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布置图</w:t>
            </w:r>
          </w:p>
        </w:tc>
      </w:tr>
      <w:tr w14:paraId="56055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3FF0C7A4">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663" w:type="dxa"/>
            <w:vMerge w:val="continue"/>
            <w:vAlign w:val="center"/>
          </w:tcPr>
          <w:p w14:paraId="1327C455">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334" w:type="dxa"/>
            <w:vAlign w:val="center"/>
          </w:tcPr>
          <w:p w14:paraId="77A3BDFA">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表层样点数</w:t>
            </w:r>
          </w:p>
        </w:tc>
        <w:tc>
          <w:tcPr>
            <w:tcW w:w="1317" w:type="dxa"/>
            <w:gridSpan w:val="2"/>
            <w:vAlign w:val="center"/>
          </w:tcPr>
          <w:p w14:paraId="5FBC1C80">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2</w:t>
            </w:r>
          </w:p>
        </w:tc>
        <w:tc>
          <w:tcPr>
            <w:tcW w:w="1316" w:type="dxa"/>
            <w:vAlign w:val="center"/>
          </w:tcPr>
          <w:p w14:paraId="4E9E3DEE">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4</w:t>
            </w:r>
          </w:p>
        </w:tc>
        <w:tc>
          <w:tcPr>
            <w:tcW w:w="1889" w:type="dxa"/>
            <w:gridSpan w:val="2"/>
            <w:vAlign w:val="center"/>
          </w:tcPr>
          <w:p w14:paraId="27BAAEBA">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0-20cm</w:t>
            </w:r>
          </w:p>
        </w:tc>
        <w:tc>
          <w:tcPr>
            <w:tcW w:w="1101" w:type="dxa"/>
            <w:vMerge w:val="continue"/>
            <w:vAlign w:val="center"/>
          </w:tcPr>
          <w:p w14:paraId="3FCDD230">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r>
      <w:tr w14:paraId="75834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2557B9F5">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663" w:type="dxa"/>
            <w:vMerge w:val="continue"/>
            <w:vAlign w:val="center"/>
          </w:tcPr>
          <w:p w14:paraId="3185C193">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334" w:type="dxa"/>
            <w:vAlign w:val="center"/>
          </w:tcPr>
          <w:p w14:paraId="735FE882">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柱状样点数</w:t>
            </w:r>
          </w:p>
        </w:tc>
        <w:tc>
          <w:tcPr>
            <w:tcW w:w="1317" w:type="dxa"/>
            <w:gridSpan w:val="2"/>
            <w:vAlign w:val="center"/>
          </w:tcPr>
          <w:p w14:paraId="4167C7B3">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5</w:t>
            </w:r>
          </w:p>
        </w:tc>
        <w:tc>
          <w:tcPr>
            <w:tcW w:w="1316" w:type="dxa"/>
            <w:vAlign w:val="center"/>
          </w:tcPr>
          <w:p w14:paraId="4564FD43">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0</w:t>
            </w:r>
          </w:p>
        </w:tc>
        <w:tc>
          <w:tcPr>
            <w:tcW w:w="1889" w:type="dxa"/>
            <w:gridSpan w:val="2"/>
            <w:vAlign w:val="center"/>
          </w:tcPr>
          <w:p w14:paraId="4E54C802">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0-50cm</w:t>
            </w:r>
          </w:p>
          <w:p w14:paraId="2589D84F">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50-150cm</w:t>
            </w:r>
          </w:p>
          <w:p w14:paraId="343C1189">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150-300cm</w:t>
            </w:r>
          </w:p>
        </w:tc>
        <w:tc>
          <w:tcPr>
            <w:tcW w:w="1101" w:type="dxa"/>
            <w:vMerge w:val="continue"/>
            <w:vAlign w:val="center"/>
          </w:tcPr>
          <w:p w14:paraId="7F798F81">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r>
      <w:tr w14:paraId="1F23B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483FA832">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663" w:type="dxa"/>
            <w:vAlign w:val="center"/>
          </w:tcPr>
          <w:p w14:paraId="4D2466E5">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现状监测因子</w:t>
            </w:r>
          </w:p>
        </w:tc>
        <w:tc>
          <w:tcPr>
            <w:tcW w:w="5856" w:type="dxa"/>
            <w:gridSpan w:val="6"/>
            <w:vAlign w:val="center"/>
          </w:tcPr>
          <w:p w14:paraId="088C4C24">
            <w:pPr>
              <w:autoSpaceDE/>
              <w:autoSpaceDN/>
              <w:spacing w:line="280" w:lineRule="exact"/>
              <w:jc w:val="both"/>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47项（包括建设用地土壤基本项目45项，其他项目石油烃及pH值）及农用地土壤监测项目（pH、镉、汞、砷、铅、铬、铜、镍、锌、石油烃）</w:t>
            </w:r>
          </w:p>
        </w:tc>
        <w:tc>
          <w:tcPr>
            <w:tcW w:w="1101" w:type="dxa"/>
            <w:vAlign w:val="center"/>
          </w:tcPr>
          <w:p w14:paraId="0951B89B">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r>
      <w:tr w14:paraId="63A79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restart"/>
            <w:vAlign w:val="center"/>
          </w:tcPr>
          <w:p w14:paraId="38147C76">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现状评价</w:t>
            </w:r>
          </w:p>
        </w:tc>
        <w:tc>
          <w:tcPr>
            <w:tcW w:w="1663" w:type="dxa"/>
            <w:vAlign w:val="center"/>
          </w:tcPr>
          <w:p w14:paraId="04F79D54">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评价因子</w:t>
            </w:r>
          </w:p>
        </w:tc>
        <w:tc>
          <w:tcPr>
            <w:tcW w:w="5856" w:type="dxa"/>
            <w:gridSpan w:val="6"/>
            <w:vAlign w:val="center"/>
          </w:tcPr>
          <w:p w14:paraId="2A5B468E">
            <w:pPr>
              <w:autoSpaceDE/>
              <w:autoSpaceDN/>
              <w:spacing w:line="280" w:lineRule="exact"/>
              <w:jc w:val="both"/>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47项（包括建设用地土壤基本项目45项，其他项目石油烃）及农用地土壤监测项目（pH、镉、汞、砷、铅、铬、铜、镍、锌、石油烃）</w:t>
            </w:r>
          </w:p>
        </w:tc>
        <w:tc>
          <w:tcPr>
            <w:tcW w:w="1101" w:type="dxa"/>
            <w:vAlign w:val="center"/>
          </w:tcPr>
          <w:p w14:paraId="0AAE816B">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r>
      <w:tr w14:paraId="02E03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2EAA48E7">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663" w:type="dxa"/>
            <w:vAlign w:val="center"/>
          </w:tcPr>
          <w:p w14:paraId="55BB9AD0">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评价标准</w:t>
            </w:r>
          </w:p>
        </w:tc>
        <w:tc>
          <w:tcPr>
            <w:tcW w:w="5856" w:type="dxa"/>
            <w:gridSpan w:val="6"/>
            <w:vAlign w:val="center"/>
          </w:tcPr>
          <w:p w14:paraId="192EEFB0">
            <w:pPr>
              <w:autoSpaceDE/>
              <w:autoSpaceDN/>
              <w:spacing w:line="280" w:lineRule="exact"/>
              <w:jc w:val="both"/>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GB 15618</w:t>
            </w:r>
            <w:r>
              <w:rPr>
                <w:rFonts w:ascii="Segoe UI Symbol" w:hAnsi="Segoe UI Symbol" w:cs="Segoe UI Symbol" w:eastAsiaTheme="minorEastAsia"/>
                <w:color w:val="000000" w:themeColor="text1"/>
                <w:w w:val="99"/>
                <w:kern w:val="21"/>
                <w:sz w:val="21"/>
                <w:szCs w:val="21"/>
                <w:lang w:val="en-US" w:bidi="ar-SA"/>
                <w14:textFill>
                  <w14:solidFill>
                    <w14:schemeClr w14:val="tx1"/>
                  </w14:solidFill>
                </w14:textFill>
              </w:rPr>
              <w:t>☑</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；GB 36600</w:t>
            </w:r>
            <w:r>
              <w:rPr>
                <w:rFonts w:ascii="Segoe UI Symbol" w:hAnsi="Segoe UI Symbol" w:cs="Segoe UI Symbol" w:eastAsiaTheme="minorEastAsia"/>
                <w:color w:val="000000" w:themeColor="text1"/>
                <w:w w:val="99"/>
                <w:kern w:val="21"/>
                <w:sz w:val="21"/>
                <w:szCs w:val="21"/>
                <w:lang w:val="en-US" w:bidi="ar-SA"/>
                <w14:textFill>
                  <w14:solidFill>
                    <w14:schemeClr w14:val="tx1"/>
                  </w14:solidFill>
                </w14:textFill>
              </w:rPr>
              <w:t>☑</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；表D.1□；表D.2□；其他（）</w:t>
            </w:r>
          </w:p>
        </w:tc>
        <w:tc>
          <w:tcPr>
            <w:tcW w:w="1101" w:type="dxa"/>
            <w:vAlign w:val="center"/>
          </w:tcPr>
          <w:p w14:paraId="38ADE969">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r>
      <w:tr w14:paraId="150C1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451" w:type="dxa"/>
            <w:vMerge w:val="continue"/>
            <w:vAlign w:val="center"/>
          </w:tcPr>
          <w:p w14:paraId="6F9143B9">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663" w:type="dxa"/>
            <w:vAlign w:val="center"/>
          </w:tcPr>
          <w:p w14:paraId="32E013C9">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现状评价结论</w:t>
            </w:r>
          </w:p>
        </w:tc>
        <w:tc>
          <w:tcPr>
            <w:tcW w:w="5856" w:type="dxa"/>
            <w:gridSpan w:val="6"/>
            <w:vAlign w:val="center"/>
          </w:tcPr>
          <w:p w14:paraId="5963CF13">
            <w:pPr>
              <w:autoSpaceDE/>
              <w:autoSpaceDN/>
              <w:spacing w:line="280" w:lineRule="exact"/>
              <w:jc w:val="both"/>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本项目占地内土壤及评价范围内居民区土壤满足《土壤环境质量 建设用地土壤污染风险管控标准（试行）》（GB36600-2018）中的标准要求，评价范围内农用地土壤满足《土壤环境质量 农用地土壤污染风险管控标准（试行）》（GB15618-2018）中的标准要求。</w:t>
            </w:r>
          </w:p>
        </w:tc>
        <w:tc>
          <w:tcPr>
            <w:tcW w:w="1101" w:type="dxa"/>
            <w:vAlign w:val="center"/>
          </w:tcPr>
          <w:p w14:paraId="650BE990">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r>
      <w:tr w14:paraId="35CCE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restart"/>
            <w:vAlign w:val="center"/>
          </w:tcPr>
          <w:p w14:paraId="0B924D7B">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影</w:t>
            </w:r>
          </w:p>
          <w:p w14:paraId="06B322A8">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响</w:t>
            </w:r>
          </w:p>
          <w:p w14:paraId="214538A3">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预</w:t>
            </w:r>
          </w:p>
          <w:p w14:paraId="779A8221">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测</w:t>
            </w:r>
          </w:p>
        </w:tc>
        <w:tc>
          <w:tcPr>
            <w:tcW w:w="1663" w:type="dxa"/>
            <w:vAlign w:val="center"/>
          </w:tcPr>
          <w:p w14:paraId="7D7F1FAD">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预测方法</w:t>
            </w:r>
          </w:p>
        </w:tc>
        <w:tc>
          <w:tcPr>
            <w:tcW w:w="5856" w:type="dxa"/>
            <w:gridSpan w:val="6"/>
            <w:vAlign w:val="center"/>
          </w:tcPr>
          <w:p w14:paraId="10EF1B13">
            <w:pPr>
              <w:autoSpaceDE/>
              <w:autoSpaceDN/>
              <w:spacing w:line="280" w:lineRule="exact"/>
              <w:jc w:val="both"/>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附录E□；附录F□；其他</w:t>
            </w:r>
            <w:r>
              <w:rPr>
                <w:rFonts w:ascii="Segoe UI Symbol" w:hAnsi="Segoe UI Symbol" w:cs="Segoe UI Symbol" w:eastAsiaTheme="minorEastAsia"/>
                <w:color w:val="000000" w:themeColor="text1"/>
                <w:w w:val="99"/>
                <w:kern w:val="21"/>
                <w:sz w:val="21"/>
                <w:szCs w:val="21"/>
                <w:lang w:val="en-US" w:bidi="ar-SA"/>
                <w14:textFill>
                  <w14:solidFill>
                    <w14:schemeClr w14:val="tx1"/>
                  </w14:solidFill>
                </w14:textFill>
              </w:rPr>
              <w:t>☑</w:t>
            </w:r>
          </w:p>
        </w:tc>
        <w:tc>
          <w:tcPr>
            <w:tcW w:w="1101" w:type="dxa"/>
            <w:vAlign w:val="center"/>
          </w:tcPr>
          <w:p w14:paraId="3FEE58AE">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r>
      <w:tr w14:paraId="0AD2B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11E904F9">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663" w:type="dxa"/>
            <w:vAlign w:val="center"/>
          </w:tcPr>
          <w:p w14:paraId="33708532">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预测分析内容</w:t>
            </w:r>
          </w:p>
        </w:tc>
        <w:tc>
          <w:tcPr>
            <w:tcW w:w="5856" w:type="dxa"/>
            <w:gridSpan w:val="6"/>
            <w:vAlign w:val="center"/>
          </w:tcPr>
          <w:p w14:paraId="7EB2A69A">
            <w:pPr>
              <w:autoSpaceDE/>
              <w:autoSpaceDN/>
              <w:spacing w:line="280" w:lineRule="exact"/>
              <w:jc w:val="both"/>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影响范围（）影响程度（）</w:t>
            </w:r>
          </w:p>
        </w:tc>
        <w:tc>
          <w:tcPr>
            <w:tcW w:w="1101" w:type="dxa"/>
            <w:vAlign w:val="center"/>
          </w:tcPr>
          <w:p w14:paraId="26AE612D">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r>
      <w:tr w14:paraId="25E88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520209DF">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663" w:type="dxa"/>
            <w:vAlign w:val="center"/>
          </w:tcPr>
          <w:p w14:paraId="3341977D">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预测结论</w:t>
            </w:r>
          </w:p>
        </w:tc>
        <w:tc>
          <w:tcPr>
            <w:tcW w:w="5856" w:type="dxa"/>
            <w:gridSpan w:val="6"/>
            <w:vAlign w:val="center"/>
          </w:tcPr>
          <w:p w14:paraId="765D6A54">
            <w:pPr>
              <w:autoSpaceDE/>
              <w:autoSpaceDN/>
              <w:spacing w:line="280" w:lineRule="exact"/>
              <w:jc w:val="both"/>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达标结论：a）</w:t>
            </w:r>
            <w:r>
              <w:rPr>
                <w:rFonts w:ascii="Segoe UI Symbol" w:hAnsi="Segoe UI Symbol" w:cs="Segoe UI Symbol" w:eastAsiaTheme="minorEastAsia"/>
                <w:color w:val="000000" w:themeColor="text1"/>
                <w:w w:val="99"/>
                <w:kern w:val="21"/>
                <w:sz w:val="21"/>
                <w:szCs w:val="21"/>
                <w:lang w:val="en-US" w:bidi="ar-SA"/>
                <w14:textFill>
                  <w14:solidFill>
                    <w14:schemeClr w14:val="tx1"/>
                  </w14:solidFill>
                </w14:textFill>
              </w:rPr>
              <w:t>☑</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；b）□；c）□</w:t>
            </w:r>
          </w:p>
          <w:p w14:paraId="78C50323">
            <w:pPr>
              <w:autoSpaceDE/>
              <w:autoSpaceDN/>
              <w:spacing w:line="280" w:lineRule="exact"/>
              <w:jc w:val="both"/>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不达标结论：a）□；b）□</w:t>
            </w:r>
          </w:p>
        </w:tc>
        <w:tc>
          <w:tcPr>
            <w:tcW w:w="1101" w:type="dxa"/>
            <w:vAlign w:val="center"/>
          </w:tcPr>
          <w:p w14:paraId="391641D6">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r>
      <w:tr w14:paraId="53A5A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restart"/>
            <w:vAlign w:val="center"/>
          </w:tcPr>
          <w:p w14:paraId="656D868E">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防</w:t>
            </w:r>
          </w:p>
          <w:p w14:paraId="35CFF4BD">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治</w:t>
            </w:r>
          </w:p>
          <w:p w14:paraId="05ECD9DE">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措</w:t>
            </w:r>
          </w:p>
          <w:p w14:paraId="6A6EE001">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施</w:t>
            </w:r>
          </w:p>
        </w:tc>
        <w:tc>
          <w:tcPr>
            <w:tcW w:w="1663" w:type="dxa"/>
            <w:vAlign w:val="center"/>
          </w:tcPr>
          <w:p w14:paraId="3A9475B5">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防控措施</w:t>
            </w:r>
          </w:p>
        </w:tc>
        <w:tc>
          <w:tcPr>
            <w:tcW w:w="5856" w:type="dxa"/>
            <w:gridSpan w:val="6"/>
            <w:vAlign w:val="center"/>
          </w:tcPr>
          <w:p w14:paraId="6C747772">
            <w:pPr>
              <w:autoSpaceDE/>
              <w:autoSpaceDN/>
              <w:spacing w:line="280" w:lineRule="exact"/>
              <w:jc w:val="both"/>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土壤环境质量现状保障□；源头控制</w:t>
            </w:r>
            <w:r>
              <w:rPr>
                <w:rFonts w:ascii="Segoe UI Symbol" w:hAnsi="Segoe UI Symbol" w:cs="Segoe UI Symbol" w:eastAsiaTheme="minorEastAsia"/>
                <w:color w:val="000000" w:themeColor="text1"/>
                <w:w w:val="99"/>
                <w:kern w:val="21"/>
                <w:sz w:val="21"/>
                <w:szCs w:val="21"/>
                <w:lang w:val="en-US" w:bidi="ar-SA"/>
                <w14:textFill>
                  <w14:solidFill>
                    <w14:schemeClr w14:val="tx1"/>
                  </w14:solidFill>
                </w14:textFill>
              </w:rPr>
              <w:t>☑</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；过程防控</w:t>
            </w:r>
            <w:r>
              <w:rPr>
                <w:rFonts w:ascii="Segoe UI Symbol" w:hAnsi="Segoe UI Symbol" w:cs="Segoe UI Symbol" w:eastAsiaTheme="minorEastAsia"/>
                <w:color w:val="000000" w:themeColor="text1"/>
                <w:w w:val="99"/>
                <w:kern w:val="21"/>
                <w:sz w:val="21"/>
                <w:szCs w:val="21"/>
                <w:lang w:val="en-US" w:bidi="ar-SA"/>
                <w14:textFill>
                  <w14:solidFill>
                    <w14:schemeClr w14:val="tx1"/>
                  </w14:solidFill>
                </w14:textFill>
              </w:rPr>
              <w:t>☑</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；其他（跟踪监测）</w:t>
            </w:r>
          </w:p>
        </w:tc>
        <w:tc>
          <w:tcPr>
            <w:tcW w:w="1101" w:type="dxa"/>
            <w:vAlign w:val="center"/>
          </w:tcPr>
          <w:p w14:paraId="4B173052">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r>
      <w:tr w14:paraId="7840E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14FD380E">
            <w:pPr>
              <w:autoSpaceDE/>
              <w:autoSpaceDN/>
              <w:spacing w:line="280" w:lineRule="exact"/>
              <w:jc w:val="both"/>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663" w:type="dxa"/>
            <w:vMerge w:val="restart"/>
            <w:vAlign w:val="center"/>
          </w:tcPr>
          <w:p w14:paraId="515C374B">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跟踪监测</w:t>
            </w:r>
          </w:p>
        </w:tc>
        <w:tc>
          <w:tcPr>
            <w:tcW w:w="1954" w:type="dxa"/>
            <w:gridSpan w:val="2"/>
            <w:vAlign w:val="center"/>
          </w:tcPr>
          <w:p w14:paraId="59C219A7">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监测点数</w:t>
            </w:r>
          </w:p>
        </w:tc>
        <w:tc>
          <w:tcPr>
            <w:tcW w:w="2164" w:type="dxa"/>
            <w:gridSpan w:val="3"/>
            <w:vAlign w:val="center"/>
          </w:tcPr>
          <w:p w14:paraId="065EFA9B">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监测指标</w:t>
            </w:r>
          </w:p>
        </w:tc>
        <w:tc>
          <w:tcPr>
            <w:tcW w:w="1738" w:type="dxa"/>
            <w:vAlign w:val="center"/>
          </w:tcPr>
          <w:p w14:paraId="04C0C51C">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监测频次</w:t>
            </w:r>
          </w:p>
        </w:tc>
        <w:tc>
          <w:tcPr>
            <w:tcW w:w="1101" w:type="dxa"/>
            <w:vAlign w:val="center"/>
          </w:tcPr>
          <w:p w14:paraId="72566A82">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r>
      <w:tr w14:paraId="087B2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6C9B40EC">
            <w:pPr>
              <w:autoSpaceDE/>
              <w:autoSpaceDN/>
              <w:spacing w:line="280" w:lineRule="exact"/>
              <w:jc w:val="both"/>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663" w:type="dxa"/>
            <w:vMerge w:val="continue"/>
            <w:vAlign w:val="center"/>
          </w:tcPr>
          <w:p w14:paraId="1B167C12">
            <w:pPr>
              <w:autoSpaceDE/>
              <w:autoSpaceDN/>
              <w:spacing w:line="280" w:lineRule="exact"/>
              <w:jc w:val="both"/>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954" w:type="dxa"/>
            <w:gridSpan w:val="2"/>
            <w:vAlign w:val="center"/>
          </w:tcPr>
          <w:p w14:paraId="48A28C64">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2</w:t>
            </w:r>
          </w:p>
        </w:tc>
        <w:tc>
          <w:tcPr>
            <w:tcW w:w="2164" w:type="dxa"/>
            <w:gridSpan w:val="3"/>
            <w:vAlign w:val="center"/>
          </w:tcPr>
          <w:p w14:paraId="1EF0A79B">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石油烃（C</w:t>
            </w:r>
            <w:r>
              <w:rPr>
                <w:rFonts w:ascii="Times New Roman" w:hAnsi="Times New Roman" w:cs="Times New Roman" w:eastAsiaTheme="minorEastAsia"/>
                <w:color w:val="000000" w:themeColor="text1"/>
                <w:w w:val="99"/>
                <w:kern w:val="21"/>
                <w:sz w:val="21"/>
                <w:szCs w:val="21"/>
                <w:vertAlign w:val="subscript"/>
                <w:lang w:val="en-US" w:bidi="ar-SA"/>
                <w14:textFill>
                  <w14:solidFill>
                    <w14:schemeClr w14:val="tx1"/>
                  </w14:solidFill>
                </w14:textFill>
              </w:rPr>
              <w:t>10</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~C</w:t>
            </w:r>
            <w:r>
              <w:rPr>
                <w:rFonts w:ascii="Times New Roman" w:hAnsi="Times New Roman" w:cs="Times New Roman" w:eastAsiaTheme="minorEastAsia"/>
                <w:color w:val="000000" w:themeColor="text1"/>
                <w:w w:val="99"/>
                <w:kern w:val="21"/>
                <w:sz w:val="21"/>
                <w:szCs w:val="21"/>
                <w:vertAlign w:val="subscript"/>
                <w:lang w:val="en-US" w:bidi="ar-SA"/>
                <w14:textFill>
                  <w14:solidFill>
                    <w14:schemeClr w14:val="tx1"/>
                  </w14:solidFill>
                </w14:textFill>
              </w:rPr>
              <w:t>40</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）、砷、六价铬</w:t>
            </w:r>
          </w:p>
        </w:tc>
        <w:tc>
          <w:tcPr>
            <w:tcW w:w="1738" w:type="dxa"/>
            <w:vAlign w:val="center"/>
          </w:tcPr>
          <w:p w14:paraId="115A9F88">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3年1次</w:t>
            </w:r>
          </w:p>
        </w:tc>
        <w:tc>
          <w:tcPr>
            <w:tcW w:w="1101" w:type="dxa"/>
            <w:vAlign w:val="center"/>
          </w:tcPr>
          <w:p w14:paraId="5CA6DD0D">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r>
      <w:tr w14:paraId="22CD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14:paraId="76CE71C6">
            <w:pPr>
              <w:autoSpaceDE/>
              <w:autoSpaceDN/>
              <w:spacing w:line="280" w:lineRule="exact"/>
              <w:jc w:val="both"/>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c>
          <w:tcPr>
            <w:tcW w:w="1663" w:type="dxa"/>
            <w:vAlign w:val="center"/>
          </w:tcPr>
          <w:p w14:paraId="68EFA101">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信息公开指标</w:t>
            </w:r>
          </w:p>
        </w:tc>
        <w:tc>
          <w:tcPr>
            <w:tcW w:w="5856" w:type="dxa"/>
            <w:gridSpan w:val="6"/>
            <w:vAlign w:val="center"/>
          </w:tcPr>
          <w:p w14:paraId="4C0088BE">
            <w:pPr>
              <w:autoSpaceDE/>
              <w:autoSpaceDN/>
              <w:spacing w:line="280" w:lineRule="exact"/>
              <w:jc w:val="both"/>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监测点位和监测值</w:t>
            </w:r>
          </w:p>
        </w:tc>
        <w:tc>
          <w:tcPr>
            <w:tcW w:w="1101" w:type="dxa"/>
            <w:vAlign w:val="center"/>
          </w:tcPr>
          <w:p w14:paraId="4B8AB1A5">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r>
      <w:tr w14:paraId="04191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gridSpan w:val="2"/>
            <w:vAlign w:val="center"/>
          </w:tcPr>
          <w:p w14:paraId="51C48CD7">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评价结论</w:t>
            </w:r>
          </w:p>
        </w:tc>
        <w:tc>
          <w:tcPr>
            <w:tcW w:w="5856" w:type="dxa"/>
            <w:gridSpan w:val="6"/>
            <w:vAlign w:val="center"/>
          </w:tcPr>
          <w:p w14:paraId="7C5C00F9">
            <w:pPr>
              <w:autoSpaceDE/>
              <w:autoSpaceDN/>
              <w:spacing w:line="280" w:lineRule="exact"/>
              <w:jc w:val="both"/>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采取环评提出的措施，影响可接受</w:t>
            </w:r>
          </w:p>
        </w:tc>
        <w:tc>
          <w:tcPr>
            <w:tcW w:w="1101" w:type="dxa"/>
            <w:vAlign w:val="center"/>
          </w:tcPr>
          <w:p w14:paraId="709E4DBC">
            <w:pPr>
              <w:autoSpaceDE/>
              <w:autoSpaceDN/>
              <w:spacing w:line="280" w:lineRule="exact"/>
              <w:jc w:val="cente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p>
        </w:tc>
      </w:tr>
      <w:tr w14:paraId="716DC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071" w:type="dxa"/>
            <w:gridSpan w:val="9"/>
            <w:vAlign w:val="center"/>
          </w:tcPr>
          <w:p w14:paraId="520B84E7">
            <w:pPr>
              <w:autoSpaceDE/>
              <w:autoSpaceDN/>
              <w:spacing w:line="280" w:lineRule="exact"/>
              <w:jc w:val="both"/>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注1：“□”为勾选项，可√；“（ ）”为内容填写项；“备注”为其他补充内容。</w:t>
            </w:r>
          </w:p>
          <w:p w14:paraId="1EF67EDE">
            <w:pPr>
              <w:autoSpaceDE/>
              <w:autoSpaceDN/>
              <w:spacing w:line="280" w:lineRule="exact"/>
              <w:jc w:val="both"/>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注2：需要分别开展土壤环境影响评级工作的，分别填写自查表。</w:t>
            </w:r>
          </w:p>
        </w:tc>
      </w:tr>
    </w:tbl>
    <w:p w14:paraId="1ABEDC51">
      <w:pPr>
        <w:widowControl/>
        <w:tabs>
          <w:tab w:val="left" w:pos="3915"/>
        </w:tabs>
        <w:autoSpaceDE/>
        <w:autoSpaceDN/>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p>
    <w:p w14:paraId="2716CA19">
      <w:pPr>
        <w:autoSpaceDE/>
        <w:autoSpaceDN/>
        <w:adjustRightInd w:val="0"/>
        <w:snapToGrid w:val="0"/>
        <w:spacing w:line="360" w:lineRule="auto"/>
        <w:jc w:val="center"/>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p>
    <w:p w14:paraId="1C58D4C0">
      <w:pPr>
        <w:autoSpaceDE/>
        <w:autoSpaceDN/>
        <w:adjustRightInd w:val="0"/>
        <w:snapToGrid w:val="0"/>
        <w:jc w:val="both"/>
        <w:outlineLvl w:val="0"/>
        <w:rPr>
          <w:rFonts w:ascii="Times New Roman" w:hAnsi="Times New Roman" w:cs="Times New Roman" w:eastAsiaTheme="minorEastAsia"/>
          <w:b/>
          <w:color w:val="000000" w:themeColor="text1"/>
          <w:w w:val="99"/>
          <w:kern w:val="21"/>
          <w:sz w:val="24"/>
          <w:szCs w:val="24"/>
          <w:lang w:val="en-US" w:bidi="ar-SA"/>
          <w14:textFill>
            <w14:solidFill>
              <w14:schemeClr w14:val="tx1"/>
            </w14:solidFill>
          </w14:textFill>
        </w:rPr>
      </w:pPr>
      <w:bookmarkStart w:id="615" w:name="_Toc106810444"/>
      <w:bookmarkStart w:id="616" w:name="_Toc117794693"/>
      <w:r>
        <w:rPr>
          <w:rFonts w:ascii="Times New Roman" w:hAnsi="Times New Roman" w:cs="Times New Roman" w:eastAsiaTheme="minorEastAsia"/>
          <w:b/>
          <w:color w:val="000000" w:themeColor="text1"/>
          <w:w w:val="99"/>
          <w:kern w:val="21"/>
          <w:sz w:val="24"/>
          <w:szCs w:val="24"/>
          <w:lang w:val="en-US" w:bidi="ar-SA"/>
          <w14:textFill>
            <w14:solidFill>
              <w14:schemeClr w14:val="tx1"/>
            </w14:solidFill>
          </w14:textFill>
        </w:rPr>
        <w:t>附表4    地表水自查表</w:t>
      </w:r>
      <w:bookmarkEnd w:id="615"/>
      <w:bookmarkEnd w:id="616"/>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
        <w:gridCol w:w="923"/>
        <w:gridCol w:w="1392"/>
        <w:gridCol w:w="617"/>
        <w:gridCol w:w="465"/>
        <w:gridCol w:w="154"/>
        <w:gridCol w:w="310"/>
        <w:gridCol w:w="1081"/>
        <w:gridCol w:w="619"/>
        <w:gridCol w:w="307"/>
        <w:gridCol w:w="310"/>
        <w:gridCol w:w="773"/>
        <w:gridCol w:w="154"/>
        <w:gridCol w:w="465"/>
        <w:gridCol w:w="1289"/>
      </w:tblGrid>
      <w:tr w14:paraId="0AEB1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gridSpan w:val="2"/>
            <w:vAlign w:val="center"/>
          </w:tcPr>
          <w:p w14:paraId="16E69595">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工作内容</w:t>
            </w:r>
          </w:p>
        </w:tc>
        <w:tc>
          <w:tcPr>
            <w:tcW w:w="4271" w:type="pct"/>
            <w:gridSpan w:val="13"/>
            <w:vAlign w:val="center"/>
          </w:tcPr>
          <w:p w14:paraId="270521B7">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自查项目</w:t>
            </w:r>
          </w:p>
        </w:tc>
      </w:tr>
      <w:tr w14:paraId="740C8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restart"/>
            <w:vAlign w:val="center"/>
          </w:tcPr>
          <w:p w14:paraId="7932CFA1">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影</w:t>
            </w:r>
          </w:p>
          <w:p w14:paraId="2D544BF9">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响</w:t>
            </w:r>
          </w:p>
          <w:p w14:paraId="15F36C4C">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识</w:t>
            </w:r>
          </w:p>
          <w:p w14:paraId="368E551C">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别</w:t>
            </w:r>
          </w:p>
        </w:tc>
        <w:tc>
          <w:tcPr>
            <w:tcW w:w="496" w:type="pct"/>
            <w:vAlign w:val="center"/>
          </w:tcPr>
          <w:p w14:paraId="0D63E12D">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影响类型</w:t>
            </w:r>
          </w:p>
        </w:tc>
        <w:tc>
          <w:tcPr>
            <w:tcW w:w="4271" w:type="pct"/>
            <w:gridSpan w:val="13"/>
            <w:vAlign w:val="center"/>
          </w:tcPr>
          <w:p w14:paraId="4BC23232">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水污染影响型√；水文要素影响型 □</w:t>
            </w:r>
          </w:p>
        </w:tc>
      </w:tr>
      <w:tr w14:paraId="1774D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continue"/>
            <w:vAlign w:val="center"/>
          </w:tcPr>
          <w:p w14:paraId="1EAAB4A0">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496" w:type="pct"/>
            <w:vAlign w:val="center"/>
          </w:tcPr>
          <w:p w14:paraId="15E01700">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水环境保护目标</w:t>
            </w:r>
          </w:p>
        </w:tc>
        <w:tc>
          <w:tcPr>
            <w:tcW w:w="4271" w:type="pct"/>
            <w:gridSpan w:val="13"/>
            <w:vAlign w:val="center"/>
          </w:tcPr>
          <w:p w14:paraId="50DF094E">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饮用水水源保护区 □；饮用水取水口 □；涉水的自然保护区 □；重要湿地 □；重点保护与珍稀水生生物的栖息地 □；重要水生生物的自然产卵场及索饵场、越冬场和洄游通道、天然渔场等渔业水体 □；涉水的风景名胜区 □；其他 √</w:t>
            </w:r>
          </w:p>
        </w:tc>
      </w:tr>
      <w:tr w14:paraId="4C72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continue"/>
            <w:vAlign w:val="center"/>
          </w:tcPr>
          <w:p w14:paraId="78B27234">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496" w:type="pct"/>
            <w:vMerge w:val="restart"/>
            <w:vAlign w:val="center"/>
          </w:tcPr>
          <w:p w14:paraId="70D435FD">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影响途径</w:t>
            </w:r>
          </w:p>
        </w:tc>
        <w:tc>
          <w:tcPr>
            <w:tcW w:w="2163" w:type="pct"/>
            <w:gridSpan w:val="6"/>
            <w:vAlign w:val="center"/>
          </w:tcPr>
          <w:p w14:paraId="182829EB">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水污染影响型</w:t>
            </w:r>
          </w:p>
        </w:tc>
        <w:tc>
          <w:tcPr>
            <w:tcW w:w="2109" w:type="pct"/>
            <w:gridSpan w:val="7"/>
            <w:vAlign w:val="center"/>
          </w:tcPr>
          <w:p w14:paraId="57DCCB5A">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水文要素影响型</w:t>
            </w:r>
          </w:p>
        </w:tc>
      </w:tr>
      <w:tr w14:paraId="38239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continue"/>
            <w:vAlign w:val="center"/>
          </w:tcPr>
          <w:p w14:paraId="4F0D21D0">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496" w:type="pct"/>
            <w:vMerge w:val="continue"/>
            <w:vAlign w:val="center"/>
          </w:tcPr>
          <w:p w14:paraId="45D706AC">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2163" w:type="pct"/>
            <w:gridSpan w:val="6"/>
            <w:vAlign w:val="center"/>
          </w:tcPr>
          <w:p w14:paraId="6527D3B7">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直接排放 □；间接排放 □；其他√</w:t>
            </w:r>
          </w:p>
        </w:tc>
        <w:tc>
          <w:tcPr>
            <w:tcW w:w="2109" w:type="pct"/>
            <w:gridSpan w:val="7"/>
            <w:vAlign w:val="center"/>
          </w:tcPr>
          <w:p w14:paraId="43F20E83">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水温 □；径流 □；水域面积 □</w:t>
            </w:r>
          </w:p>
        </w:tc>
      </w:tr>
      <w:tr w14:paraId="7FC85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continue"/>
            <w:vAlign w:val="center"/>
          </w:tcPr>
          <w:p w14:paraId="4904A9D2">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496" w:type="pct"/>
            <w:vAlign w:val="center"/>
          </w:tcPr>
          <w:p w14:paraId="52F3B807">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影响因子</w:t>
            </w:r>
          </w:p>
        </w:tc>
        <w:tc>
          <w:tcPr>
            <w:tcW w:w="2163" w:type="pct"/>
            <w:gridSpan w:val="6"/>
            <w:vAlign w:val="center"/>
          </w:tcPr>
          <w:p w14:paraId="6AE7BD1B">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持久性污染物 □；有毒有害污染物 □；非持久性污染物 □；pH 值 □；热污染 □；富营养化 □；其他 √</w:t>
            </w:r>
          </w:p>
        </w:tc>
        <w:tc>
          <w:tcPr>
            <w:tcW w:w="2109" w:type="pct"/>
            <w:gridSpan w:val="7"/>
            <w:vAlign w:val="center"/>
          </w:tcPr>
          <w:p w14:paraId="574EA979">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水温 □；水位（水深） □；流速□；流量 □；其他 □</w:t>
            </w:r>
          </w:p>
        </w:tc>
      </w:tr>
      <w:tr w14:paraId="424E5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gridSpan w:val="2"/>
            <w:vMerge w:val="restart"/>
            <w:vAlign w:val="center"/>
          </w:tcPr>
          <w:p w14:paraId="44280FF0">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评价等级</w:t>
            </w:r>
          </w:p>
        </w:tc>
        <w:tc>
          <w:tcPr>
            <w:tcW w:w="2163" w:type="pct"/>
            <w:gridSpan w:val="6"/>
            <w:vAlign w:val="center"/>
          </w:tcPr>
          <w:p w14:paraId="4FF84753">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水污染影响型</w:t>
            </w:r>
          </w:p>
        </w:tc>
        <w:tc>
          <w:tcPr>
            <w:tcW w:w="2109" w:type="pct"/>
            <w:gridSpan w:val="7"/>
            <w:vAlign w:val="center"/>
          </w:tcPr>
          <w:p w14:paraId="02D50C87">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水文要素影响型</w:t>
            </w:r>
          </w:p>
        </w:tc>
      </w:tr>
      <w:tr w14:paraId="03FC6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gridSpan w:val="2"/>
            <w:vMerge w:val="continue"/>
            <w:vAlign w:val="center"/>
          </w:tcPr>
          <w:p w14:paraId="520ED0A9">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2163" w:type="pct"/>
            <w:gridSpan w:val="6"/>
            <w:vAlign w:val="center"/>
          </w:tcPr>
          <w:p w14:paraId="1D67C4A7">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一级 □；二级 □；三级 A □；三级 B √</w:t>
            </w:r>
          </w:p>
        </w:tc>
        <w:tc>
          <w:tcPr>
            <w:tcW w:w="2109" w:type="pct"/>
            <w:gridSpan w:val="7"/>
            <w:vAlign w:val="center"/>
          </w:tcPr>
          <w:p w14:paraId="30F00BAB">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一级 □；二级 □；三级 □</w:t>
            </w:r>
          </w:p>
        </w:tc>
      </w:tr>
      <w:tr w14:paraId="4D4B4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restart"/>
            <w:vAlign w:val="center"/>
          </w:tcPr>
          <w:p w14:paraId="0401D1DA">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现</w:t>
            </w:r>
          </w:p>
          <w:p w14:paraId="54DC3A36">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状</w:t>
            </w:r>
          </w:p>
          <w:p w14:paraId="1FB2154B">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调</w:t>
            </w:r>
          </w:p>
          <w:p w14:paraId="0DE79266">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查</w:t>
            </w:r>
          </w:p>
        </w:tc>
        <w:tc>
          <w:tcPr>
            <w:tcW w:w="496" w:type="pct"/>
            <w:vMerge w:val="restart"/>
            <w:vAlign w:val="center"/>
          </w:tcPr>
          <w:p w14:paraId="07E816B8">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区域污染源</w:t>
            </w:r>
          </w:p>
        </w:tc>
        <w:tc>
          <w:tcPr>
            <w:tcW w:w="2163" w:type="pct"/>
            <w:gridSpan w:val="6"/>
            <w:vAlign w:val="center"/>
          </w:tcPr>
          <w:p w14:paraId="6DBC4524">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调查项目</w:t>
            </w:r>
          </w:p>
        </w:tc>
        <w:tc>
          <w:tcPr>
            <w:tcW w:w="2109" w:type="pct"/>
            <w:gridSpan w:val="7"/>
            <w:vAlign w:val="center"/>
          </w:tcPr>
          <w:p w14:paraId="6AB56E09">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数据来源</w:t>
            </w:r>
          </w:p>
        </w:tc>
      </w:tr>
      <w:tr w14:paraId="5023E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continue"/>
            <w:vAlign w:val="center"/>
          </w:tcPr>
          <w:p w14:paraId="5C1AF34D">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496" w:type="pct"/>
            <w:vMerge w:val="continue"/>
            <w:vAlign w:val="center"/>
          </w:tcPr>
          <w:p w14:paraId="10F4BE99">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1331" w:type="pct"/>
            <w:gridSpan w:val="3"/>
            <w:vAlign w:val="center"/>
          </w:tcPr>
          <w:p w14:paraId="18409D18">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已建 □；在建 □；</w:t>
            </w:r>
          </w:p>
          <w:p w14:paraId="01D76D53">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拟建 □；其他 □</w:t>
            </w:r>
          </w:p>
        </w:tc>
        <w:tc>
          <w:tcPr>
            <w:tcW w:w="832" w:type="pct"/>
            <w:gridSpan w:val="3"/>
            <w:vAlign w:val="center"/>
          </w:tcPr>
          <w:p w14:paraId="4089C731">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拟替代的污染源 □</w:t>
            </w:r>
          </w:p>
        </w:tc>
        <w:tc>
          <w:tcPr>
            <w:tcW w:w="2109" w:type="pct"/>
            <w:gridSpan w:val="7"/>
            <w:vAlign w:val="center"/>
          </w:tcPr>
          <w:p w14:paraId="00AB8BEF">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排污许可证 □；环评 □；环保验收 □；既有实测 □；现场监测 □；入河排放口数据 □；其他 □</w:t>
            </w:r>
          </w:p>
        </w:tc>
      </w:tr>
      <w:tr w14:paraId="62D2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continue"/>
            <w:vAlign w:val="center"/>
          </w:tcPr>
          <w:p w14:paraId="0D6957A3">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496" w:type="pct"/>
            <w:vMerge w:val="restart"/>
            <w:vAlign w:val="center"/>
          </w:tcPr>
          <w:p w14:paraId="1D53BC11">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受影响水体水环境质量</w:t>
            </w:r>
          </w:p>
        </w:tc>
        <w:tc>
          <w:tcPr>
            <w:tcW w:w="2163" w:type="pct"/>
            <w:gridSpan w:val="6"/>
            <w:vAlign w:val="center"/>
          </w:tcPr>
          <w:p w14:paraId="3062A654">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调查时期</w:t>
            </w:r>
          </w:p>
        </w:tc>
        <w:tc>
          <w:tcPr>
            <w:tcW w:w="2109" w:type="pct"/>
            <w:gridSpan w:val="7"/>
            <w:vAlign w:val="center"/>
          </w:tcPr>
          <w:p w14:paraId="5393A94D">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数据来源</w:t>
            </w:r>
          </w:p>
        </w:tc>
      </w:tr>
      <w:tr w14:paraId="05A4E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continue"/>
            <w:vAlign w:val="center"/>
          </w:tcPr>
          <w:p w14:paraId="49F8F60C">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496" w:type="pct"/>
            <w:vMerge w:val="continue"/>
            <w:vAlign w:val="center"/>
          </w:tcPr>
          <w:p w14:paraId="6F040266">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2163" w:type="pct"/>
            <w:gridSpan w:val="6"/>
            <w:vAlign w:val="center"/>
          </w:tcPr>
          <w:p w14:paraId="07DCED4F">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丰水期 □；平水期 □；枯水期 □；冰封期 □</w:t>
            </w:r>
          </w:p>
          <w:p w14:paraId="418892B1">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春季 □；夏季 □；秋季 √；冬季□</w:t>
            </w:r>
          </w:p>
        </w:tc>
        <w:tc>
          <w:tcPr>
            <w:tcW w:w="2109" w:type="pct"/>
            <w:gridSpan w:val="7"/>
            <w:vAlign w:val="center"/>
          </w:tcPr>
          <w:p w14:paraId="2F706379">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生态环境保护主管部门 □；补充监测 √；其他 □</w:t>
            </w:r>
          </w:p>
        </w:tc>
      </w:tr>
      <w:tr w14:paraId="734B6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continue"/>
            <w:vAlign w:val="center"/>
          </w:tcPr>
          <w:p w14:paraId="21D5A6DF">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496" w:type="pct"/>
            <w:vAlign w:val="center"/>
          </w:tcPr>
          <w:p w14:paraId="1C6F8C42">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区域水资源开发利用状况</w:t>
            </w:r>
          </w:p>
        </w:tc>
        <w:tc>
          <w:tcPr>
            <w:tcW w:w="4271" w:type="pct"/>
            <w:gridSpan w:val="13"/>
            <w:vAlign w:val="center"/>
          </w:tcPr>
          <w:p w14:paraId="7E64923F">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未开发 □；开发量 40%以下 □；开发量 40%以上 □</w:t>
            </w:r>
          </w:p>
        </w:tc>
      </w:tr>
      <w:tr w14:paraId="30F23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continue"/>
            <w:vAlign w:val="center"/>
          </w:tcPr>
          <w:p w14:paraId="2E87D817">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496" w:type="pct"/>
            <w:vMerge w:val="restart"/>
            <w:vAlign w:val="center"/>
          </w:tcPr>
          <w:p w14:paraId="2C79C026">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水文情势调查</w:t>
            </w:r>
          </w:p>
        </w:tc>
        <w:tc>
          <w:tcPr>
            <w:tcW w:w="2163" w:type="pct"/>
            <w:gridSpan w:val="6"/>
            <w:vAlign w:val="center"/>
          </w:tcPr>
          <w:p w14:paraId="55CD4AD2">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 xml:space="preserve">调查时期  </w:t>
            </w:r>
          </w:p>
        </w:tc>
        <w:tc>
          <w:tcPr>
            <w:tcW w:w="2109" w:type="pct"/>
            <w:gridSpan w:val="7"/>
            <w:vAlign w:val="center"/>
          </w:tcPr>
          <w:p w14:paraId="3FBC2C09">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数据来源</w:t>
            </w:r>
          </w:p>
        </w:tc>
      </w:tr>
      <w:tr w14:paraId="5759A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continue"/>
            <w:vAlign w:val="center"/>
          </w:tcPr>
          <w:p w14:paraId="57002B97">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496" w:type="pct"/>
            <w:vMerge w:val="continue"/>
            <w:vAlign w:val="center"/>
          </w:tcPr>
          <w:p w14:paraId="3C953259">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2163" w:type="pct"/>
            <w:gridSpan w:val="6"/>
            <w:vAlign w:val="center"/>
          </w:tcPr>
          <w:p w14:paraId="42B948CA">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丰水期 □；平水期 □；枯水期 □；冰封期 □</w:t>
            </w:r>
          </w:p>
          <w:p w14:paraId="592A39A9">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春季 □；夏季 □；秋季 □；冬季□</w:t>
            </w:r>
          </w:p>
        </w:tc>
        <w:tc>
          <w:tcPr>
            <w:tcW w:w="2109" w:type="pct"/>
            <w:gridSpan w:val="7"/>
            <w:vAlign w:val="center"/>
          </w:tcPr>
          <w:p w14:paraId="43F2DEC9">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水行政主管部门 □；补充监测 □；其他 □</w:t>
            </w:r>
          </w:p>
        </w:tc>
      </w:tr>
      <w:tr w14:paraId="1DDC2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continue"/>
            <w:vAlign w:val="center"/>
          </w:tcPr>
          <w:p w14:paraId="26AB7304">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496" w:type="pct"/>
            <w:vMerge w:val="restart"/>
            <w:vAlign w:val="center"/>
          </w:tcPr>
          <w:p w14:paraId="1A681D73">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补充监测</w:t>
            </w:r>
          </w:p>
        </w:tc>
        <w:tc>
          <w:tcPr>
            <w:tcW w:w="2163" w:type="pct"/>
            <w:gridSpan w:val="6"/>
            <w:vAlign w:val="center"/>
          </w:tcPr>
          <w:p w14:paraId="273E72B6">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监测时期</w:t>
            </w:r>
          </w:p>
        </w:tc>
        <w:tc>
          <w:tcPr>
            <w:tcW w:w="1081" w:type="pct"/>
            <w:gridSpan w:val="4"/>
            <w:vAlign w:val="center"/>
          </w:tcPr>
          <w:p w14:paraId="21C370DB">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监测因子</w:t>
            </w:r>
          </w:p>
        </w:tc>
        <w:tc>
          <w:tcPr>
            <w:tcW w:w="1027" w:type="pct"/>
            <w:gridSpan w:val="3"/>
            <w:vAlign w:val="center"/>
          </w:tcPr>
          <w:p w14:paraId="61CD5900">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监测断面或点位</w:t>
            </w:r>
          </w:p>
        </w:tc>
      </w:tr>
      <w:tr w14:paraId="26B56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continue"/>
            <w:vAlign w:val="center"/>
          </w:tcPr>
          <w:p w14:paraId="22D86176">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496" w:type="pct"/>
            <w:vMerge w:val="continue"/>
            <w:vAlign w:val="center"/>
          </w:tcPr>
          <w:p w14:paraId="621FAE1A">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2163" w:type="pct"/>
            <w:gridSpan w:val="6"/>
            <w:vAlign w:val="center"/>
          </w:tcPr>
          <w:p w14:paraId="74670B29">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丰水期 □；平水期 □；枯水期 □；冰封期 □</w:t>
            </w:r>
          </w:p>
          <w:p w14:paraId="30241D6E">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春季 □；夏季 □；秋季 √；冬季□</w:t>
            </w:r>
          </w:p>
        </w:tc>
        <w:tc>
          <w:tcPr>
            <w:tcW w:w="1081" w:type="pct"/>
            <w:gridSpan w:val="4"/>
            <w:vAlign w:val="center"/>
          </w:tcPr>
          <w:p w14:paraId="7489D069">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 pH、COD、高锰酸盐指数、氨氮、BOD</w:t>
            </w:r>
            <w:r>
              <w:rPr>
                <w:rFonts w:ascii="Times New Roman" w:hAnsi="Times New Roman" w:cs="Times New Roman" w:eastAsiaTheme="minorEastAsia"/>
                <w:color w:val="000000" w:themeColor="text1"/>
                <w:w w:val="99"/>
                <w:sz w:val="18"/>
                <w:szCs w:val="18"/>
                <w:vertAlign w:val="subscript"/>
                <w:lang w:val="en-US" w:bidi="ar-SA"/>
                <w14:textFill>
                  <w14:solidFill>
                    <w14:schemeClr w14:val="tx1"/>
                  </w14:solidFill>
                </w14:textFill>
              </w:rPr>
              <w:t>5</w:t>
            </w: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、总磷、总氮、石油类、溶解氧、水温）</w:t>
            </w:r>
          </w:p>
        </w:tc>
        <w:tc>
          <w:tcPr>
            <w:tcW w:w="1027" w:type="pct"/>
            <w:gridSpan w:val="3"/>
            <w:vAlign w:val="center"/>
          </w:tcPr>
          <w:p w14:paraId="660D48F9">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监测断面或点位个数（1）个</w:t>
            </w:r>
          </w:p>
        </w:tc>
      </w:tr>
      <w:tr w14:paraId="7494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restart"/>
            <w:vAlign w:val="center"/>
          </w:tcPr>
          <w:p w14:paraId="18AF566B">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现</w:t>
            </w:r>
          </w:p>
          <w:p w14:paraId="1992FBFF">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状</w:t>
            </w:r>
          </w:p>
          <w:p w14:paraId="36DA3729">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评</w:t>
            </w:r>
          </w:p>
          <w:p w14:paraId="6C82EB58">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价</w:t>
            </w:r>
          </w:p>
        </w:tc>
        <w:tc>
          <w:tcPr>
            <w:tcW w:w="496" w:type="pct"/>
            <w:vAlign w:val="center"/>
          </w:tcPr>
          <w:p w14:paraId="758B8BCC">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评价范围</w:t>
            </w:r>
          </w:p>
        </w:tc>
        <w:tc>
          <w:tcPr>
            <w:tcW w:w="4271" w:type="pct"/>
            <w:gridSpan w:val="13"/>
            <w:vAlign w:val="center"/>
          </w:tcPr>
          <w:p w14:paraId="057F02A1">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河流：长度（ ）km；湖库、河口及近岸海域：面积（134.2）hm</w:t>
            </w:r>
            <w:r>
              <w:rPr>
                <w:rFonts w:ascii="Times New Roman" w:hAnsi="Times New Roman" w:cs="Times New Roman" w:eastAsiaTheme="minorEastAsia"/>
                <w:color w:val="000000" w:themeColor="text1"/>
                <w:w w:val="99"/>
                <w:sz w:val="18"/>
                <w:szCs w:val="18"/>
                <w:vertAlign w:val="superscript"/>
                <w:lang w:val="en-US" w:bidi="ar-SA"/>
                <w14:textFill>
                  <w14:solidFill>
                    <w14:schemeClr w14:val="tx1"/>
                  </w14:solidFill>
                </w14:textFill>
              </w:rPr>
              <w:t>2</w:t>
            </w:r>
          </w:p>
        </w:tc>
      </w:tr>
      <w:tr w14:paraId="4DF84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continue"/>
            <w:vAlign w:val="center"/>
          </w:tcPr>
          <w:p w14:paraId="032B01FE">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496" w:type="pct"/>
            <w:vAlign w:val="center"/>
          </w:tcPr>
          <w:p w14:paraId="23F81477">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评价因子</w:t>
            </w:r>
          </w:p>
        </w:tc>
        <w:tc>
          <w:tcPr>
            <w:tcW w:w="4271" w:type="pct"/>
            <w:gridSpan w:val="13"/>
            <w:vAlign w:val="center"/>
          </w:tcPr>
          <w:p w14:paraId="7F35CCA1">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 pH、COD、高锰酸盐指数、氨氮、BOD</w:t>
            </w:r>
            <w:r>
              <w:rPr>
                <w:rFonts w:ascii="Times New Roman" w:hAnsi="Times New Roman" w:cs="Times New Roman" w:eastAsiaTheme="minorEastAsia"/>
                <w:color w:val="000000" w:themeColor="text1"/>
                <w:w w:val="99"/>
                <w:sz w:val="18"/>
                <w:szCs w:val="18"/>
                <w:vertAlign w:val="subscript"/>
                <w:lang w:val="en-US" w:bidi="ar-SA"/>
                <w14:textFill>
                  <w14:solidFill>
                    <w14:schemeClr w14:val="tx1"/>
                  </w14:solidFill>
                </w14:textFill>
              </w:rPr>
              <w:t>5</w:t>
            </w: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、总磷、总氮、石油类、溶解氧）</w:t>
            </w:r>
          </w:p>
        </w:tc>
      </w:tr>
      <w:tr w14:paraId="09D89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continue"/>
            <w:vAlign w:val="center"/>
          </w:tcPr>
          <w:p w14:paraId="486AF665">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496" w:type="pct"/>
            <w:vAlign w:val="center"/>
          </w:tcPr>
          <w:p w14:paraId="4A7B4F5E">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评价标准</w:t>
            </w:r>
          </w:p>
        </w:tc>
        <w:tc>
          <w:tcPr>
            <w:tcW w:w="4271" w:type="pct"/>
            <w:gridSpan w:val="13"/>
            <w:vAlign w:val="center"/>
          </w:tcPr>
          <w:p w14:paraId="77A09858">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河流、湖库、河口：Ⅰ类 □；Ⅱ类 □；Ⅲ类 □；Ⅳ类 □；Ⅴ类□</w:t>
            </w:r>
          </w:p>
          <w:p w14:paraId="670167F2">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近岸海域：第一类 □；第二类 □；第三类 □；第四类 □</w:t>
            </w:r>
          </w:p>
          <w:p w14:paraId="3BFD920B">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规划年评价标准（ ）</w:t>
            </w:r>
          </w:p>
        </w:tc>
      </w:tr>
      <w:tr w14:paraId="7D072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continue"/>
            <w:vAlign w:val="center"/>
          </w:tcPr>
          <w:p w14:paraId="54F5B3DA">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496" w:type="pct"/>
            <w:vAlign w:val="center"/>
          </w:tcPr>
          <w:p w14:paraId="71018883">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评价时期</w:t>
            </w:r>
          </w:p>
        </w:tc>
        <w:tc>
          <w:tcPr>
            <w:tcW w:w="4271" w:type="pct"/>
            <w:gridSpan w:val="13"/>
            <w:vAlign w:val="center"/>
          </w:tcPr>
          <w:p w14:paraId="62DEED05">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丰水期 □；平水期 □；枯水期 □；冰封期 □</w:t>
            </w:r>
          </w:p>
          <w:p w14:paraId="1D37B428">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春季 □；夏季 □；秋季√；冬季 □</w:t>
            </w:r>
          </w:p>
        </w:tc>
      </w:tr>
      <w:tr w14:paraId="5BB4D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continue"/>
            <w:vAlign w:val="center"/>
          </w:tcPr>
          <w:p w14:paraId="164E2099">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496" w:type="pct"/>
            <w:vAlign w:val="center"/>
          </w:tcPr>
          <w:p w14:paraId="4E453D03">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评价结论</w:t>
            </w:r>
          </w:p>
        </w:tc>
        <w:tc>
          <w:tcPr>
            <w:tcW w:w="3577" w:type="pct"/>
            <w:gridSpan w:val="12"/>
            <w:vAlign w:val="center"/>
          </w:tcPr>
          <w:p w14:paraId="5142751B">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水环境功能区或水功能区、近岸海域环境功能区水质达标状况□：达标 □；不达标□</w:t>
            </w:r>
          </w:p>
          <w:p w14:paraId="7D935E8D">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水环境控制单元或断面水质达标状况 □：达标 □；不达标 □</w:t>
            </w:r>
          </w:p>
          <w:p w14:paraId="199F4DF2">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水环境保护目标质量状况 □：达标 □；不达标 □</w:t>
            </w:r>
          </w:p>
          <w:p w14:paraId="0F7E072C">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对照断面、控制断面等代表性断面的水质状况 □：达标 □；不达标□</w:t>
            </w:r>
          </w:p>
          <w:p w14:paraId="70E5D6AF">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底泥污染评价 □</w:t>
            </w:r>
          </w:p>
          <w:p w14:paraId="3C69DE27">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水资源与开发利用程度及其水文情势评价 □</w:t>
            </w:r>
          </w:p>
          <w:p w14:paraId="447C4B45">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水环境质量回顾评价 □</w:t>
            </w:r>
          </w:p>
          <w:p w14:paraId="6F606C62">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流域（区域）水资源（包括水能资源）与开发利用总体状况、生态流量管理要求与现状满足程度、建设项目占用水域空间的水流状况与河湖演变状况 □</w:t>
            </w:r>
          </w:p>
        </w:tc>
        <w:tc>
          <w:tcPr>
            <w:tcW w:w="695" w:type="pct"/>
            <w:vAlign w:val="center"/>
          </w:tcPr>
          <w:p w14:paraId="612ACF08">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达标区□</w:t>
            </w:r>
          </w:p>
          <w:p w14:paraId="4255413E">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不达标区√</w:t>
            </w:r>
          </w:p>
        </w:tc>
      </w:tr>
      <w:tr w14:paraId="48664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restart"/>
            <w:vAlign w:val="center"/>
          </w:tcPr>
          <w:p w14:paraId="42D4E2A7">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影</w:t>
            </w:r>
          </w:p>
          <w:p w14:paraId="7C07F662">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响</w:t>
            </w:r>
          </w:p>
          <w:p w14:paraId="58840603">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预</w:t>
            </w:r>
          </w:p>
          <w:p w14:paraId="5BE77708">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测</w:t>
            </w:r>
          </w:p>
        </w:tc>
        <w:tc>
          <w:tcPr>
            <w:tcW w:w="496" w:type="pct"/>
            <w:vAlign w:val="center"/>
          </w:tcPr>
          <w:p w14:paraId="59CE54DB">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预测范围</w:t>
            </w:r>
          </w:p>
        </w:tc>
        <w:tc>
          <w:tcPr>
            <w:tcW w:w="4271" w:type="pct"/>
            <w:gridSpan w:val="13"/>
            <w:vAlign w:val="center"/>
          </w:tcPr>
          <w:p w14:paraId="5B9A456D">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河流：长度（ ）km；湖库、河口及近岸海域：面积（ ）km</w:t>
            </w:r>
            <w:r>
              <w:rPr>
                <w:rFonts w:ascii="Times New Roman" w:hAnsi="Times New Roman" w:cs="Times New Roman" w:eastAsiaTheme="minorEastAsia"/>
                <w:color w:val="000000" w:themeColor="text1"/>
                <w:w w:val="99"/>
                <w:sz w:val="18"/>
                <w:szCs w:val="18"/>
                <w:vertAlign w:val="superscript"/>
                <w:lang w:val="en-US" w:bidi="ar-SA"/>
                <w14:textFill>
                  <w14:solidFill>
                    <w14:schemeClr w14:val="tx1"/>
                  </w14:solidFill>
                </w14:textFill>
              </w:rPr>
              <w:t>2</w:t>
            </w:r>
          </w:p>
        </w:tc>
      </w:tr>
      <w:tr w14:paraId="28AD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continue"/>
            <w:vAlign w:val="center"/>
          </w:tcPr>
          <w:p w14:paraId="16D9ADD1">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496" w:type="pct"/>
            <w:vAlign w:val="center"/>
          </w:tcPr>
          <w:p w14:paraId="37EDF435">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预测因子</w:t>
            </w:r>
          </w:p>
        </w:tc>
        <w:tc>
          <w:tcPr>
            <w:tcW w:w="4271" w:type="pct"/>
            <w:gridSpan w:val="13"/>
            <w:vAlign w:val="center"/>
          </w:tcPr>
          <w:p w14:paraId="3EBE6175">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 ）</w:t>
            </w:r>
          </w:p>
        </w:tc>
      </w:tr>
      <w:tr w14:paraId="4AB2C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continue"/>
            <w:vAlign w:val="center"/>
          </w:tcPr>
          <w:p w14:paraId="2637369E">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496" w:type="pct"/>
            <w:vAlign w:val="center"/>
          </w:tcPr>
          <w:p w14:paraId="2F37222B">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预测时期</w:t>
            </w:r>
          </w:p>
        </w:tc>
        <w:tc>
          <w:tcPr>
            <w:tcW w:w="4271" w:type="pct"/>
            <w:gridSpan w:val="13"/>
            <w:vAlign w:val="center"/>
          </w:tcPr>
          <w:p w14:paraId="71268C22">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丰水期 □；平水期 □；枯水期 □；冰封期 □</w:t>
            </w:r>
          </w:p>
          <w:p w14:paraId="6EDADD40">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春季 □；夏季 □；秋季 □；冬季 □</w:t>
            </w:r>
          </w:p>
          <w:p w14:paraId="5D66C57A">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设计水文条件 □</w:t>
            </w:r>
          </w:p>
        </w:tc>
      </w:tr>
      <w:tr w14:paraId="15E05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continue"/>
            <w:vAlign w:val="center"/>
          </w:tcPr>
          <w:p w14:paraId="46DA632F">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496" w:type="pct"/>
            <w:vAlign w:val="center"/>
          </w:tcPr>
          <w:p w14:paraId="431BDEC3">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预测情景</w:t>
            </w:r>
          </w:p>
        </w:tc>
        <w:tc>
          <w:tcPr>
            <w:tcW w:w="4271" w:type="pct"/>
            <w:gridSpan w:val="13"/>
            <w:vAlign w:val="center"/>
          </w:tcPr>
          <w:p w14:paraId="1F3DACC5">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建设期 □；生产运行期 □；服务期满后 □</w:t>
            </w:r>
          </w:p>
          <w:p w14:paraId="1C19B173">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正常工况 □；非正常工况 □</w:t>
            </w:r>
          </w:p>
          <w:p w14:paraId="20B93EE1">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污染控制和减缓措施方案 □</w:t>
            </w:r>
          </w:p>
          <w:p w14:paraId="7DADF6C1">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区（流）域环境质量改善目标要求情景 □</w:t>
            </w:r>
          </w:p>
        </w:tc>
      </w:tr>
      <w:tr w14:paraId="7F5ED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continue"/>
            <w:vAlign w:val="center"/>
          </w:tcPr>
          <w:p w14:paraId="59E027F7">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496" w:type="pct"/>
            <w:vAlign w:val="center"/>
          </w:tcPr>
          <w:p w14:paraId="076A18AF">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预测方法</w:t>
            </w:r>
          </w:p>
        </w:tc>
        <w:tc>
          <w:tcPr>
            <w:tcW w:w="4271" w:type="pct"/>
            <w:gridSpan w:val="13"/>
            <w:vAlign w:val="center"/>
          </w:tcPr>
          <w:p w14:paraId="0C419EE9">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数值解 □：解析解 □；其他 □</w:t>
            </w:r>
          </w:p>
          <w:p w14:paraId="4C7A0000">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导则推荐模式 □：其他 □</w:t>
            </w:r>
          </w:p>
        </w:tc>
      </w:tr>
      <w:tr w14:paraId="05808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restart"/>
            <w:vAlign w:val="center"/>
          </w:tcPr>
          <w:p w14:paraId="73ACEC39">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影</w:t>
            </w:r>
          </w:p>
          <w:p w14:paraId="4BEF4D34">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响</w:t>
            </w:r>
          </w:p>
          <w:p w14:paraId="36719F87">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评</w:t>
            </w:r>
          </w:p>
          <w:p w14:paraId="4001DD80">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价</w:t>
            </w:r>
          </w:p>
        </w:tc>
        <w:tc>
          <w:tcPr>
            <w:tcW w:w="496" w:type="pct"/>
            <w:vAlign w:val="center"/>
          </w:tcPr>
          <w:p w14:paraId="229B6113">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水污染控制和水环境影响减缓措施有效性评价</w:t>
            </w:r>
          </w:p>
        </w:tc>
        <w:tc>
          <w:tcPr>
            <w:tcW w:w="4271" w:type="pct"/>
            <w:gridSpan w:val="13"/>
            <w:vAlign w:val="center"/>
          </w:tcPr>
          <w:p w14:paraId="3DE7ED1F">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区（流）域水环境质量改善目标 □；替代削减源 □</w:t>
            </w:r>
          </w:p>
        </w:tc>
      </w:tr>
      <w:tr w14:paraId="136F2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continue"/>
            <w:vAlign w:val="center"/>
          </w:tcPr>
          <w:p w14:paraId="2E1094E2">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496" w:type="pct"/>
            <w:vAlign w:val="center"/>
          </w:tcPr>
          <w:p w14:paraId="4D2C6337">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水环境影响评价</w:t>
            </w:r>
          </w:p>
        </w:tc>
        <w:tc>
          <w:tcPr>
            <w:tcW w:w="4271" w:type="pct"/>
            <w:gridSpan w:val="13"/>
            <w:vAlign w:val="center"/>
          </w:tcPr>
          <w:p w14:paraId="3AE708E7">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排放口混合区外满足水环境管理要求 □</w:t>
            </w:r>
          </w:p>
          <w:p w14:paraId="4C4D4A2D">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水环境功能区或水功能区、近岸海域环境功能区水质达标 □</w:t>
            </w:r>
          </w:p>
          <w:p w14:paraId="4C238C65">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满足水环境保护目标水域水环境质量要求 □</w:t>
            </w:r>
          </w:p>
          <w:p w14:paraId="0ACDD5B0">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水环境控制单元或断面水质达标 □</w:t>
            </w:r>
          </w:p>
          <w:p w14:paraId="158B6FFF">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满足重点水污染物排放总量控制指标要求，重点行业建设项目， 主要污染物排放满足等量或减量替代要求□</w:t>
            </w:r>
          </w:p>
          <w:p w14:paraId="21543FD0">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满足区（流）域水环境质量改善目标要求 □</w:t>
            </w:r>
          </w:p>
          <w:p w14:paraId="3820CE8D">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水文要素影响型建设项目同时应包括水文情势变化评价、主要水文特征值影响评价、生态流量符合性评价 □</w:t>
            </w:r>
          </w:p>
          <w:p w14:paraId="5DA0D5B5">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对于新设或调整入河（湖库、近岸海域）排放口的建设项目，应包括排放口设置的环境合理性评价 □</w:t>
            </w:r>
          </w:p>
          <w:p w14:paraId="7E335C76">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满足生态保护红线、水环境质量底线、资源利用上线和环境准入清单管理要求 □</w:t>
            </w:r>
          </w:p>
        </w:tc>
      </w:tr>
      <w:tr w14:paraId="4E09A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continue"/>
            <w:vAlign w:val="center"/>
          </w:tcPr>
          <w:p w14:paraId="2A513D90">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496" w:type="pct"/>
            <w:vMerge w:val="restart"/>
            <w:vAlign w:val="center"/>
          </w:tcPr>
          <w:p w14:paraId="09B37583">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污染源排放量核算</w:t>
            </w:r>
          </w:p>
        </w:tc>
        <w:tc>
          <w:tcPr>
            <w:tcW w:w="1414" w:type="pct"/>
            <w:gridSpan w:val="4"/>
            <w:vAlign w:val="center"/>
          </w:tcPr>
          <w:p w14:paraId="44AFDEE8">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污染物名称</w:t>
            </w:r>
          </w:p>
        </w:tc>
        <w:tc>
          <w:tcPr>
            <w:tcW w:w="1414" w:type="pct"/>
            <w:gridSpan w:val="5"/>
            <w:vAlign w:val="center"/>
          </w:tcPr>
          <w:p w14:paraId="2A074C97">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排放量/（t/a）</w:t>
            </w:r>
          </w:p>
        </w:tc>
        <w:tc>
          <w:tcPr>
            <w:tcW w:w="1443" w:type="pct"/>
            <w:gridSpan w:val="4"/>
            <w:vAlign w:val="center"/>
          </w:tcPr>
          <w:p w14:paraId="7511FC51">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排放浓度/（mg/L）</w:t>
            </w:r>
          </w:p>
        </w:tc>
      </w:tr>
      <w:tr w14:paraId="3FABB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continue"/>
            <w:vAlign w:val="center"/>
          </w:tcPr>
          <w:p w14:paraId="63C62F44">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496" w:type="pct"/>
            <w:vMerge w:val="continue"/>
            <w:vAlign w:val="center"/>
          </w:tcPr>
          <w:p w14:paraId="45103572">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1414" w:type="pct"/>
            <w:gridSpan w:val="4"/>
            <w:vAlign w:val="center"/>
          </w:tcPr>
          <w:p w14:paraId="19DF25EA">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 ）</w:t>
            </w:r>
          </w:p>
        </w:tc>
        <w:tc>
          <w:tcPr>
            <w:tcW w:w="1414" w:type="pct"/>
            <w:gridSpan w:val="5"/>
            <w:vAlign w:val="center"/>
          </w:tcPr>
          <w:p w14:paraId="20BE5122">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 ）</w:t>
            </w:r>
          </w:p>
        </w:tc>
        <w:tc>
          <w:tcPr>
            <w:tcW w:w="1443" w:type="pct"/>
            <w:gridSpan w:val="4"/>
            <w:vAlign w:val="center"/>
          </w:tcPr>
          <w:p w14:paraId="403B57FF">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 ）</w:t>
            </w:r>
          </w:p>
        </w:tc>
      </w:tr>
      <w:tr w14:paraId="213CE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continue"/>
            <w:vAlign w:val="center"/>
          </w:tcPr>
          <w:p w14:paraId="39E0C1D8">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496" w:type="pct"/>
            <w:vMerge w:val="restart"/>
            <w:vAlign w:val="center"/>
          </w:tcPr>
          <w:p w14:paraId="7E794C17">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替代源排放情况</w:t>
            </w:r>
          </w:p>
        </w:tc>
        <w:tc>
          <w:tcPr>
            <w:tcW w:w="749" w:type="pct"/>
            <w:vAlign w:val="center"/>
          </w:tcPr>
          <w:p w14:paraId="0E68F948">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污染源名称</w:t>
            </w:r>
          </w:p>
        </w:tc>
        <w:tc>
          <w:tcPr>
            <w:tcW w:w="832" w:type="pct"/>
            <w:gridSpan w:val="4"/>
            <w:vAlign w:val="center"/>
          </w:tcPr>
          <w:p w14:paraId="6C2FFA6C">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排污许可证编号</w:t>
            </w:r>
          </w:p>
        </w:tc>
        <w:tc>
          <w:tcPr>
            <w:tcW w:w="915" w:type="pct"/>
            <w:gridSpan w:val="2"/>
            <w:vAlign w:val="center"/>
          </w:tcPr>
          <w:p w14:paraId="07A6F514">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污染物名称</w:t>
            </w:r>
          </w:p>
        </w:tc>
        <w:tc>
          <w:tcPr>
            <w:tcW w:w="831" w:type="pct"/>
            <w:gridSpan w:val="4"/>
            <w:vAlign w:val="center"/>
          </w:tcPr>
          <w:p w14:paraId="2B14ACD9">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排放量/（t/a）</w:t>
            </w:r>
          </w:p>
        </w:tc>
        <w:tc>
          <w:tcPr>
            <w:tcW w:w="945" w:type="pct"/>
            <w:gridSpan w:val="2"/>
            <w:vAlign w:val="center"/>
          </w:tcPr>
          <w:p w14:paraId="5337DD98">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排放浓度/（mg/L）</w:t>
            </w:r>
          </w:p>
        </w:tc>
      </w:tr>
      <w:tr w14:paraId="231A6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continue"/>
            <w:vAlign w:val="center"/>
          </w:tcPr>
          <w:p w14:paraId="382E5BA8">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496" w:type="pct"/>
            <w:vMerge w:val="continue"/>
            <w:vAlign w:val="center"/>
          </w:tcPr>
          <w:p w14:paraId="657F18DE">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749" w:type="pct"/>
            <w:vAlign w:val="center"/>
          </w:tcPr>
          <w:p w14:paraId="57E9D882">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 xml:space="preserve">（ ）  </w:t>
            </w:r>
          </w:p>
        </w:tc>
        <w:tc>
          <w:tcPr>
            <w:tcW w:w="832" w:type="pct"/>
            <w:gridSpan w:val="4"/>
            <w:vAlign w:val="center"/>
          </w:tcPr>
          <w:p w14:paraId="4123E797">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 xml:space="preserve">（ ）  </w:t>
            </w:r>
          </w:p>
        </w:tc>
        <w:tc>
          <w:tcPr>
            <w:tcW w:w="915" w:type="pct"/>
            <w:gridSpan w:val="2"/>
            <w:vAlign w:val="center"/>
          </w:tcPr>
          <w:p w14:paraId="19786912">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 xml:space="preserve">（ ）  </w:t>
            </w:r>
          </w:p>
        </w:tc>
        <w:tc>
          <w:tcPr>
            <w:tcW w:w="831" w:type="pct"/>
            <w:gridSpan w:val="4"/>
            <w:vAlign w:val="center"/>
          </w:tcPr>
          <w:p w14:paraId="3B638984">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 xml:space="preserve">（ ）  </w:t>
            </w:r>
          </w:p>
        </w:tc>
        <w:tc>
          <w:tcPr>
            <w:tcW w:w="945" w:type="pct"/>
            <w:gridSpan w:val="2"/>
            <w:vAlign w:val="center"/>
          </w:tcPr>
          <w:p w14:paraId="749F6CB5">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 xml:space="preserve">（ ）  </w:t>
            </w:r>
          </w:p>
        </w:tc>
      </w:tr>
      <w:tr w14:paraId="40682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continue"/>
            <w:vAlign w:val="center"/>
          </w:tcPr>
          <w:p w14:paraId="460FCEB3">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496" w:type="pct"/>
            <w:vAlign w:val="center"/>
          </w:tcPr>
          <w:p w14:paraId="67797574">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生态流量确定</w:t>
            </w:r>
          </w:p>
        </w:tc>
        <w:tc>
          <w:tcPr>
            <w:tcW w:w="4271" w:type="pct"/>
            <w:gridSpan w:val="13"/>
            <w:vAlign w:val="center"/>
          </w:tcPr>
          <w:p w14:paraId="399BC778">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生态流量：一般水期（ ）m</w:t>
            </w:r>
            <w:r>
              <w:rPr>
                <w:rFonts w:ascii="Times New Roman" w:hAnsi="Times New Roman" w:cs="Times New Roman" w:eastAsiaTheme="minorEastAsia"/>
                <w:color w:val="000000" w:themeColor="text1"/>
                <w:w w:val="99"/>
                <w:sz w:val="18"/>
                <w:szCs w:val="18"/>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/s；鱼类繁殖期（ ）m</w:t>
            </w:r>
            <w:r>
              <w:rPr>
                <w:rFonts w:ascii="Times New Roman" w:hAnsi="Times New Roman" w:cs="Times New Roman" w:eastAsiaTheme="minorEastAsia"/>
                <w:color w:val="000000" w:themeColor="text1"/>
                <w:w w:val="99"/>
                <w:sz w:val="18"/>
                <w:szCs w:val="18"/>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/s；其他（ ）m</w:t>
            </w:r>
            <w:r>
              <w:rPr>
                <w:rFonts w:ascii="Times New Roman" w:hAnsi="Times New Roman" w:cs="Times New Roman" w:eastAsiaTheme="minorEastAsia"/>
                <w:color w:val="000000" w:themeColor="text1"/>
                <w:w w:val="99"/>
                <w:sz w:val="18"/>
                <w:szCs w:val="18"/>
                <w:vertAlign w:val="superscript"/>
                <w:lang w:val="en-US" w:bidi="ar-SA"/>
                <w14:textFill>
                  <w14:solidFill>
                    <w14:schemeClr w14:val="tx1"/>
                  </w14:solidFill>
                </w14:textFill>
              </w:rPr>
              <w:t>3</w:t>
            </w: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/s</w:t>
            </w:r>
          </w:p>
          <w:p w14:paraId="284028C0">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生态水位：一般水期（ ）m；鱼类繁殖期（ ）m；其他（ ）m</w:t>
            </w:r>
          </w:p>
        </w:tc>
      </w:tr>
      <w:tr w14:paraId="283C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restart"/>
            <w:vAlign w:val="center"/>
          </w:tcPr>
          <w:p w14:paraId="7678E0E3">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防</w:t>
            </w:r>
          </w:p>
          <w:p w14:paraId="16585C47">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治</w:t>
            </w:r>
          </w:p>
          <w:p w14:paraId="56D8D45A">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措</w:t>
            </w:r>
          </w:p>
          <w:p w14:paraId="57576240">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施</w:t>
            </w:r>
          </w:p>
        </w:tc>
        <w:tc>
          <w:tcPr>
            <w:tcW w:w="496" w:type="pct"/>
            <w:vAlign w:val="center"/>
          </w:tcPr>
          <w:p w14:paraId="4E611E1F">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环保措施</w:t>
            </w:r>
          </w:p>
        </w:tc>
        <w:tc>
          <w:tcPr>
            <w:tcW w:w="4271" w:type="pct"/>
            <w:gridSpan w:val="13"/>
            <w:vAlign w:val="center"/>
          </w:tcPr>
          <w:p w14:paraId="7ECD622D">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污水处理设施 □；水文减缓设施 □；生态流量保障设施 □；区域削减 □；依托其他工程措施 √；其他 □</w:t>
            </w:r>
          </w:p>
        </w:tc>
      </w:tr>
      <w:tr w14:paraId="32FF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continue"/>
            <w:vAlign w:val="center"/>
          </w:tcPr>
          <w:p w14:paraId="2C68FEA1">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496" w:type="pct"/>
            <w:vMerge w:val="restart"/>
            <w:vAlign w:val="center"/>
          </w:tcPr>
          <w:p w14:paraId="52FD2D12">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监测计划</w:t>
            </w:r>
          </w:p>
        </w:tc>
        <w:tc>
          <w:tcPr>
            <w:tcW w:w="1081" w:type="pct"/>
            <w:gridSpan w:val="2"/>
            <w:vAlign w:val="center"/>
          </w:tcPr>
          <w:p w14:paraId="55B6E96C">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1580" w:type="pct"/>
            <w:gridSpan w:val="6"/>
            <w:vAlign w:val="center"/>
          </w:tcPr>
          <w:p w14:paraId="6525C4ED">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环境质量</w:t>
            </w:r>
          </w:p>
        </w:tc>
        <w:tc>
          <w:tcPr>
            <w:tcW w:w="1610" w:type="pct"/>
            <w:gridSpan w:val="5"/>
            <w:vAlign w:val="center"/>
          </w:tcPr>
          <w:p w14:paraId="75009920">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污染源</w:t>
            </w:r>
          </w:p>
        </w:tc>
      </w:tr>
      <w:tr w14:paraId="3EB29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continue"/>
            <w:vAlign w:val="center"/>
          </w:tcPr>
          <w:p w14:paraId="0B7D07F8">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496" w:type="pct"/>
            <w:vMerge w:val="continue"/>
            <w:vAlign w:val="center"/>
          </w:tcPr>
          <w:p w14:paraId="56A7687E">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1081" w:type="pct"/>
            <w:gridSpan w:val="2"/>
            <w:vAlign w:val="center"/>
          </w:tcPr>
          <w:p w14:paraId="6F609AD6">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监测方式</w:t>
            </w:r>
          </w:p>
        </w:tc>
        <w:tc>
          <w:tcPr>
            <w:tcW w:w="1580" w:type="pct"/>
            <w:gridSpan w:val="6"/>
            <w:vAlign w:val="center"/>
          </w:tcPr>
          <w:p w14:paraId="6821079D">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手动 □；自动 □；无监测 √</w:t>
            </w:r>
          </w:p>
        </w:tc>
        <w:tc>
          <w:tcPr>
            <w:tcW w:w="1610" w:type="pct"/>
            <w:gridSpan w:val="5"/>
            <w:vAlign w:val="center"/>
          </w:tcPr>
          <w:p w14:paraId="562E063F">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手动 □；自动 □；无监测 √</w:t>
            </w:r>
          </w:p>
        </w:tc>
      </w:tr>
      <w:tr w14:paraId="1D12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continue"/>
            <w:vAlign w:val="center"/>
          </w:tcPr>
          <w:p w14:paraId="63F8B943">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496" w:type="pct"/>
            <w:vMerge w:val="continue"/>
            <w:vAlign w:val="center"/>
          </w:tcPr>
          <w:p w14:paraId="57E81E59">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1081" w:type="pct"/>
            <w:gridSpan w:val="2"/>
            <w:vAlign w:val="center"/>
          </w:tcPr>
          <w:p w14:paraId="7EE12275">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监测点位</w:t>
            </w:r>
          </w:p>
        </w:tc>
        <w:tc>
          <w:tcPr>
            <w:tcW w:w="1580" w:type="pct"/>
            <w:gridSpan w:val="6"/>
            <w:vAlign w:val="center"/>
          </w:tcPr>
          <w:p w14:paraId="1DF3D273">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 xml:space="preserve">（ ）  </w:t>
            </w:r>
          </w:p>
        </w:tc>
        <w:tc>
          <w:tcPr>
            <w:tcW w:w="1610" w:type="pct"/>
            <w:gridSpan w:val="5"/>
            <w:vAlign w:val="center"/>
          </w:tcPr>
          <w:p w14:paraId="2DDD47A4">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 xml:space="preserve">（ ）  </w:t>
            </w:r>
          </w:p>
        </w:tc>
      </w:tr>
      <w:tr w14:paraId="37085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continue"/>
            <w:vAlign w:val="center"/>
          </w:tcPr>
          <w:p w14:paraId="5D19E8EA">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496" w:type="pct"/>
            <w:vMerge w:val="continue"/>
            <w:vAlign w:val="center"/>
          </w:tcPr>
          <w:p w14:paraId="460948CD">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1081" w:type="pct"/>
            <w:gridSpan w:val="2"/>
            <w:vAlign w:val="center"/>
          </w:tcPr>
          <w:p w14:paraId="6D3ABA9C">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监测因子</w:t>
            </w:r>
          </w:p>
        </w:tc>
        <w:tc>
          <w:tcPr>
            <w:tcW w:w="1580" w:type="pct"/>
            <w:gridSpan w:val="6"/>
            <w:vAlign w:val="center"/>
          </w:tcPr>
          <w:p w14:paraId="0115E039">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 xml:space="preserve">（ ）  </w:t>
            </w:r>
          </w:p>
        </w:tc>
        <w:tc>
          <w:tcPr>
            <w:tcW w:w="1610" w:type="pct"/>
            <w:gridSpan w:val="5"/>
            <w:vAlign w:val="center"/>
          </w:tcPr>
          <w:p w14:paraId="3F478D66">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 xml:space="preserve">（ ）  </w:t>
            </w:r>
          </w:p>
        </w:tc>
      </w:tr>
      <w:tr w14:paraId="1CE7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2" w:type="pct"/>
            <w:vMerge w:val="continue"/>
            <w:vAlign w:val="center"/>
          </w:tcPr>
          <w:p w14:paraId="574CD6BB">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p>
        </w:tc>
        <w:tc>
          <w:tcPr>
            <w:tcW w:w="496" w:type="pct"/>
            <w:vAlign w:val="center"/>
          </w:tcPr>
          <w:p w14:paraId="39D6A950">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污染物排放清单</w:t>
            </w:r>
          </w:p>
        </w:tc>
        <w:tc>
          <w:tcPr>
            <w:tcW w:w="4271" w:type="pct"/>
            <w:gridSpan w:val="13"/>
            <w:vAlign w:val="center"/>
          </w:tcPr>
          <w:p w14:paraId="7B2A32AF">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w:t>
            </w:r>
          </w:p>
        </w:tc>
      </w:tr>
      <w:tr w14:paraId="03481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gridSpan w:val="2"/>
            <w:vAlign w:val="center"/>
          </w:tcPr>
          <w:p w14:paraId="70BB3FC4">
            <w:pPr>
              <w:autoSpaceDE/>
              <w:autoSpaceDN/>
              <w:spacing w:line="220" w:lineRule="atLeast"/>
              <w:jc w:val="center"/>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评价结论</w:t>
            </w:r>
          </w:p>
        </w:tc>
        <w:tc>
          <w:tcPr>
            <w:tcW w:w="4271" w:type="pct"/>
            <w:gridSpan w:val="13"/>
            <w:vAlign w:val="center"/>
          </w:tcPr>
          <w:p w14:paraId="5A8A360A">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可以接受 √；不可以接受 □</w:t>
            </w:r>
          </w:p>
        </w:tc>
      </w:tr>
      <w:tr w14:paraId="76D6E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5"/>
            <w:vAlign w:val="center"/>
          </w:tcPr>
          <w:p w14:paraId="7FA4F84F">
            <w:pPr>
              <w:autoSpaceDE/>
              <w:autoSpaceDN/>
              <w:spacing w:line="220" w:lineRule="atLeast"/>
              <w:jc w:val="both"/>
              <w:rPr>
                <w:rFonts w:ascii="Times New Roman" w:hAnsi="Times New Roman" w:cs="Times New Roman" w:eastAsiaTheme="minorEastAsia"/>
                <w:color w:val="000000" w:themeColor="text1"/>
                <w:w w:val="99"/>
                <w:sz w:val="18"/>
                <w:szCs w:val="18"/>
                <w:lang w:val="en-US" w:bidi="ar-SA"/>
                <w14:textFill>
                  <w14:solidFill>
                    <w14:schemeClr w14:val="tx1"/>
                  </w14:solidFill>
                </w14:textFill>
              </w:rPr>
            </w:pPr>
            <w:r>
              <w:rPr>
                <w:rFonts w:ascii="Times New Roman" w:hAnsi="Times New Roman" w:cs="Times New Roman" w:eastAsiaTheme="minorEastAsia"/>
                <w:color w:val="000000" w:themeColor="text1"/>
                <w:w w:val="99"/>
                <w:sz w:val="18"/>
                <w:szCs w:val="18"/>
                <w:lang w:val="en-US" w:bidi="ar-SA"/>
                <w14:textFill>
                  <w14:solidFill>
                    <w14:schemeClr w14:val="tx1"/>
                  </w14:solidFill>
                </w14:textFill>
              </w:rPr>
              <w:t>注：“□”为勾选项，可√；“（ ）”为内容填写项；“备注”为其他补充内容。</w:t>
            </w:r>
          </w:p>
        </w:tc>
      </w:tr>
    </w:tbl>
    <w:p w14:paraId="2DDA4521">
      <w:pPr>
        <w:autoSpaceDE/>
        <w:autoSpaceDN/>
        <w:adjustRightInd w:val="0"/>
        <w:snapToGrid w:val="0"/>
        <w:spacing w:line="360" w:lineRule="auto"/>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p>
    <w:p w14:paraId="299AD6D6">
      <w:pPr>
        <w:widowControl/>
        <w:autoSpaceDE/>
        <w:autoSpaceDN/>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p>
    <w:p w14:paraId="34308D09">
      <w:pPr>
        <w:autoSpaceDE/>
        <w:autoSpaceDN/>
        <w:adjustRightInd w:val="0"/>
        <w:snapToGrid w:val="0"/>
        <w:spacing w:line="360" w:lineRule="auto"/>
        <w:jc w:val="center"/>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p>
    <w:p w14:paraId="41B9B638">
      <w:pPr>
        <w:pStyle w:val="101"/>
        <w:spacing w:before="120" w:after="48"/>
        <w:rPr>
          <w:rFonts w:ascii="Times New Roman" w:cs="Times New Roman" w:eastAsiaTheme="minorEastAsia"/>
          <w:color w:val="000000" w:themeColor="text1"/>
          <w:w w:val="99"/>
          <w14:textFill>
            <w14:solidFill>
              <w14:schemeClr w14:val="tx1"/>
            </w14:solidFill>
          </w14:textFill>
        </w:rPr>
      </w:pPr>
    </w:p>
    <w:p w14:paraId="459F5C13">
      <w:pPr>
        <w:autoSpaceDE/>
        <w:autoSpaceDN/>
        <w:adjustRightInd w:val="0"/>
        <w:snapToGrid w:val="0"/>
        <w:jc w:val="both"/>
        <w:outlineLvl w:val="0"/>
        <w:rPr>
          <w:rFonts w:ascii="Times New Roman" w:hAnsi="Times New Roman" w:cs="Times New Roman" w:eastAsiaTheme="minorEastAsia"/>
          <w:b/>
          <w:color w:val="000000" w:themeColor="text1"/>
          <w:w w:val="99"/>
          <w:kern w:val="21"/>
          <w:sz w:val="24"/>
          <w:szCs w:val="24"/>
          <w:lang w:val="en-US" w:bidi="ar-SA"/>
          <w14:textFill>
            <w14:solidFill>
              <w14:schemeClr w14:val="tx1"/>
            </w14:solidFill>
          </w14:textFill>
        </w:rPr>
      </w:pPr>
      <w:bookmarkStart w:id="617" w:name="_Toc106810445"/>
      <w:bookmarkStart w:id="618" w:name="_Toc117794694"/>
      <w:r>
        <w:rPr>
          <w:rFonts w:ascii="Times New Roman" w:hAnsi="Times New Roman" w:cs="Times New Roman" w:eastAsiaTheme="minorEastAsia"/>
          <w:b/>
          <w:color w:val="000000" w:themeColor="text1"/>
          <w:w w:val="99"/>
          <w:kern w:val="21"/>
          <w:sz w:val="24"/>
          <w:szCs w:val="24"/>
          <w:lang w:val="en-US" w:bidi="ar-SA"/>
          <w14:textFill>
            <w14:solidFill>
              <w14:schemeClr w14:val="tx1"/>
            </w14:solidFill>
          </w14:textFill>
        </w:rPr>
        <w:t>附表5    生态影响评价自查表</w:t>
      </w:r>
      <w:bookmarkEnd w:id="617"/>
      <w:bookmarkEnd w:id="618"/>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701"/>
        <w:gridCol w:w="6230"/>
      </w:tblGrid>
      <w:tr w14:paraId="6809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30" w:type="dxa"/>
            <w:gridSpan w:val="2"/>
            <w:vAlign w:val="center"/>
          </w:tcPr>
          <w:p w14:paraId="0D9C1B86">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工作内容</w:t>
            </w:r>
          </w:p>
        </w:tc>
        <w:tc>
          <w:tcPr>
            <w:tcW w:w="6230" w:type="dxa"/>
            <w:vAlign w:val="center"/>
          </w:tcPr>
          <w:p w14:paraId="38D89642">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自查项目</w:t>
            </w:r>
          </w:p>
        </w:tc>
      </w:tr>
      <w:tr w14:paraId="0D462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restart"/>
            <w:vAlign w:val="center"/>
          </w:tcPr>
          <w:p w14:paraId="4306CC98">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生态影响识别</w:t>
            </w:r>
          </w:p>
        </w:tc>
        <w:tc>
          <w:tcPr>
            <w:tcW w:w="1701" w:type="dxa"/>
            <w:vAlign w:val="center"/>
          </w:tcPr>
          <w:p w14:paraId="76E3ACF2">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生态保护目标</w:t>
            </w:r>
          </w:p>
        </w:tc>
        <w:tc>
          <w:tcPr>
            <w:tcW w:w="6230" w:type="dxa"/>
            <w:vAlign w:val="center"/>
          </w:tcPr>
          <w:p w14:paraId="176EB5EE">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重要物种□；国家公园□；自然保护区□；自然公园□；世界自然遗产□；生态保护红线□；重要生境□；其他具有重要生态功能、对保护生物多样性具有重要意义的区域□；其他</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p>
        </w:tc>
      </w:tr>
      <w:tr w14:paraId="26AB2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continue"/>
            <w:vAlign w:val="center"/>
          </w:tcPr>
          <w:p w14:paraId="569C292B">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701" w:type="dxa"/>
            <w:vAlign w:val="center"/>
          </w:tcPr>
          <w:p w14:paraId="3FE43A80">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影响方式</w:t>
            </w:r>
          </w:p>
        </w:tc>
        <w:tc>
          <w:tcPr>
            <w:tcW w:w="6230" w:type="dxa"/>
            <w:vAlign w:val="center"/>
          </w:tcPr>
          <w:p w14:paraId="31A51F36">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工程占用</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；施工活动干扰</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；改变环境条件□；其他□</w:t>
            </w:r>
          </w:p>
        </w:tc>
      </w:tr>
      <w:tr w14:paraId="2F08B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continue"/>
            <w:vAlign w:val="center"/>
          </w:tcPr>
          <w:p w14:paraId="0EB25914">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701" w:type="dxa"/>
            <w:vAlign w:val="center"/>
          </w:tcPr>
          <w:p w14:paraId="6B10147A">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评价因子</w:t>
            </w:r>
          </w:p>
        </w:tc>
        <w:tc>
          <w:tcPr>
            <w:tcW w:w="6230" w:type="dxa"/>
            <w:vAlign w:val="center"/>
          </w:tcPr>
          <w:p w14:paraId="62EE7FB5">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物种</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（分布范围、种群数量、种群结构）</w:t>
            </w:r>
          </w:p>
          <w:p w14:paraId="72A63877">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生境□（ ）</w:t>
            </w:r>
          </w:p>
          <w:p w14:paraId="6DD114C7">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生物群落</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（物种组成、群落结构）</w:t>
            </w:r>
          </w:p>
          <w:p w14:paraId="091717B3">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生态系统</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（植被覆盖度、生产力、生物量、生态系统功能）</w:t>
            </w:r>
          </w:p>
          <w:p w14:paraId="55F4D5D0">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生物多样性□（ ）</w:t>
            </w:r>
          </w:p>
          <w:p w14:paraId="2CBB77B6">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生态敏感区□（ ）</w:t>
            </w:r>
          </w:p>
          <w:p w14:paraId="2EEC5138">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自然景观□（ ）</w:t>
            </w:r>
          </w:p>
          <w:p w14:paraId="3AF48B7D">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自然遗迹□（ ）</w:t>
            </w:r>
          </w:p>
          <w:p w14:paraId="52981273">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其他□（ ）</w:t>
            </w:r>
          </w:p>
        </w:tc>
      </w:tr>
      <w:tr w14:paraId="478E6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30" w:type="dxa"/>
            <w:gridSpan w:val="2"/>
            <w:vAlign w:val="center"/>
          </w:tcPr>
          <w:p w14:paraId="7B55C5BF">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评价等级</w:t>
            </w:r>
          </w:p>
        </w:tc>
        <w:tc>
          <w:tcPr>
            <w:tcW w:w="6230" w:type="dxa"/>
            <w:vAlign w:val="center"/>
          </w:tcPr>
          <w:p w14:paraId="24901BFC">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一级□ 二级□ 三级</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 生态影响简单分析□</w:t>
            </w:r>
          </w:p>
        </w:tc>
      </w:tr>
      <w:tr w14:paraId="65316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30" w:type="dxa"/>
            <w:gridSpan w:val="2"/>
            <w:vAlign w:val="center"/>
          </w:tcPr>
          <w:p w14:paraId="3CEF6E80">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评价范围</w:t>
            </w:r>
          </w:p>
        </w:tc>
        <w:tc>
          <w:tcPr>
            <w:tcW w:w="6230" w:type="dxa"/>
            <w:vAlign w:val="center"/>
          </w:tcPr>
          <w:p w14:paraId="486EFECA">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陆域面积：（）km</w:t>
            </w:r>
            <w:r>
              <w:rPr>
                <w:rFonts w:ascii="Times New Roman" w:hAnsi="Times New Roman" w:cs="Times New Roman" w:eastAsiaTheme="minorEastAsia"/>
                <w:color w:val="000000" w:themeColor="text1"/>
                <w:w w:val="99"/>
                <w:sz w:val="21"/>
                <w:szCs w:val="21"/>
                <w:vertAlign w:val="superscript"/>
                <w:lang w:val="en-US" w:bidi="ar-SA"/>
                <w14:textFill>
                  <w14:solidFill>
                    <w14:schemeClr w14:val="tx1"/>
                  </w14:solidFill>
                </w14:textFill>
              </w:rPr>
              <w:t>2</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；水域面积：（ ）km</w:t>
            </w:r>
            <w:r>
              <w:rPr>
                <w:rFonts w:ascii="Times New Roman" w:hAnsi="Times New Roman" w:cs="Times New Roman" w:eastAsiaTheme="minorEastAsia"/>
                <w:color w:val="000000" w:themeColor="text1"/>
                <w:w w:val="99"/>
                <w:sz w:val="21"/>
                <w:szCs w:val="21"/>
                <w:vertAlign w:val="superscript"/>
                <w:lang w:val="en-US" w:bidi="ar-SA"/>
                <w14:textFill>
                  <w14:solidFill>
                    <w14:schemeClr w14:val="tx1"/>
                  </w14:solidFill>
                </w14:textFill>
              </w:rPr>
              <w:t>2</w:t>
            </w:r>
          </w:p>
        </w:tc>
      </w:tr>
      <w:tr w14:paraId="176C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restart"/>
            <w:vAlign w:val="center"/>
          </w:tcPr>
          <w:p w14:paraId="4C4B10A6">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生态现状调查与评价</w:t>
            </w:r>
          </w:p>
        </w:tc>
        <w:tc>
          <w:tcPr>
            <w:tcW w:w="1701" w:type="dxa"/>
            <w:vAlign w:val="center"/>
          </w:tcPr>
          <w:p w14:paraId="408B0C84">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调查方法</w:t>
            </w:r>
          </w:p>
        </w:tc>
        <w:tc>
          <w:tcPr>
            <w:tcW w:w="6230" w:type="dxa"/>
            <w:vAlign w:val="center"/>
          </w:tcPr>
          <w:p w14:paraId="316C00F1">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资料收集</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；遥感调查□；调查样方、样线□；调查点位、断面□；专家和公众咨询法□；其他□</w:t>
            </w:r>
          </w:p>
        </w:tc>
      </w:tr>
      <w:tr w14:paraId="0D724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continue"/>
            <w:vAlign w:val="center"/>
          </w:tcPr>
          <w:p w14:paraId="47000FAB">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701" w:type="dxa"/>
            <w:vAlign w:val="center"/>
          </w:tcPr>
          <w:p w14:paraId="6865F114">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调查时间</w:t>
            </w:r>
          </w:p>
        </w:tc>
        <w:tc>
          <w:tcPr>
            <w:tcW w:w="6230" w:type="dxa"/>
            <w:vAlign w:val="center"/>
          </w:tcPr>
          <w:p w14:paraId="29DE83EE">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春季</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t>□</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；夏季□；秋季</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；冬季□</w:t>
            </w:r>
          </w:p>
          <w:p w14:paraId="5877F802">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丰水期□；枯水期□；平水期□</w:t>
            </w:r>
          </w:p>
        </w:tc>
      </w:tr>
      <w:tr w14:paraId="5FCD8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continue"/>
            <w:vAlign w:val="center"/>
          </w:tcPr>
          <w:p w14:paraId="743002D3">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701" w:type="dxa"/>
            <w:vAlign w:val="center"/>
          </w:tcPr>
          <w:p w14:paraId="70E95C99">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所在区域的生态问题</w:t>
            </w:r>
          </w:p>
        </w:tc>
        <w:tc>
          <w:tcPr>
            <w:tcW w:w="6230" w:type="dxa"/>
            <w:vAlign w:val="center"/>
          </w:tcPr>
          <w:p w14:paraId="439254D7">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水土流失</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；沙漠化□；石漠化□；盐渍化□；生物入侵□；污染危害□；其他□</w:t>
            </w:r>
          </w:p>
        </w:tc>
      </w:tr>
      <w:tr w14:paraId="51AD2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continue"/>
            <w:vAlign w:val="center"/>
          </w:tcPr>
          <w:p w14:paraId="6BD903C6">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701" w:type="dxa"/>
            <w:vAlign w:val="center"/>
          </w:tcPr>
          <w:p w14:paraId="7F72C108">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评价内容</w:t>
            </w:r>
          </w:p>
        </w:tc>
        <w:tc>
          <w:tcPr>
            <w:tcW w:w="6230" w:type="dxa"/>
            <w:vAlign w:val="center"/>
          </w:tcPr>
          <w:p w14:paraId="706444B8">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植被/植物群落</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；土地利用</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；生态系统</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；生物多样性</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；重要物种□；生态敏感区□；其他□</w:t>
            </w:r>
          </w:p>
        </w:tc>
      </w:tr>
      <w:tr w14:paraId="3151D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restart"/>
            <w:vAlign w:val="center"/>
          </w:tcPr>
          <w:p w14:paraId="7AD41F6B">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生态影响预测与评价</w:t>
            </w:r>
          </w:p>
        </w:tc>
        <w:tc>
          <w:tcPr>
            <w:tcW w:w="1701" w:type="dxa"/>
            <w:vAlign w:val="center"/>
          </w:tcPr>
          <w:p w14:paraId="36C65717">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评价方法</w:t>
            </w:r>
          </w:p>
        </w:tc>
        <w:tc>
          <w:tcPr>
            <w:tcW w:w="6230" w:type="dxa"/>
            <w:vAlign w:val="center"/>
          </w:tcPr>
          <w:p w14:paraId="7207D3B6">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定性</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；定性和定量□</w:t>
            </w:r>
          </w:p>
        </w:tc>
      </w:tr>
      <w:tr w14:paraId="112E6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continue"/>
            <w:vAlign w:val="center"/>
          </w:tcPr>
          <w:p w14:paraId="2C8371B6">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701" w:type="dxa"/>
            <w:vAlign w:val="center"/>
          </w:tcPr>
          <w:p w14:paraId="49AE1A99">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评价内容</w:t>
            </w:r>
          </w:p>
        </w:tc>
        <w:tc>
          <w:tcPr>
            <w:tcW w:w="6230" w:type="dxa"/>
            <w:vAlign w:val="center"/>
          </w:tcPr>
          <w:p w14:paraId="373F445D">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植被/植物群落</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；土地利用</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；生态系统</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；生物多样性</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；重要物种□；生态敏感区□；生物入侵风险□；其他□</w:t>
            </w:r>
          </w:p>
        </w:tc>
      </w:tr>
      <w:tr w14:paraId="2EC99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restart"/>
            <w:vAlign w:val="center"/>
          </w:tcPr>
          <w:p w14:paraId="3B99C2B5">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生态保护对策措施</w:t>
            </w:r>
          </w:p>
        </w:tc>
        <w:tc>
          <w:tcPr>
            <w:tcW w:w="1701" w:type="dxa"/>
            <w:vAlign w:val="center"/>
          </w:tcPr>
          <w:p w14:paraId="14CF7851">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对策措施</w:t>
            </w:r>
          </w:p>
        </w:tc>
        <w:tc>
          <w:tcPr>
            <w:tcW w:w="6230" w:type="dxa"/>
            <w:vAlign w:val="center"/>
          </w:tcPr>
          <w:p w14:paraId="764777BD">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避让□；减缓</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；生态修复</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；生态补偿</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；科研□；其他□</w:t>
            </w:r>
          </w:p>
        </w:tc>
      </w:tr>
      <w:tr w14:paraId="3A141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continue"/>
            <w:vAlign w:val="center"/>
          </w:tcPr>
          <w:p w14:paraId="0698FA59">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701" w:type="dxa"/>
            <w:vAlign w:val="center"/>
          </w:tcPr>
          <w:p w14:paraId="35C8D60A">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生态监测计划</w:t>
            </w:r>
          </w:p>
        </w:tc>
        <w:tc>
          <w:tcPr>
            <w:tcW w:w="6230" w:type="dxa"/>
            <w:vAlign w:val="center"/>
          </w:tcPr>
          <w:p w14:paraId="74C80FD4">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全生命周期</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；长期跟踪□；常规□；无□</w:t>
            </w:r>
          </w:p>
        </w:tc>
      </w:tr>
      <w:tr w14:paraId="4055E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Merge w:val="continue"/>
            <w:vAlign w:val="center"/>
          </w:tcPr>
          <w:p w14:paraId="307C1F08">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701" w:type="dxa"/>
            <w:vAlign w:val="center"/>
          </w:tcPr>
          <w:p w14:paraId="24BF4449">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环境管理</w:t>
            </w:r>
          </w:p>
        </w:tc>
        <w:tc>
          <w:tcPr>
            <w:tcW w:w="6230" w:type="dxa"/>
            <w:vAlign w:val="center"/>
          </w:tcPr>
          <w:p w14:paraId="58AB57D8">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环境监理</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；环境影响后评价□；其他□</w:t>
            </w:r>
          </w:p>
        </w:tc>
      </w:tr>
      <w:tr w14:paraId="46212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9" w:type="dxa"/>
            <w:vAlign w:val="center"/>
          </w:tcPr>
          <w:p w14:paraId="3A08134F">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评价结论</w:t>
            </w:r>
          </w:p>
        </w:tc>
        <w:tc>
          <w:tcPr>
            <w:tcW w:w="1701" w:type="dxa"/>
            <w:vAlign w:val="center"/>
          </w:tcPr>
          <w:p w14:paraId="62D98B2C">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生态影响</w:t>
            </w:r>
          </w:p>
        </w:tc>
        <w:tc>
          <w:tcPr>
            <w:tcW w:w="6230" w:type="dxa"/>
            <w:vAlign w:val="center"/>
          </w:tcPr>
          <w:p w14:paraId="4EBD1025">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可行</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；不可行□</w:t>
            </w:r>
          </w:p>
        </w:tc>
      </w:tr>
      <w:tr w14:paraId="4086B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60" w:type="dxa"/>
            <w:gridSpan w:val="3"/>
            <w:vAlign w:val="center"/>
          </w:tcPr>
          <w:p w14:paraId="015F4FD8">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注： “□” 为勾选项 ，可√ ；“（ ）” 为内容填写项。</w:t>
            </w:r>
          </w:p>
        </w:tc>
      </w:tr>
    </w:tbl>
    <w:p w14:paraId="0BF97834">
      <w:pPr>
        <w:widowControl/>
        <w:autoSpaceDE/>
        <w:autoSpaceDN/>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p>
    <w:p w14:paraId="7C8526B3">
      <w:pPr>
        <w:autoSpaceDE/>
        <w:autoSpaceDN/>
        <w:adjustRightInd w:val="0"/>
        <w:snapToGrid w:val="0"/>
        <w:spacing w:line="360" w:lineRule="auto"/>
        <w:jc w:val="center"/>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p>
    <w:p w14:paraId="1B2A89A1">
      <w:pPr>
        <w:widowControl/>
        <w:autoSpaceDE/>
        <w:autoSpaceDN/>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p>
    <w:p w14:paraId="49EEAED8">
      <w:pPr>
        <w:autoSpaceDE/>
        <w:autoSpaceDN/>
        <w:adjustRightInd w:val="0"/>
        <w:snapToGrid w:val="0"/>
        <w:spacing w:line="360" w:lineRule="auto"/>
        <w:jc w:val="center"/>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p>
    <w:p w14:paraId="64B667A3">
      <w:pPr>
        <w:widowControl/>
        <w:autoSpaceDE/>
        <w:autoSpaceDN/>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p>
    <w:p w14:paraId="44B2C9E2">
      <w:pPr>
        <w:autoSpaceDE/>
        <w:autoSpaceDN/>
        <w:adjustRightInd w:val="0"/>
        <w:snapToGrid w:val="0"/>
        <w:spacing w:line="360" w:lineRule="auto"/>
        <w:jc w:val="center"/>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p>
    <w:p w14:paraId="19F7ABA3">
      <w:pPr>
        <w:widowControl/>
        <w:autoSpaceDE/>
        <w:autoSpaceDN/>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p>
    <w:p w14:paraId="10D94EEC">
      <w:pPr>
        <w:pStyle w:val="101"/>
        <w:spacing w:before="120" w:after="48"/>
        <w:rPr>
          <w:color w:val="000000" w:themeColor="text1"/>
          <w14:textFill>
            <w14:solidFill>
              <w14:schemeClr w14:val="tx1"/>
            </w14:solidFill>
          </w14:textFill>
        </w:rPr>
      </w:pPr>
    </w:p>
    <w:p w14:paraId="4D803919">
      <w:pPr>
        <w:autoSpaceDE/>
        <w:autoSpaceDN/>
        <w:adjustRightInd w:val="0"/>
        <w:snapToGrid w:val="0"/>
        <w:spacing w:line="360" w:lineRule="auto"/>
        <w:jc w:val="center"/>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p>
    <w:p w14:paraId="4B1B465A">
      <w:pPr>
        <w:autoSpaceDE/>
        <w:autoSpaceDN/>
        <w:adjustRightInd w:val="0"/>
        <w:snapToGrid w:val="0"/>
        <w:jc w:val="both"/>
        <w:outlineLvl w:val="0"/>
        <w:rPr>
          <w:rFonts w:ascii="Times New Roman" w:hAnsi="Times New Roman" w:cs="Times New Roman" w:eastAsiaTheme="minorEastAsia"/>
          <w:b/>
          <w:color w:val="000000" w:themeColor="text1"/>
          <w:w w:val="99"/>
          <w:kern w:val="21"/>
          <w:sz w:val="24"/>
          <w:szCs w:val="24"/>
          <w:lang w:val="en-US" w:bidi="ar-SA"/>
          <w14:textFill>
            <w14:solidFill>
              <w14:schemeClr w14:val="tx1"/>
            </w14:solidFill>
          </w14:textFill>
        </w:rPr>
      </w:pPr>
      <w:bookmarkStart w:id="619" w:name="_Toc117794695"/>
      <w:bookmarkStart w:id="620" w:name="_Toc106810446"/>
      <w:r>
        <w:rPr>
          <w:rFonts w:ascii="Times New Roman" w:hAnsi="Times New Roman" w:cs="Times New Roman" w:eastAsiaTheme="minorEastAsia"/>
          <w:b/>
          <w:color w:val="000000" w:themeColor="text1"/>
          <w:w w:val="99"/>
          <w:kern w:val="21"/>
          <w:sz w:val="24"/>
          <w:szCs w:val="24"/>
          <w:lang w:val="en-US" w:bidi="ar-SA"/>
          <w14:textFill>
            <w14:solidFill>
              <w14:schemeClr w14:val="tx1"/>
            </w14:solidFill>
          </w14:textFill>
        </w:rPr>
        <w:t>附表6    声环境影响评价自查表</w:t>
      </w:r>
      <w:bookmarkEnd w:id="619"/>
      <w:bookmarkEnd w:id="620"/>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1132"/>
        <w:gridCol w:w="1132"/>
        <w:gridCol w:w="568"/>
        <w:gridCol w:w="284"/>
        <w:gridCol w:w="280"/>
        <w:gridCol w:w="1133"/>
        <w:gridCol w:w="1133"/>
        <w:gridCol w:w="572"/>
        <w:gridCol w:w="561"/>
        <w:gridCol w:w="1133"/>
      </w:tblGrid>
      <w:tr w14:paraId="1EFE7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4" w:type="dxa"/>
            <w:gridSpan w:val="2"/>
            <w:vAlign w:val="center"/>
          </w:tcPr>
          <w:p w14:paraId="7066D577">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工作内容</w:t>
            </w:r>
          </w:p>
        </w:tc>
        <w:tc>
          <w:tcPr>
            <w:tcW w:w="6796" w:type="dxa"/>
            <w:gridSpan w:val="9"/>
            <w:vAlign w:val="center"/>
          </w:tcPr>
          <w:p w14:paraId="34183037">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自查项目</w:t>
            </w:r>
          </w:p>
        </w:tc>
      </w:tr>
      <w:tr w14:paraId="150A2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Merge w:val="restart"/>
            <w:vAlign w:val="center"/>
          </w:tcPr>
          <w:p w14:paraId="2403E81A">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评价等级与范围</w:t>
            </w:r>
          </w:p>
        </w:tc>
        <w:tc>
          <w:tcPr>
            <w:tcW w:w="1132" w:type="dxa"/>
            <w:vAlign w:val="center"/>
          </w:tcPr>
          <w:p w14:paraId="44EC02F0">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评价等级</w:t>
            </w:r>
          </w:p>
        </w:tc>
        <w:tc>
          <w:tcPr>
            <w:tcW w:w="6796" w:type="dxa"/>
            <w:gridSpan w:val="9"/>
            <w:vAlign w:val="center"/>
          </w:tcPr>
          <w:p w14:paraId="2D3994B2">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一级□ 二级</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 三级□</w:t>
            </w:r>
          </w:p>
        </w:tc>
      </w:tr>
      <w:tr w14:paraId="3F048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Merge w:val="continue"/>
            <w:vAlign w:val="center"/>
          </w:tcPr>
          <w:p w14:paraId="425B3C44">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132" w:type="dxa"/>
            <w:vAlign w:val="center"/>
          </w:tcPr>
          <w:p w14:paraId="4123D4E5">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评价范围</w:t>
            </w:r>
          </w:p>
        </w:tc>
        <w:tc>
          <w:tcPr>
            <w:tcW w:w="6796" w:type="dxa"/>
            <w:gridSpan w:val="9"/>
            <w:vAlign w:val="center"/>
          </w:tcPr>
          <w:p w14:paraId="16AB2704">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200 m</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 大于 200 m□ 小于 200 m□</w:t>
            </w:r>
          </w:p>
        </w:tc>
      </w:tr>
      <w:tr w14:paraId="4D126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Align w:val="center"/>
          </w:tcPr>
          <w:p w14:paraId="2B7F1FDB">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评价因子</w:t>
            </w:r>
          </w:p>
        </w:tc>
        <w:tc>
          <w:tcPr>
            <w:tcW w:w="1132" w:type="dxa"/>
            <w:vAlign w:val="center"/>
          </w:tcPr>
          <w:p w14:paraId="46F5E10F">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评价因子</w:t>
            </w:r>
          </w:p>
        </w:tc>
        <w:tc>
          <w:tcPr>
            <w:tcW w:w="6796" w:type="dxa"/>
            <w:gridSpan w:val="9"/>
            <w:vAlign w:val="center"/>
          </w:tcPr>
          <w:p w14:paraId="61C7E7BF">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等效连续A声级</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 最大A声级□ 计权等效连续感觉噪声级□</w:t>
            </w:r>
          </w:p>
        </w:tc>
      </w:tr>
      <w:tr w14:paraId="7A1A9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Align w:val="center"/>
          </w:tcPr>
          <w:p w14:paraId="563CCF80">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评价标准</w:t>
            </w:r>
          </w:p>
        </w:tc>
        <w:tc>
          <w:tcPr>
            <w:tcW w:w="1132" w:type="dxa"/>
            <w:vAlign w:val="center"/>
          </w:tcPr>
          <w:p w14:paraId="75F13A49">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评价标准</w:t>
            </w:r>
          </w:p>
        </w:tc>
        <w:tc>
          <w:tcPr>
            <w:tcW w:w="6796" w:type="dxa"/>
            <w:gridSpan w:val="9"/>
            <w:vAlign w:val="center"/>
          </w:tcPr>
          <w:p w14:paraId="42560C17">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国家标准</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 地方标准□ 国外标准□</w:t>
            </w:r>
          </w:p>
        </w:tc>
      </w:tr>
      <w:tr w14:paraId="3BD03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Merge w:val="restart"/>
            <w:vAlign w:val="center"/>
          </w:tcPr>
          <w:p w14:paraId="68C7F975">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现状评价</w:t>
            </w:r>
          </w:p>
        </w:tc>
        <w:tc>
          <w:tcPr>
            <w:tcW w:w="1132" w:type="dxa"/>
            <w:vAlign w:val="center"/>
          </w:tcPr>
          <w:p w14:paraId="5AB9FAB5">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环境功能区</w:t>
            </w:r>
          </w:p>
        </w:tc>
        <w:tc>
          <w:tcPr>
            <w:tcW w:w="1132" w:type="dxa"/>
            <w:vAlign w:val="center"/>
          </w:tcPr>
          <w:p w14:paraId="2BD3DF9A">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0 类区□</w:t>
            </w:r>
          </w:p>
        </w:tc>
        <w:tc>
          <w:tcPr>
            <w:tcW w:w="1132" w:type="dxa"/>
            <w:gridSpan w:val="3"/>
            <w:vAlign w:val="center"/>
          </w:tcPr>
          <w:p w14:paraId="7A35D55B">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 类区</w:t>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sym w:font="Wingdings" w:char="00FE"/>
            </w:r>
          </w:p>
        </w:tc>
        <w:tc>
          <w:tcPr>
            <w:tcW w:w="1133" w:type="dxa"/>
            <w:vAlign w:val="center"/>
          </w:tcPr>
          <w:p w14:paraId="7E471005">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 类区</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p>
        </w:tc>
        <w:tc>
          <w:tcPr>
            <w:tcW w:w="1133" w:type="dxa"/>
            <w:vAlign w:val="center"/>
          </w:tcPr>
          <w:p w14:paraId="073E9BB6">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3 类区□</w:t>
            </w:r>
          </w:p>
        </w:tc>
        <w:tc>
          <w:tcPr>
            <w:tcW w:w="1133" w:type="dxa"/>
            <w:gridSpan w:val="2"/>
            <w:vAlign w:val="center"/>
          </w:tcPr>
          <w:p w14:paraId="07E84D64">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4a 类区□</w:t>
            </w:r>
          </w:p>
        </w:tc>
        <w:tc>
          <w:tcPr>
            <w:tcW w:w="1133" w:type="dxa"/>
            <w:vAlign w:val="center"/>
          </w:tcPr>
          <w:p w14:paraId="75EDB89C">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4b 类区□</w:t>
            </w:r>
          </w:p>
        </w:tc>
      </w:tr>
      <w:tr w14:paraId="5033E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Merge w:val="continue"/>
            <w:vAlign w:val="center"/>
          </w:tcPr>
          <w:p w14:paraId="3EC9739F">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132" w:type="dxa"/>
            <w:vAlign w:val="center"/>
          </w:tcPr>
          <w:p w14:paraId="51657247">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评价年度</w:t>
            </w:r>
          </w:p>
        </w:tc>
        <w:tc>
          <w:tcPr>
            <w:tcW w:w="1700" w:type="dxa"/>
            <w:gridSpan w:val="2"/>
            <w:vAlign w:val="center"/>
          </w:tcPr>
          <w:p w14:paraId="3BDDEDA0">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初期□</w:t>
            </w:r>
          </w:p>
        </w:tc>
        <w:tc>
          <w:tcPr>
            <w:tcW w:w="1697" w:type="dxa"/>
            <w:gridSpan w:val="3"/>
            <w:vAlign w:val="center"/>
          </w:tcPr>
          <w:p w14:paraId="4BF1F92D">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近期</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p>
        </w:tc>
        <w:tc>
          <w:tcPr>
            <w:tcW w:w="1705" w:type="dxa"/>
            <w:gridSpan w:val="2"/>
            <w:vAlign w:val="center"/>
          </w:tcPr>
          <w:p w14:paraId="1CF11C53">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中期□</w:t>
            </w:r>
          </w:p>
        </w:tc>
        <w:tc>
          <w:tcPr>
            <w:tcW w:w="1694" w:type="dxa"/>
            <w:gridSpan w:val="2"/>
            <w:vAlign w:val="center"/>
          </w:tcPr>
          <w:p w14:paraId="68D861FC">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远期□</w:t>
            </w:r>
          </w:p>
        </w:tc>
      </w:tr>
      <w:tr w14:paraId="1266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Merge w:val="continue"/>
            <w:vAlign w:val="center"/>
          </w:tcPr>
          <w:p w14:paraId="71F7467E">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132" w:type="dxa"/>
            <w:vAlign w:val="center"/>
          </w:tcPr>
          <w:p w14:paraId="3658536C">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现状调查方法</w:t>
            </w:r>
          </w:p>
        </w:tc>
        <w:tc>
          <w:tcPr>
            <w:tcW w:w="6796" w:type="dxa"/>
            <w:gridSpan w:val="9"/>
            <w:vAlign w:val="center"/>
          </w:tcPr>
          <w:p w14:paraId="7585359D">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现场实测法</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 现场实测加模型计算法□ 收集资料□</w:t>
            </w:r>
          </w:p>
        </w:tc>
      </w:tr>
      <w:tr w14:paraId="0EC2B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Merge w:val="continue"/>
            <w:vAlign w:val="center"/>
          </w:tcPr>
          <w:p w14:paraId="0D6CEEB4">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132" w:type="dxa"/>
            <w:vAlign w:val="center"/>
          </w:tcPr>
          <w:p w14:paraId="270E32FA">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现状评价</w:t>
            </w:r>
          </w:p>
        </w:tc>
        <w:tc>
          <w:tcPr>
            <w:tcW w:w="1984" w:type="dxa"/>
            <w:gridSpan w:val="3"/>
            <w:vAlign w:val="center"/>
          </w:tcPr>
          <w:p w14:paraId="66C67483">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达标百分比</w:t>
            </w:r>
          </w:p>
        </w:tc>
        <w:tc>
          <w:tcPr>
            <w:tcW w:w="4812" w:type="dxa"/>
            <w:gridSpan w:val="6"/>
            <w:vAlign w:val="center"/>
          </w:tcPr>
          <w:p w14:paraId="6670C1AB">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100%</w:t>
            </w:r>
          </w:p>
        </w:tc>
      </w:tr>
      <w:tr w14:paraId="7205C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Align w:val="center"/>
          </w:tcPr>
          <w:p w14:paraId="5EBAF846">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噪声源调查</w:t>
            </w:r>
          </w:p>
        </w:tc>
        <w:tc>
          <w:tcPr>
            <w:tcW w:w="1132" w:type="dxa"/>
            <w:vAlign w:val="center"/>
          </w:tcPr>
          <w:p w14:paraId="45D3756A">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噪声源调查方法</w:t>
            </w:r>
          </w:p>
        </w:tc>
        <w:tc>
          <w:tcPr>
            <w:tcW w:w="6796" w:type="dxa"/>
            <w:gridSpan w:val="9"/>
            <w:vAlign w:val="center"/>
          </w:tcPr>
          <w:p w14:paraId="5C4C3122">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现场实测□ 已有资料</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 研究成果□</w:t>
            </w:r>
          </w:p>
        </w:tc>
      </w:tr>
      <w:tr w14:paraId="5BEC5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Merge w:val="restart"/>
            <w:vAlign w:val="center"/>
          </w:tcPr>
          <w:p w14:paraId="628D0093">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声环境影响预测与评价</w:t>
            </w:r>
          </w:p>
        </w:tc>
        <w:tc>
          <w:tcPr>
            <w:tcW w:w="1132" w:type="dxa"/>
            <w:vAlign w:val="center"/>
          </w:tcPr>
          <w:p w14:paraId="565BE570">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预测模型</w:t>
            </w:r>
          </w:p>
        </w:tc>
        <w:tc>
          <w:tcPr>
            <w:tcW w:w="6796" w:type="dxa"/>
            <w:gridSpan w:val="9"/>
            <w:vAlign w:val="center"/>
          </w:tcPr>
          <w:p w14:paraId="1E7DD1F5">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导则推荐模型</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 其他□</w:t>
            </w:r>
            <w:r>
              <w:rPr>
                <w:rFonts w:ascii="Times New Roman" w:hAnsi="Times New Roman" w:cs="Times New Roman" w:eastAsiaTheme="minorEastAsia"/>
                <w:color w:val="000000" w:themeColor="text1"/>
                <w:w w:val="99"/>
                <w:sz w:val="21"/>
                <w:szCs w:val="21"/>
                <w:u w:val="single"/>
                <w:lang w:val="en-US" w:bidi="ar-SA"/>
                <w14:textFill>
                  <w14:solidFill>
                    <w14:schemeClr w14:val="tx1"/>
                  </w14:solidFill>
                </w14:textFill>
              </w:rPr>
              <w:t xml:space="preserve">    </w:t>
            </w:r>
          </w:p>
        </w:tc>
      </w:tr>
      <w:tr w14:paraId="1B8E6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Merge w:val="continue"/>
            <w:vAlign w:val="center"/>
          </w:tcPr>
          <w:p w14:paraId="14BC9D2B">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132" w:type="dxa"/>
            <w:vAlign w:val="center"/>
          </w:tcPr>
          <w:p w14:paraId="22E640FB">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预测范围</w:t>
            </w:r>
          </w:p>
        </w:tc>
        <w:tc>
          <w:tcPr>
            <w:tcW w:w="6796" w:type="dxa"/>
            <w:gridSpan w:val="9"/>
            <w:vAlign w:val="center"/>
          </w:tcPr>
          <w:p w14:paraId="7657A629">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200 m</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 大于 200 m□ 小于 200 m□</w:t>
            </w:r>
          </w:p>
        </w:tc>
      </w:tr>
      <w:tr w14:paraId="24784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Merge w:val="continue"/>
            <w:vAlign w:val="center"/>
          </w:tcPr>
          <w:p w14:paraId="42699D43">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132" w:type="dxa"/>
            <w:vAlign w:val="center"/>
          </w:tcPr>
          <w:p w14:paraId="68C2E0F7">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预测因子</w:t>
            </w:r>
          </w:p>
        </w:tc>
        <w:tc>
          <w:tcPr>
            <w:tcW w:w="6796" w:type="dxa"/>
            <w:gridSpan w:val="9"/>
            <w:vAlign w:val="center"/>
          </w:tcPr>
          <w:p w14:paraId="173D4477">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等效连续 A 声级</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 最大 A 声级□ 计权等效连续感觉噪声级□</w:t>
            </w:r>
          </w:p>
        </w:tc>
      </w:tr>
      <w:tr w14:paraId="4A41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Merge w:val="continue"/>
            <w:vAlign w:val="center"/>
          </w:tcPr>
          <w:p w14:paraId="369ABC73">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132" w:type="dxa"/>
            <w:vAlign w:val="center"/>
          </w:tcPr>
          <w:p w14:paraId="693C521B">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厂界噪声贡献值</w:t>
            </w:r>
          </w:p>
        </w:tc>
        <w:tc>
          <w:tcPr>
            <w:tcW w:w="6796" w:type="dxa"/>
            <w:gridSpan w:val="9"/>
            <w:vAlign w:val="center"/>
          </w:tcPr>
          <w:p w14:paraId="4A26B6D7">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达标 </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 不达标□</w:t>
            </w:r>
          </w:p>
        </w:tc>
      </w:tr>
      <w:tr w14:paraId="1B579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Merge w:val="continue"/>
            <w:vAlign w:val="center"/>
          </w:tcPr>
          <w:p w14:paraId="4323B9B7">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132" w:type="dxa"/>
            <w:vAlign w:val="center"/>
          </w:tcPr>
          <w:p w14:paraId="4C986D4F">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声环境保护目标处噪声值</w:t>
            </w:r>
          </w:p>
        </w:tc>
        <w:tc>
          <w:tcPr>
            <w:tcW w:w="6796" w:type="dxa"/>
            <w:gridSpan w:val="9"/>
            <w:vAlign w:val="center"/>
          </w:tcPr>
          <w:p w14:paraId="0EA642A6">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达标 </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 不达标□</w:t>
            </w:r>
          </w:p>
        </w:tc>
      </w:tr>
      <w:tr w14:paraId="0C5B5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Merge w:val="restart"/>
            <w:vAlign w:val="center"/>
          </w:tcPr>
          <w:p w14:paraId="09571E4A">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环境监测计划</w:t>
            </w:r>
          </w:p>
        </w:tc>
        <w:tc>
          <w:tcPr>
            <w:tcW w:w="1132" w:type="dxa"/>
            <w:vAlign w:val="center"/>
          </w:tcPr>
          <w:p w14:paraId="6E31A8A3">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排放监测</w:t>
            </w:r>
          </w:p>
        </w:tc>
        <w:tc>
          <w:tcPr>
            <w:tcW w:w="6796" w:type="dxa"/>
            <w:gridSpan w:val="9"/>
            <w:vAlign w:val="center"/>
          </w:tcPr>
          <w:p w14:paraId="021F786B">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厂界监测</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 固定位置监测□ 自动监测□ 手动监测□ 无监测□</w:t>
            </w:r>
          </w:p>
        </w:tc>
      </w:tr>
      <w:tr w14:paraId="2C449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Merge w:val="continue"/>
            <w:vAlign w:val="center"/>
          </w:tcPr>
          <w:p w14:paraId="27102863">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p>
        </w:tc>
        <w:tc>
          <w:tcPr>
            <w:tcW w:w="1132" w:type="dxa"/>
            <w:vAlign w:val="center"/>
          </w:tcPr>
          <w:p w14:paraId="31EA27B0">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声环境保护目标处噪声监测</w:t>
            </w:r>
          </w:p>
        </w:tc>
        <w:tc>
          <w:tcPr>
            <w:tcW w:w="2264" w:type="dxa"/>
            <w:gridSpan w:val="4"/>
            <w:vAlign w:val="center"/>
          </w:tcPr>
          <w:p w14:paraId="7F014B56">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监测因子：（ ）</w:t>
            </w:r>
          </w:p>
        </w:tc>
        <w:tc>
          <w:tcPr>
            <w:tcW w:w="2266" w:type="dxa"/>
            <w:gridSpan w:val="2"/>
            <w:vAlign w:val="center"/>
          </w:tcPr>
          <w:p w14:paraId="6FB413DE">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监测点位数（ ）</w:t>
            </w:r>
          </w:p>
        </w:tc>
        <w:tc>
          <w:tcPr>
            <w:tcW w:w="2266" w:type="dxa"/>
            <w:gridSpan w:val="3"/>
            <w:vAlign w:val="center"/>
          </w:tcPr>
          <w:p w14:paraId="6A6B2A5A">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无监测</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p>
        </w:tc>
      </w:tr>
      <w:tr w14:paraId="1D974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2" w:type="dxa"/>
            <w:vAlign w:val="center"/>
          </w:tcPr>
          <w:p w14:paraId="5F828718">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评价结论</w:t>
            </w:r>
          </w:p>
        </w:tc>
        <w:tc>
          <w:tcPr>
            <w:tcW w:w="1132" w:type="dxa"/>
            <w:vAlign w:val="center"/>
          </w:tcPr>
          <w:p w14:paraId="2D858CB2">
            <w:pPr>
              <w:autoSpaceDE/>
              <w:autoSpaceDN/>
              <w:spacing w:line="320" w:lineRule="exact"/>
              <w:jc w:val="center"/>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环境影响</w:t>
            </w:r>
          </w:p>
        </w:tc>
        <w:tc>
          <w:tcPr>
            <w:tcW w:w="6796" w:type="dxa"/>
            <w:gridSpan w:val="9"/>
            <w:vAlign w:val="center"/>
          </w:tcPr>
          <w:p w14:paraId="77734E7F">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可行</w:t>
            </w:r>
            <w:r>
              <w:rPr>
                <w:rFonts w:ascii="Times New Roman" w:hAnsi="Times New Roman" w:cs="Times New Roman" w:eastAsiaTheme="minorEastAsia"/>
                <w:color w:val="000000" w:themeColor="text1"/>
                <w:w w:val="99"/>
                <w:kern w:val="21"/>
                <w:sz w:val="21"/>
                <w:szCs w:val="21"/>
                <w:lang w:val="en-US" w:bidi="ar-SA"/>
                <w14:textFill>
                  <w14:solidFill>
                    <w14:schemeClr w14:val="tx1"/>
                  </w14:solidFill>
                </w14:textFill>
              </w:rPr>
              <w:sym w:font="Wingdings" w:char="00FE"/>
            </w: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 xml:space="preserve"> 不可行□</w:t>
            </w:r>
          </w:p>
        </w:tc>
      </w:tr>
      <w:tr w14:paraId="1C212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60" w:type="dxa"/>
            <w:gridSpan w:val="11"/>
            <w:vAlign w:val="center"/>
          </w:tcPr>
          <w:p w14:paraId="4EF4B06D">
            <w:pPr>
              <w:autoSpaceDE/>
              <w:autoSpaceDN/>
              <w:spacing w:line="320" w:lineRule="exact"/>
              <w:jc w:val="both"/>
              <w:rPr>
                <w:rFonts w:ascii="Times New Roman" w:hAnsi="Times New Roman" w:cs="Times New Roman" w:eastAsiaTheme="minorEastAsia"/>
                <w:color w:val="000000" w:themeColor="text1"/>
                <w:w w:val="99"/>
                <w:sz w:val="21"/>
                <w:szCs w:val="21"/>
                <w:lang w:val="en-US" w:bidi="ar-SA"/>
                <w14:textFill>
                  <w14:solidFill>
                    <w14:schemeClr w14:val="tx1"/>
                  </w14:solidFill>
                </w14:textFill>
              </w:rPr>
            </w:pPr>
            <w:r>
              <w:rPr>
                <w:rFonts w:ascii="Times New Roman" w:hAnsi="Times New Roman" w:cs="Times New Roman" w:eastAsiaTheme="minorEastAsia"/>
                <w:color w:val="000000" w:themeColor="text1"/>
                <w:w w:val="99"/>
                <w:sz w:val="21"/>
                <w:szCs w:val="21"/>
                <w:lang w:val="en-US" w:bidi="ar-SA"/>
                <w14:textFill>
                  <w14:solidFill>
                    <w14:schemeClr w14:val="tx1"/>
                  </w14:solidFill>
                </w14:textFill>
              </w:rPr>
              <w:t>注：“□” 为勾选项 ，可√ ；“（ ）” 为内容填写项。</w:t>
            </w:r>
          </w:p>
        </w:tc>
      </w:tr>
    </w:tbl>
    <w:p w14:paraId="3F4F6B62">
      <w:pPr>
        <w:widowControl/>
        <w:autoSpaceDE/>
        <w:autoSpaceDN/>
        <w:rPr>
          <w:rFonts w:ascii="Times New Roman" w:hAnsi="Times New Roman" w:cs="Times New Roman" w:eastAsiaTheme="minorEastAsia"/>
          <w:color w:val="000000" w:themeColor="text1"/>
          <w:w w:val="99"/>
          <w:sz w:val="24"/>
          <w:szCs w:val="24"/>
          <w:lang w:val="en-US" w:bidi="ar-SA"/>
          <w14:textFill>
            <w14:solidFill>
              <w14:schemeClr w14:val="tx1"/>
            </w14:solidFill>
          </w14:textFill>
        </w:rPr>
      </w:pPr>
    </w:p>
    <w:p w14:paraId="0632272D">
      <w:pPr>
        <w:pStyle w:val="101"/>
        <w:spacing w:before="120" w:after="48"/>
        <w:rPr>
          <w:rFonts w:ascii="Times New Roman" w:cs="Times New Roman" w:eastAsiaTheme="minorEastAsia"/>
          <w:color w:val="000000" w:themeColor="text1"/>
          <w:w w:val="99"/>
          <w:lang w:bidi="zh-CN"/>
          <w14:textFill>
            <w14:solidFill>
              <w14:schemeClr w14:val="tx1"/>
            </w14:solidFill>
          </w14:textFill>
        </w:rPr>
      </w:pPr>
    </w:p>
    <w:sectPr>
      <w:headerReference r:id="rId9" w:type="default"/>
      <w:footerReference r:id="rId10" w:type="default"/>
      <w:type w:val="nextColumn"/>
      <w:pgSz w:w="11910" w:h="16850"/>
      <w:pgMar w:top="1418" w:right="1418" w:bottom="1418" w:left="1418" w:header="737" w:footer="992"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TimesNewRomanPSMT">
    <w:altName w:val="Times New Roman"/>
    <w:panose1 w:val="00000000000000000000"/>
    <w:charset w:val="00"/>
    <w:family w:val="roman"/>
    <w:pitch w:val="default"/>
    <w:sig w:usb0="00000000" w:usb1="00000000" w:usb2="00000010"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Georgia">
    <w:panose1 w:val="02040502050405020303"/>
    <w:charset w:val="00"/>
    <w:family w:val="roman"/>
    <w:pitch w:val="default"/>
    <w:sig w:usb0="00000287" w:usb1="00000000" w:usb2="00000000" w:usb3="00000000" w:csb0="200000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宋三简体">
    <w:altName w:val="宋体"/>
    <w:panose1 w:val="00000000000000000000"/>
    <w:charset w:val="86"/>
    <w:family w:val="auto"/>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AngsanaUPC">
    <w:altName w:val="Segoe Print"/>
    <w:panose1 w:val="00000000000000000000"/>
    <w:charset w:val="00"/>
    <w:family w:val="roman"/>
    <w:pitch w:val="default"/>
    <w:sig w:usb0="00000000" w:usb1="00000000" w:usb2="00000000" w:usb3="00000000" w:csb0="00010001" w:csb1="00000000"/>
  </w:font>
  <w:font w:name="Segoe Print">
    <w:panose1 w:val="02000600000000000000"/>
    <w:charset w:val="00"/>
    <w:family w:val="auto"/>
    <w:pitch w:val="default"/>
    <w:sig w:usb0="0000028F" w:usb1="00000000" w:usb2="00000000" w:usb3="00000000" w:csb0="2000009F" w:csb1="47010000"/>
  </w:font>
  <w:font w:name="Arail">
    <w:altName w:val="仿宋"/>
    <w:panose1 w:val="00000000000000000000"/>
    <w:charset w:val="00"/>
    <w:family w:val="auto"/>
    <w:pitch w:val="default"/>
    <w:sig w:usb0="00000000" w:usb1="00000000" w:usb2="00000000" w:usb3="00000000" w:csb0="00040001" w:csb1="00000000"/>
  </w:font>
  <w:font w:name="新宋体">
    <w:panose1 w:val="02010609030101010101"/>
    <w:charset w:val="86"/>
    <w:family w:val="modern"/>
    <w:pitch w:val="default"/>
    <w:sig w:usb0="00000203" w:usb1="288F0000" w:usb2="00000006" w:usb3="00000000" w:csb0="00040001" w:csb1="00000000"/>
  </w:font>
  <w:font w:name="ˎ̥">
    <w:altName w:val="Times New Roman"/>
    <w:panose1 w:val="00000000000000000000"/>
    <w:charset w:val="00"/>
    <w:family w:val="roman"/>
    <w:pitch w:val="default"/>
    <w:sig w:usb0="00000000" w:usb1="00000000" w:usb2="00000000" w:usb3="00000000" w:csb0="00000000" w:csb1="00000000"/>
  </w:font>
  <w:font w:name="汉鼎简书宋">
    <w:altName w:val="宋体"/>
    <w:panose1 w:val="00000000000000000000"/>
    <w:charset w:val="86"/>
    <w:family w:val="modern"/>
    <w:pitch w:val="default"/>
    <w:sig w:usb0="00000000" w:usb1="00000000" w:usb2="00000010" w:usb3="00000000" w:csb0="00040000" w:csb1="00000000"/>
  </w:font>
  <w:font w:name="BankGothic Lt BT">
    <w:altName w:val="MS UI Gothic"/>
    <w:panose1 w:val="00000000000000000000"/>
    <w:charset w:val="00"/>
    <w:family w:val="swiss"/>
    <w:pitch w:val="default"/>
    <w:sig w:usb0="00000000" w:usb1="00000000" w:usb2="00000000" w:usb3="00000000" w:csb0="0000001B" w:csb1="00000000"/>
  </w:font>
  <w:font w:name="MS UI Gothic">
    <w:panose1 w:val="020B0600070205080204"/>
    <w:charset w:val="80"/>
    <w:family w:val="auto"/>
    <w:pitch w:val="default"/>
    <w:sig w:usb0="E00002FF" w:usb1="6AC7FDFB" w:usb2="08000012" w:usb3="00000000" w:csb0="4002009F" w:csb1="DFD7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Microsoft YaHei UI">
    <w:panose1 w:val="020B0503020204020204"/>
    <w:charset w:val="86"/>
    <w:family w:val="swiss"/>
    <w:pitch w:val="default"/>
    <w:sig w:usb0="80000287" w:usb1="2ACF3C50" w:usb2="00000016" w:usb3="00000000" w:csb0="0004001F" w:csb1="00000000"/>
  </w:font>
  <w:font w:name="Arial Narrow">
    <w:altName w:val="Arial"/>
    <w:panose1 w:val="020B0606020202030204"/>
    <w:charset w:val="00"/>
    <w:family w:val="swiss"/>
    <w:pitch w:val="default"/>
    <w:sig w:usb0="00000000" w:usb1="00000000" w:usb2="00000000" w:usb3="00000000" w:csb0="0000009F" w:csb1="00000000"/>
  </w:font>
  <w:font w:name="华文楷体">
    <w:altName w:val="宋体"/>
    <w:panose1 w:val="02010600040101010101"/>
    <w:charset w:val="86"/>
    <w:family w:val="auto"/>
    <w:pitch w:val="default"/>
    <w:sig w:usb0="00000000" w:usb1="00000000" w:usb2="00000010" w:usb3="00000000" w:csb0="0004009F" w:csb1="00000000"/>
  </w:font>
  <w:font w:name="华文中宋">
    <w:altName w:val="宋体"/>
    <w:panose1 w:val="02010600040101010101"/>
    <w:charset w:val="86"/>
    <w:family w:val="auto"/>
    <w:pitch w:val="default"/>
    <w:sig w:usb0="00000000" w:usb1="00000000" w:usb2="00000010" w:usb3="00000000" w:csb0="0004009F" w:csb1="00000000"/>
  </w:font>
  <w:font w:name="Arial Black">
    <w:panose1 w:val="020B0A04020102020204"/>
    <w:charset w:val="00"/>
    <w:family w:val="swiss"/>
    <w:pitch w:val="default"/>
    <w:sig w:usb0="A00002AF" w:usb1="400078FB" w:usb2="00000000" w:usb3="00000000" w:csb0="6000009F" w:csb1="DFD70000"/>
  </w:font>
  <w:font w:name="经典叠圆体简">
    <w:altName w:val="宋体"/>
    <w:panose1 w:val="00000000000000000000"/>
    <w:charset w:val="86"/>
    <w:family w:val="modern"/>
    <w:pitch w:val="default"/>
    <w:sig w:usb0="00000000" w:usb1="00000000" w:usb2="0000001E" w:usb3="00000000" w:csb0="00040000" w:csb1="00000000"/>
  </w:font>
  <w:font w:name="幼圆">
    <w:altName w:val="宋体"/>
    <w:panose1 w:val="02010509060101010101"/>
    <w:charset w:val="86"/>
    <w:family w:val="modern"/>
    <w:pitch w:val="default"/>
    <w:sig w:usb0="00000000" w:usb1="00000000" w:usb2="00000010" w:usb3="00000000" w:csb0="00040000" w:csb1="00000000"/>
  </w:font>
  <w:font w:name="方正仿宋简体">
    <w:altName w:val="微软雅黑"/>
    <w:panose1 w:val="00000000000000000000"/>
    <w:charset w:val="00"/>
    <w:family w:val="auto"/>
    <w:pitch w:val="default"/>
    <w:sig w:usb0="00000000" w:usb1="00000000" w:usb2="00000000" w:usb3="00000000" w:csb0="00040001" w:csb1="00000000"/>
  </w:font>
  <w:font w:name="”“Times New Roman”“">
    <w:altName w:val="宋体"/>
    <w:panose1 w:val="00000000000000000000"/>
    <w:charset w:val="86"/>
    <w:family w:val="roman"/>
    <w:pitch w:val="default"/>
    <w:sig w:usb0="00000000" w:usb1="00000000" w:usb2="00000010" w:usb3="00000000" w:csb0="00040000"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imes">
    <w:altName w:val="CG Times"/>
    <w:panose1 w:val="02020603050405020304"/>
    <w:charset w:val="00"/>
    <w:family w:val="roman"/>
    <w:pitch w:val="default"/>
    <w:sig w:usb0="00000000" w:usb1="00000000" w:usb2="00000000" w:usb3="00000000" w:csb0="00000001" w:csb1="00000000"/>
  </w:font>
  <w:font w:name="CG Times">
    <w:panose1 w:val="02020603050405020304"/>
    <w:charset w:val="00"/>
    <w:family w:val="auto"/>
    <w:pitch w:val="default"/>
    <w:sig w:usb0="00000000" w:usb1="00000000" w:usb2="00000000" w:usb3="00000000" w:csb0="00000000" w:csb1="00000000"/>
  </w:font>
  <w:font w:name="华文仿宋">
    <w:altName w:val="仿宋"/>
    <w:panose1 w:val="02010600040101010101"/>
    <w:charset w:val="86"/>
    <w:family w:val="auto"/>
    <w:pitch w:val="default"/>
    <w:sig w:usb0="00000000" w:usb1="00000000" w:usb2="00000010" w:usb3="00000000" w:csb0="0004009F" w:csb1="00000000"/>
  </w:font>
  <w:font w:name="????">
    <w:altName w:val="Malgun Gothic"/>
    <w:panose1 w:val="00000000000000000000"/>
    <w:charset w:val="81"/>
    <w:family w:val="auto"/>
    <w:pitch w:val="default"/>
    <w:sig w:usb0="00000000" w:usb1="00000000" w:usb2="00000010" w:usb3="00000000" w:csb0="00080000" w:csb1="00000000"/>
  </w:font>
  <w:font w:name="方正黑体简体">
    <w:altName w:val="微软雅黑"/>
    <w:panose1 w:val="00000000000000000000"/>
    <w:charset w:val="86"/>
    <w:family w:val="auto"/>
    <w:pitch w:val="default"/>
    <w:sig w:usb0="00000000" w:usb1="00000000" w:usb2="00000010" w:usb3="00000000" w:csb0="00040000" w:csb1="00000000"/>
  </w:font>
  <w:font w:name="方正书宋简体">
    <w:altName w:val="宋体"/>
    <w:panose1 w:val="00000000000000000000"/>
    <w:charset w:val="86"/>
    <w:family w:val="auto"/>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方正楷体简体">
    <w:altName w:val="宋体"/>
    <w:panose1 w:val="00000000000000000000"/>
    <w:charset w:val="86"/>
    <w:family w:val="auto"/>
    <w:pitch w:val="default"/>
    <w:sig w:usb0="00000000" w:usb1="00000000" w:usb2="00000000" w:usb3="00000000" w:csb0="00040000" w:csb1="00000000"/>
  </w:font>
  <w:font w:name="方正综艺简体">
    <w:altName w:val="宋体"/>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38B34">
    <w:pPr>
      <w:pStyle w:val="50"/>
      <w:tabs>
        <w:tab w:val="left" w:pos="3960"/>
        <w:tab w:val="center" w:pos="4333"/>
        <w:tab w:val="left" w:pos="5049"/>
      </w:tabs>
    </w:pPr>
    <w:r>
      <w:rPr>
        <w:lang w:val="en-US"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BC6D2B">
                          <w:pPr>
                            <w:pStyle w:val="5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qPGc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SKKZQsXPP76f&#10;f/4+//pGcAaBGuvniHuwiAztO9OibYZzj8PIuy2dil8wIvAD63SRV7SB8HhpNp3NxnBx+IYN8LOn&#10;69b58F4YRaKRU4f6JVnZcetDFzqExGzabGopUw2lJk1Or6/ejt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So8ZywCAABXBAAADgAAAAAAAAABACAAAAAfAQAAZHJzL2Uyb0RvYy54bWxQSwUGAAAAAAYA&#10;BgBZAQAAvQUAAAAA&#10;">
              <v:fill on="f" focussize="0,0"/>
              <v:stroke on="f" weight="0.5pt"/>
              <v:imagedata o:title=""/>
              <o:lock v:ext="edit" aspectratio="f"/>
              <v:textbox inset="0mm,0mm,0mm,0mm" style="mso-fit-shape-to-text:t;">
                <w:txbxContent>
                  <w:p w14:paraId="5BBC6D2B">
                    <w:pPr>
                      <w:pStyle w:val="5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96F92">
    <w:pPr>
      <w:pStyle w:val="31"/>
      <w:spacing w:line="14" w:lineRule="auto"/>
      <w:rPr>
        <w:sz w:val="8"/>
      </w:rPr>
    </w:pPr>
    <w:r>
      <w:rPr>
        <w:sz w:val="8"/>
        <w:lang w:val="en-US"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89FC8A">
                          <w:pPr>
                            <w:pStyle w:val="5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29</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gZaYtAgAAW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hH6zLGz1zvII&#10;HcXzdnUMELDVNYrSKdFrhY5rK9NPR2zpP/dt1NMfYf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KgZaYtAgAAWQQAAA4AAAAAAAAAAQAgAAAAHwEAAGRycy9lMm9Eb2MueG1sUEsFBgAAAAAG&#10;AAYAWQEAAL4FAAAAAA==&#10;">
              <v:fill on="f" focussize="0,0"/>
              <v:stroke on="f" weight="0.5pt"/>
              <v:imagedata o:title=""/>
              <o:lock v:ext="edit" aspectratio="f"/>
              <v:textbox inset="0mm,0mm,0mm,0mm" style="mso-fit-shape-to-text:t;">
                <w:txbxContent>
                  <w:p w14:paraId="4989FC8A">
                    <w:pPr>
                      <w:pStyle w:val="5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29</w:t>
                    </w:r>
                    <w:r>
                      <w:rPr>
                        <w:rFonts w:ascii="Times New Roman" w:hAnsi="Times New Roman" w:cs="Times New Roma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9F6A9">
    <w:pPr>
      <w:spacing w:line="188" w:lineRule="auto"/>
      <w:ind w:left="4566"/>
      <w:rPr>
        <w:rFonts w:ascii="Times New Roman" w:hAnsi="Times New Roman" w:eastAsia="Times New Roman" w:cs="Times New Roman"/>
        <w:sz w:val="18"/>
        <w:szCs w:val="18"/>
      </w:rPr>
    </w:pPr>
    <w:r>
      <w:rPr>
        <w:sz w:val="18"/>
        <w:lang w:val="en-US" w:bidi="ar-SA"/>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8789B5">
                          <w:pPr>
                            <w:pStyle w:val="50"/>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138789B5">
                    <w:pPr>
                      <w:pStyle w:val="50"/>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4861866"/>
    </w:sdtPr>
    <w:sdtContent>
      <w:p w14:paraId="11D9808D">
        <w:pPr>
          <w:pStyle w:val="50"/>
          <w:jc w:val="center"/>
        </w:pPr>
        <w:r>
          <w:fldChar w:fldCharType="begin"/>
        </w:r>
        <w:r>
          <w:instrText xml:space="preserve">PAGE   \* MERGEFORMAT</w:instrText>
        </w:r>
        <w:r>
          <w:fldChar w:fldCharType="separate"/>
        </w:r>
        <w:r>
          <w:t>81</w:t>
        </w:r>
        <w:r>
          <w:fldChar w:fldCharType="end"/>
        </w:r>
      </w:p>
    </w:sdtContent>
  </w:sdt>
  <w:p w14:paraId="6025645B">
    <w:pPr>
      <w:pStyle w:val="5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11483">
    <w:pPr>
      <w:spacing w:line="188" w:lineRule="auto"/>
      <w:ind w:left="4415"/>
      <w:rPr>
        <w:rFonts w:ascii="Times New Roman" w:hAnsi="Times New Roman" w:eastAsia="Times New Roman" w:cs="Times New Roman"/>
        <w:sz w:val="18"/>
        <w:szCs w:val="18"/>
      </w:rPr>
    </w:pPr>
    <w:r>
      <w:rPr>
        <w:sz w:val="18"/>
        <w:lang w:val="en-US" w:bidi="ar-SA"/>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CAD0F1">
                          <w:pPr>
                            <w:pStyle w:val="50"/>
                          </w:pPr>
                          <w:r>
                            <w:fldChar w:fldCharType="begin"/>
                          </w:r>
                          <w:r>
                            <w:instrText xml:space="preserve"> PAGE  \* MERGEFORMAT </w:instrText>
                          </w:r>
                          <w:r>
                            <w:fldChar w:fldCharType="separate"/>
                          </w:r>
                          <w:r>
                            <w:t>164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14:paraId="2FCAD0F1">
                    <w:pPr>
                      <w:pStyle w:val="50"/>
                    </w:pPr>
                    <w:r>
                      <w:fldChar w:fldCharType="begin"/>
                    </w:r>
                    <w:r>
                      <w:instrText xml:space="preserve"> PAGE  \* MERGEFORMAT </w:instrText>
                    </w:r>
                    <w:r>
                      <w:fldChar w:fldCharType="separate"/>
                    </w:r>
                    <w:r>
                      <w:t>164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05D51">
    <w:pPr>
      <w:pStyle w:val="31"/>
      <w:spacing w:line="14" w:lineRule="auto"/>
      <w:rPr>
        <w:sz w:val="20"/>
      </w:rPr>
    </w:pPr>
    <w:r>
      <w:rPr>
        <w:sz w:val="20"/>
        <w:lang w:val="en-US" w:bidi="ar-SA"/>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FB9FEE">
                          <w:pPr>
                            <w:pStyle w:val="5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188</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O14MU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O14MUtAgAAWQQAAA4AAAAAAAAAAQAgAAAAHwEAAGRycy9lMm9Eb2MueG1sUEsFBgAAAAAG&#10;AAYAWQEAAL4FAAAAAA==&#10;">
              <v:fill on="f" focussize="0,0"/>
              <v:stroke on="f" weight="0.5pt"/>
              <v:imagedata o:title=""/>
              <o:lock v:ext="edit" aspectratio="f"/>
              <v:textbox inset="0mm,0mm,0mm,0mm" style="mso-fit-shape-to-text:t;">
                <w:txbxContent>
                  <w:p w14:paraId="2EFB9FEE">
                    <w:pPr>
                      <w:pStyle w:val="5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188</w:t>
                    </w:r>
                    <w:r>
                      <w:rPr>
                        <w:rFonts w:ascii="Times New Roman" w:hAnsi="Times New Roman" w:cs="Times New Roma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8AEB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B60BF">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4"/>
      <w:lvlText w:val="%1."/>
      <w:lvlJc w:val="left"/>
      <w:pPr>
        <w:tabs>
          <w:tab w:val="left" w:pos="780"/>
        </w:tabs>
        <w:ind w:left="780" w:leftChars="200" w:hanging="360" w:hangingChars="200"/>
      </w:pPr>
    </w:lvl>
  </w:abstractNum>
  <w:abstractNum w:abstractNumId="1">
    <w:nsid w:val="1E567456"/>
    <w:multiLevelType w:val="multilevel"/>
    <w:tmpl w:val="1E567456"/>
    <w:lvl w:ilvl="0" w:tentative="0">
      <w:start w:val="1"/>
      <w:numFmt w:val="decimal"/>
      <w:suff w:val="space"/>
      <w:lvlText w:val="%1"/>
      <w:lvlJc w:val="left"/>
      <w:pPr>
        <w:ind w:left="432" w:hanging="432"/>
      </w:pPr>
      <w:rPr>
        <w:rFonts w:hint="default" w:ascii="Times New Roman" w:hAnsi="Times New Roman" w:eastAsia="黑体"/>
        <w:b/>
        <w:bCs/>
        <w:i w:val="0"/>
        <w:iCs w:val="0"/>
        <w:caps w:val="0"/>
        <w:smallCaps w:val="0"/>
        <w:strike w:val="0"/>
        <w:dstrike w:val="0"/>
        <w:vanish w:val="0"/>
        <w:color w:val="000000"/>
        <w:spacing w:val="0"/>
        <w:w w:val="100"/>
        <w:kern w:val="0"/>
        <w:position w:val="0"/>
        <w:sz w:val="30"/>
        <w:szCs w:val="30"/>
        <w:u w:val="none"/>
        <w:shd w:val="clear" w:color="auto" w:fill="auto"/>
        <w:vertAlign w:val="baseline"/>
      </w:rPr>
    </w:lvl>
    <w:lvl w:ilvl="1" w:tentative="0">
      <w:start w:val="1"/>
      <w:numFmt w:val="decimal"/>
      <w:pStyle w:val="122"/>
      <w:suff w:val="space"/>
      <w:lvlText w:val="%1.%2"/>
      <w:lvlJc w:val="left"/>
      <w:pPr>
        <w:ind w:left="576" w:hanging="576"/>
      </w:pPr>
      <w:rPr>
        <w:rFonts w:hint="eastAsia"/>
      </w:rPr>
    </w:lvl>
    <w:lvl w:ilvl="2" w:tentative="0">
      <w:start w:val="1"/>
      <w:numFmt w:val="decimal"/>
      <w:suff w:val="space"/>
      <w:lvlText w:val="%1.%2.%3"/>
      <w:lvlJc w:val="left"/>
      <w:pPr>
        <w:ind w:left="1287" w:hanging="720"/>
      </w:pPr>
      <w:rPr>
        <w:rFonts w:hint="eastAsia"/>
      </w:rPr>
    </w:lvl>
    <w:lvl w:ilvl="3" w:tentative="0">
      <w:start w:val="1"/>
      <w:numFmt w:val="decimal"/>
      <w:suff w:val="space"/>
      <w:lvlText w:val="%1.%2.%3.%4"/>
      <w:lvlJc w:val="left"/>
      <w:pPr>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hideGrammaticalErrors/>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4YjMyMWMyMzMyM2U2NzJiZTlkOTlhZDJiMTJmZmUifQ=="/>
  </w:docVars>
  <w:rsids>
    <w:rsidRoot w:val="00D35CEB"/>
    <w:rsid w:val="000024C6"/>
    <w:rsid w:val="000024FA"/>
    <w:rsid w:val="0000300E"/>
    <w:rsid w:val="00003D07"/>
    <w:rsid w:val="00005E08"/>
    <w:rsid w:val="00006C3E"/>
    <w:rsid w:val="00010023"/>
    <w:rsid w:val="00011266"/>
    <w:rsid w:val="00014391"/>
    <w:rsid w:val="00014A51"/>
    <w:rsid w:val="00014C8C"/>
    <w:rsid w:val="00015D63"/>
    <w:rsid w:val="00015EEF"/>
    <w:rsid w:val="00020BEF"/>
    <w:rsid w:val="00021352"/>
    <w:rsid w:val="000215EE"/>
    <w:rsid w:val="000225C3"/>
    <w:rsid w:val="00022699"/>
    <w:rsid w:val="000244E7"/>
    <w:rsid w:val="000252EE"/>
    <w:rsid w:val="0002536A"/>
    <w:rsid w:val="00027A8B"/>
    <w:rsid w:val="00033126"/>
    <w:rsid w:val="000336C2"/>
    <w:rsid w:val="000337E7"/>
    <w:rsid w:val="00035305"/>
    <w:rsid w:val="000354B2"/>
    <w:rsid w:val="0004033C"/>
    <w:rsid w:val="000407FE"/>
    <w:rsid w:val="00041E3D"/>
    <w:rsid w:val="0004403C"/>
    <w:rsid w:val="00046848"/>
    <w:rsid w:val="00046907"/>
    <w:rsid w:val="0005349C"/>
    <w:rsid w:val="00056AB1"/>
    <w:rsid w:val="00056DD8"/>
    <w:rsid w:val="00057C5E"/>
    <w:rsid w:val="000628DF"/>
    <w:rsid w:val="0006791A"/>
    <w:rsid w:val="00070492"/>
    <w:rsid w:val="00072714"/>
    <w:rsid w:val="000745C6"/>
    <w:rsid w:val="0007553D"/>
    <w:rsid w:val="00080E3A"/>
    <w:rsid w:val="00083487"/>
    <w:rsid w:val="00084224"/>
    <w:rsid w:val="00084A9B"/>
    <w:rsid w:val="000866AF"/>
    <w:rsid w:val="00086A99"/>
    <w:rsid w:val="00086B81"/>
    <w:rsid w:val="00090501"/>
    <w:rsid w:val="000906C6"/>
    <w:rsid w:val="00090C3E"/>
    <w:rsid w:val="00092D53"/>
    <w:rsid w:val="00093224"/>
    <w:rsid w:val="00094FDE"/>
    <w:rsid w:val="0009679A"/>
    <w:rsid w:val="00096ACD"/>
    <w:rsid w:val="000A0821"/>
    <w:rsid w:val="000A0ED7"/>
    <w:rsid w:val="000A5E55"/>
    <w:rsid w:val="000B1048"/>
    <w:rsid w:val="000B10B7"/>
    <w:rsid w:val="000B2365"/>
    <w:rsid w:val="000B2896"/>
    <w:rsid w:val="000B2DD7"/>
    <w:rsid w:val="000B2ED4"/>
    <w:rsid w:val="000B3007"/>
    <w:rsid w:val="000B3BA8"/>
    <w:rsid w:val="000B425D"/>
    <w:rsid w:val="000B63FA"/>
    <w:rsid w:val="000B6759"/>
    <w:rsid w:val="000C1EE6"/>
    <w:rsid w:val="000C4CB6"/>
    <w:rsid w:val="000C6714"/>
    <w:rsid w:val="000C730F"/>
    <w:rsid w:val="000D0019"/>
    <w:rsid w:val="000D1113"/>
    <w:rsid w:val="000D1B1A"/>
    <w:rsid w:val="000D1B21"/>
    <w:rsid w:val="000D29A9"/>
    <w:rsid w:val="000D314F"/>
    <w:rsid w:val="000D3BDA"/>
    <w:rsid w:val="000D4D09"/>
    <w:rsid w:val="000D5116"/>
    <w:rsid w:val="000D6208"/>
    <w:rsid w:val="000D65A6"/>
    <w:rsid w:val="000D6E31"/>
    <w:rsid w:val="000D6F1E"/>
    <w:rsid w:val="000E0824"/>
    <w:rsid w:val="000E1D5D"/>
    <w:rsid w:val="000E3CF9"/>
    <w:rsid w:val="000E3E84"/>
    <w:rsid w:val="000E5DE7"/>
    <w:rsid w:val="000E753D"/>
    <w:rsid w:val="000E777A"/>
    <w:rsid w:val="000F27E5"/>
    <w:rsid w:val="000F3C41"/>
    <w:rsid w:val="000F3CB7"/>
    <w:rsid w:val="000F7E2D"/>
    <w:rsid w:val="001007DD"/>
    <w:rsid w:val="001012D2"/>
    <w:rsid w:val="00103269"/>
    <w:rsid w:val="001036D3"/>
    <w:rsid w:val="001038F4"/>
    <w:rsid w:val="00103D28"/>
    <w:rsid w:val="00103E8B"/>
    <w:rsid w:val="0010420B"/>
    <w:rsid w:val="00104254"/>
    <w:rsid w:val="001045CB"/>
    <w:rsid w:val="00105900"/>
    <w:rsid w:val="00107178"/>
    <w:rsid w:val="00107ED4"/>
    <w:rsid w:val="00110028"/>
    <w:rsid w:val="001110C2"/>
    <w:rsid w:val="0011279F"/>
    <w:rsid w:val="00113463"/>
    <w:rsid w:val="0011357F"/>
    <w:rsid w:val="001142E4"/>
    <w:rsid w:val="0011690F"/>
    <w:rsid w:val="0012168A"/>
    <w:rsid w:val="001219BD"/>
    <w:rsid w:val="0012369D"/>
    <w:rsid w:val="00123D6F"/>
    <w:rsid w:val="00126DF4"/>
    <w:rsid w:val="00127337"/>
    <w:rsid w:val="00127568"/>
    <w:rsid w:val="001302D1"/>
    <w:rsid w:val="0013048C"/>
    <w:rsid w:val="00131B7F"/>
    <w:rsid w:val="00133855"/>
    <w:rsid w:val="001416B8"/>
    <w:rsid w:val="00142530"/>
    <w:rsid w:val="0014377A"/>
    <w:rsid w:val="00144C26"/>
    <w:rsid w:val="00145FD1"/>
    <w:rsid w:val="001461E0"/>
    <w:rsid w:val="001467EC"/>
    <w:rsid w:val="00146965"/>
    <w:rsid w:val="0014719E"/>
    <w:rsid w:val="00147937"/>
    <w:rsid w:val="0015183F"/>
    <w:rsid w:val="001529A0"/>
    <w:rsid w:val="00152B4E"/>
    <w:rsid w:val="00152C8D"/>
    <w:rsid w:val="00152F5A"/>
    <w:rsid w:val="00153A50"/>
    <w:rsid w:val="001541A4"/>
    <w:rsid w:val="0015421E"/>
    <w:rsid w:val="001550EF"/>
    <w:rsid w:val="00155752"/>
    <w:rsid w:val="00155805"/>
    <w:rsid w:val="00155DBC"/>
    <w:rsid w:val="00162855"/>
    <w:rsid w:val="00162DF9"/>
    <w:rsid w:val="00163921"/>
    <w:rsid w:val="00165314"/>
    <w:rsid w:val="00165BD6"/>
    <w:rsid w:val="00166BD8"/>
    <w:rsid w:val="001701A2"/>
    <w:rsid w:val="00171589"/>
    <w:rsid w:val="001749E4"/>
    <w:rsid w:val="00175A85"/>
    <w:rsid w:val="001767C3"/>
    <w:rsid w:val="00176FF1"/>
    <w:rsid w:val="00177AE7"/>
    <w:rsid w:val="0018037E"/>
    <w:rsid w:val="00180CD6"/>
    <w:rsid w:val="001813FC"/>
    <w:rsid w:val="00181F06"/>
    <w:rsid w:val="00182948"/>
    <w:rsid w:val="00183D4D"/>
    <w:rsid w:val="00183EE4"/>
    <w:rsid w:val="00185420"/>
    <w:rsid w:val="00185C29"/>
    <w:rsid w:val="00185EDA"/>
    <w:rsid w:val="00190F18"/>
    <w:rsid w:val="00194170"/>
    <w:rsid w:val="001943C7"/>
    <w:rsid w:val="00194B91"/>
    <w:rsid w:val="00194FE5"/>
    <w:rsid w:val="001958D8"/>
    <w:rsid w:val="0019593D"/>
    <w:rsid w:val="00195C82"/>
    <w:rsid w:val="00197160"/>
    <w:rsid w:val="00197735"/>
    <w:rsid w:val="001A085D"/>
    <w:rsid w:val="001A19A3"/>
    <w:rsid w:val="001A2685"/>
    <w:rsid w:val="001A3E49"/>
    <w:rsid w:val="001A60E3"/>
    <w:rsid w:val="001A6FD0"/>
    <w:rsid w:val="001A76BB"/>
    <w:rsid w:val="001B1366"/>
    <w:rsid w:val="001B14F5"/>
    <w:rsid w:val="001B1AFA"/>
    <w:rsid w:val="001B1D7B"/>
    <w:rsid w:val="001B24D8"/>
    <w:rsid w:val="001B2EA8"/>
    <w:rsid w:val="001B59AA"/>
    <w:rsid w:val="001B63C9"/>
    <w:rsid w:val="001B65E0"/>
    <w:rsid w:val="001B7AE9"/>
    <w:rsid w:val="001C005C"/>
    <w:rsid w:val="001C0540"/>
    <w:rsid w:val="001C0695"/>
    <w:rsid w:val="001C1B77"/>
    <w:rsid w:val="001C2564"/>
    <w:rsid w:val="001C2880"/>
    <w:rsid w:val="001C3863"/>
    <w:rsid w:val="001C41B2"/>
    <w:rsid w:val="001C63CF"/>
    <w:rsid w:val="001C7D1C"/>
    <w:rsid w:val="001D15A2"/>
    <w:rsid w:val="001D27AD"/>
    <w:rsid w:val="001D4623"/>
    <w:rsid w:val="001D4FD6"/>
    <w:rsid w:val="001D51A4"/>
    <w:rsid w:val="001D6539"/>
    <w:rsid w:val="001D768B"/>
    <w:rsid w:val="001E10B3"/>
    <w:rsid w:val="001E4C25"/>
    <w:rsid w:val="001E6622"/>
    <w:rsid w:val="001E6BDD"/>
    <w:rsid w:val="001E73BD"/>
    <w:rsid w:val="001F08ED"/>
    <w:rsid w:val="001F0C5C"/>
    <w:rsid w:val="001F3AC4"/>
    <w:rsid w:val="001F47D2"/>
    <w:rsid w:val="001F48AC"/>
    <w:rsid w:val="001F499F"/>
    <w:rsid w:val="001F4CBE"/>
    <w:rsid w:val="001F79BA"/>
    <w:rsid w:val="001F7C41"/>
    <w:rsid w:val="002016B8"/>
    <w:rsid w:val="0020317B"/>
    <w:rsid w:val="00206EA6"/>
    <w:rsid w:val="00206EFC"/>
    <w:rsid w:val="00210DDE"/>
    <w:rsid w:val="002125F5"/>
    <w:rsid w:val="00213230"/>
    <w:rsid w:val="002152B7"/>
    <w:rsid w:val="002155BB"/>
    <w:rsid w:val="00216098"/>
    <w:rsid w:val="0021619C"/>
    <w:rsid w:val="00220595"/>
    <w:rsid w:val="002219F5"/>
    <w:rsid w:val="00221BFC"/>
    <w:rsid w:val="002223AC"/>
    <w:rsid w:val="00224768"/>
    <w:rsid w:val="0022605E"/>
    <w:rsid w:val="0022627F"/>
    <w:rsid w:val="002266A7"/>
    <w:rsid w:val="00227232"/>
    <w:rsid w:val="00230288"/>
    <w:rsid w:val="00230537"/>
    <w:rsid w:val="002313E9"/>
    <w:rsid w:val="00232288"/>
    <w:rsid w:val="00232FCA"/>
    <w:rsid w:val="002361DA"/>
    <w:rsid w:val="0023687B"/>
    <w:rsid w:val="00237A7B"/>
    <w:rsid w:val="00237D84"/>
    <w:rsid w:val="00240168"/>
    <w:rsid w:val="0024238C"/>
    <w:rsid w:val="002440D6"/>
    <w:rsid w:val="0024462B"/>
    <w:rsid w:val="0024466C"/>
    <w:rsid w:val="00245FA9"/>
    <w:rsid w:val="002468C2"/>
    <w:rsid w:val="002470ED"/>
    <w:rsid w:val="0024744A"/>
    <w:rsid w:val="0025086E"/>
    <w:rsid w:val="00250A9C"/>
    <w:rsid w:val="00252495"/>
    <w:rsid w:val="00254516"/>
    <w:rsid w:val="00255264"/>
    <w:rsid w:val="00256B89"/>
    <w:rsid w:val="00256ED4"/>
    <w:rsid w:val="00257253"/>
    <w:rsid w:val="00260AAE"/>
    <w:rsid w:val="00260B33"/>
    <w:rsid w:val="002615CC"/>
    <w:rsid w:val="00261F6D"/>
    <w:rsid w:val="002625F7"/>
    <w:rsid w:val="0026272A"/>
    <w:rsid w:val="00263996"/>
    <w:rsid w:val="0026425A"/>
    <w:rsid w:val="00264BA0"/>
    <w:rsid w:val="0026574A"/>
    <w:rsid w:val="002664FA"/>
    <w:rsid w:val="002668D7"/>
    <w:rsid w:val="00274EAF"/>
    <w:rsid w:val="00277C11"/>
    <w:rsid w:val="00277C1A"/>
    <w:rsid w:val="00280E4C"/>
    <w:rsid w:val="002844CD"/>
    <w:rsid w:val="002845F0"/>
    <w:rsid w:val="002856B7"/>
    <w:rsid w:val="002859F8"/>
    <w:rsid w:val="00285B27"/>
    <w:rsid w:val="002865CE"/>
    <w:rsid w:val="00286BEF"/>
    <w:rsid w:val="002870BC"/>
    <w:rsid w:val="002879E2"/>
    <w:rsid w:val="00292F1C"/>
    <w:rsid w:val="00293477"/>
    <w:rsid w:val="00295B88"/>
    <w:rsid w:val="00295F6E"/>
    <w:rsid w:val="002965F3"/>
    <w:rsid w:val="0029764D"/>
    <w:rsid w:val="00297DF2"/>
    <w:rsid w:val="002A02FF"/>
    <w:rsid w:val="002A302F"/>
    <w:rsid w:val="002A39CA"/>
    <w:rsid w:val="002A59F7"/>
    <w:rsid w:val="002B1C2A"/>
    <w:rsid w:val="002B3A9A"/>
    <w:rsid w:val="002B51AB"/>
    <w:rsid w:val="002B5F9B"/>
    <w:rsid w:val="002B72DF"/>
    <w:rsid w:val="002B7536"/>
    <w:rsid w:val="002B7942"/>
    <w:rsid w:val="002C000B"/>
    <w:rsid w:val="002C065E"/>
    <w:rsid w:val="002C2C06"/>
    <w:rsid w:val="002C3768"/>
    <w:rsid w:val="002C4ABE"/>
    <w:rsid w:val="002C7790"/>
    <w:rsid w:val="002C7EF2"/>
    <w:rsid w:val="002D38F5"/>
    <w:rsid w:val="002D3EEF"/>
    <w:rsid w:val="002D47ED"/>
    <w:rsid w:val="002D5E62"/>
    <w:rsid w:val="002D62A0"/>
    <w:rsid w:val="002E052D"/>
    <w:rsid w:val="002E0DA1"/>
    <w:rsid w:val="002E14A2"/>
    <w:rsid w:val="002E3098"/>
    <w:rsid w:val="002E384B"/>
    <w:rsid w:val="002E3DA5"/>
    <w:rsid w:val="002E4483"/>
    <w:rsid w:val="002E4AA9"/>
    <w:rsid w:val="002E4BF6"/>
    <w:rsid w:val="002E5149"/>
    <w:rsid w:val="002E69E0"/>
    <w:rsid w:val="002F04A3"/>
    <w:rsid w:val="002F0808"/>
    <w:rsid w:val="002F245B"/>
    <w:rsid w:val="002F2C6D"/>
    <w:rsid w:val="002F3346"/>
    <w:rsid w:val="002F3A4A"/>
    <w:rsid w:val="002F3F1D"/>
    <w:rsid w:val="002F6256"/>
    <w:rsid w:val="00300CD6"/>
    <w:rsid w:val="00302D2C"/>
    <w:rsid w:val="00303A1D"/>
    <w:rsid w:val="00305E0D"/>
    <w:rsid w:val="0030694B"/>
    <w:rsid w:val="003069CA"/>
    <w:rsid w:val="00306A71"/>
    <w:rsid w:val="00307B78"/>
    <w:rsid w:val="0031086B"/>
    <w:rsid w:val="00310EB0"/>
    <w:rsid w:val="00313A7B"/>
    <w:rsid w:val="00313BA2"/>
    <w:rsid w:val="00315270"/>
    <w:rsid w:val="00315FE6"/>
    <w:rsid w:val="003163AE"/>
    <w:rsid w:val="0031709C"/>
    <w:rsid w:val="003204C6"/>
    <w:rsid w:val="003204FC"/>
    <w:rsid w:val="00321203"/>
    <w:rsid w:val="003221E9"/>
    <w:rsid w:val="003221FA"/>
    <w:rsid w:val="0032248F"/>
    <w:rsid w:val="00322729"/>
    <w:rsid w:val="00322A00"/>
    <w:rsid w:val="00324231"/>
    <w:rsid w:val="00327FD1"/>
    <w:rsid w:val="00330062"/>
    <w:rsid w:val="003312C2"/>
    <w:rsid w:val="00332F42"/>
    <w:rsid w:val="00332F85"/>
    <w:rsid w:val="003338AC"/>
    <w:rsid w:val="0033411B"/>
    <w:rsid w:val="00335BE4"/>
    <w:rsid w:val="00335F07"/>
    <w:rsid w:val="003370D1"/>
    <w:rsid w:val="003408CC"/>
    <w:rsid w:val="00340B20"/>
    <w:rsid w:val="00340E17"/>
    <w:rsid w:val="00342CC6"/>
    <w:rsid w:val="0034385D"/>
    <w:rsid w:val="003448B5"/>
    <w:rsid w:val="00344B1D"/>
    <w:rsid w:val="00347D4E"/>
    <w:rsid w:val="00351055"/>
    <w:rsid w:val="00351BF6"/>
    <w:rsid w:val="00353838"/>
    <w:rsid w:val="003553CB"/>
    <w:rsid w:val="003559E8"/>
    <w:rsid w:val="003569E0"/>
    <w:rsid w:val="00357ABD"/>
    <w:rsid w:val="003621F5"/>
    <w:rsid w:val="00362BAA"/>
    <w:rsid w:val="003630B6"/>
    <w:rsid w:val="003638C9"/>
    <w:rsid w:val="00363C7B"/>
    <w:rsid w:val="003649EB"/>
    <w:rsid w:val="00365199"/>
    <w:rsid w:val="0037000C"/>
    <w:rsid w:val="00371716"/>
    <w:rsid w:val="00375B6D"/>
    <w:rsid w:val="003766CC"/>
    <w:rsid w:val="003801C3"/>
    <w:rsid w:val="00380D83"/>
    <w:rsid w:val="00385888"/>
    <w:rsid w:val="00385E8C"/>
    <w:rsid w:val="0038795B"/>
    <w:rsid w:val="00387E3D"/>
    <w:rsid w:val="0039045F"/>
    <w:rsid w:val="003939DF"/>
    <w:rsid w:val="00393CB0"/>
    <w:rsid w:val="00393E19"/>
    <w:rsid w:val="003942FF"/>
    <w:rsid w:val="00394525"/>
    <w:rsid w:val="00394E3C"/>
    <w:rsid w:val="00395FB2"/>
    <w:rsid w:val="00395FC9"/>
    <w:rsid w:val="00397EF1"/>
    <w:rsid w:val="003A0C80"/>
    <w:rsid w:val="003A2C3C"/>
    <w:rsid w:val="003A4602"/>
    <w:rsid w:val="003A4A54"/>
    <w:rsid w:val="003A5A22"/>
    <w:rsid w:val="003A5BB1"/>
    <w:rsid w:val="003A79AA"/>
    <w:rsid w:val="003A7C6A"/>
    <w:rsid w:val="003A7D5D"/>
    <w:rsid w:val="003B0A19"/>
    <w:rsid w:val="003B17E0"/>
    <w:rsid w:val="003B20D6"/>
    <w:rsid w:val="003B221D"/>
    <w:rsid w:val="003B2B68"/>
    <w:rsid w:val="003B2D76"/>
    <w:rsid w:val="003B3140"/>
    <w:rsid w:val="003C137C"/>
    <w:rsid w:val="003C169C"/>
    <w:rsid w:val="003C191F"/>
    <w:rsid w:val="003C2B7E"/>
    <w:rsid w:val="003C39D8"/>
    <w:rsid w:val="003C4409"/>
    <w:rsid w:val="003C4AC2"/>
    <w:rsid w:val="003C5058"/>
    <w:rsid w:val="003C5C72"/>
    <w:rsid w:val="003C6CEA"/>
    <w:rsid w:val="003C7519"/>
    <w:rsid w:val="003C7BB5"/>
    <w:rsid w:val="003C7C55"/>
    <w:rsid w:val="003D0181"/>
    <w:rsid w:val="003D2AB6"/>
    <w:rsid w:val="003D2F05"/>
    <w:rsid w:val="003D3754"/>
    <w:rsid w:val="003D3772"/>
    <w:rsid w:val="003D765A"/>
    <w:rsid w:val="003E0F0C"/>
    <w:rsid w:val="003E2458"/>
    <w:rsid w:val="003E4DE6"/>
    <w:rsid w:val="003E51D3"/>
    <w:rsid w:val="003E58AC"/>
    <w:rsid w:val="003E5B8F"/>
    <w:rsid w:val="003E76BA"/>
    <w:rsid w:val="003F1F50"/>
    <w:rsid w:val="003F2BB9"/>
    <w:rsid w:val="003F54FA"/>
    <w:rsid w:val="003F6762"/>
    <w:rsid w:val="00400265"/>
    <w:rsid w:val="00401BD0"/>
    <w:rsid w:val="00401EF1"/>
    <w:rsid w:val="004029DA"/>
    <w:rsid w:val="0040403A"/>
    <w:rsid w:val="00404565"/>
    <w:rsid w:val="00404FBD"/>
    <w:rsid w:val="004054DF"/>
    <w:rsid w:val="00405CE8"/>
    <w:rsid w:val="0040772D"/>
    <w:rsid w:val="00407A7E"/>
    <w:rsid w:val="00410BF8"/>
    <w:rsid w:val="00412B4D"/>
    <w:rsid w:val="0041358D"/>
    <w:rsid w:val="00415979"/>
    <w:rsid w:val="00416497"/>
    <w:rsid w:val="00420AEA"/>
    <w:rsid w:val="0042214C"/>
    <w:rsid w:val="00423FEE"/>
    <w:rsid w:val="004250A7"/>
    <w:rsid w:val="00425105"/>
    <w:rsid w:val="00425316"/>
    <w:rsid w:val="00426011"/>
    <w:rsid w:val="004275CD"/>
    <w:rsid w:val="004310E7"/>
    <w:rsid w:val="0043261F"/>
    <w:rsid w:val="00432C6A"/>
    <w:rsid w:val="0043619A"/>
    <w:rsid w:val="00436265"/>
    <w:rsid w:val="00436B38"/>
    <w:rsid w:val="004370CF"/>
    <w:rsid w:val="00437801"/>
    <w:rsid w:val="00437861"/>
    <w:rsid w:val="004379ED"/>
    <w:rsid w:val="00437B6A"/>
    <w:rsid w:val="004403A1"/>
    <w:rsid w:val="0044387C"/>
    <w:rsid w:val="004458AF"/>
    <w:rsid w:val="004458E6"/>
    <w:rsid w:val="00446352"/>
    <w:rsid w:val="00451520"/>
    <w:rsid w:val="00452FFD"/>
    <w:rsid w:val="00453958"/>
    <w:rsid w:val="00453967"/>
    <w:rsid w:val="00454B29"/>
    <w:rsid w:val="00455BAC"/>
    <w:rsid w:val="0045661D"/>
    <w:rsid w:val="004575A7"/>
    <w:rsid w:val="004579C1"/>
    <w:rsid w:val="00460D3F"/>
    <w:rsid w:val="00460F39"/>
    <w:rsid w:val="00461910"/>
    <w:rsid w:val="00461C8E"/>
    <w:rsid w:val="004622B7"/>
    <w:rsid w:val="00463786"/>
    <w:rsid w:val="00464897"/>
    <w:rsid w:val="0046650C"/>
    <w:rsid w:val="00470596"/>
    <w:rsid w:val="004710AD"/>
    <w:rsid w:val="004714B4"/>
    <w:rsid w:val="004714B8"/>
    <w:rsid w:val="00472C4D"/>
    <w:rsid w:val="00476392"/>
    <w:rsid w:val="00480634"/>
    <w:rsid w:val="0048171C"/>
    <w:rsid w:val="00483721"/>
    <w:rsid w:val="00484096"/>
    <w:rsid w:val="004849E2"/>
    <w:rsid w:val="00485035"/>
    <w:rsid w:val="00485EF5"/>
    <w:rsid w:val="00485FD2"/>
    <w:rsid w:val="004868A4"/>
    <w:rsid w:val="004879D3"/>
    <w:rsid w:val="00491019"/>
    <w:rsid w:val="0049124C"/>
    <w:rsid w:val="00493048"/>
    <w:rsid w:val="004946FA"/>
    <w:rsid w:val="00495D6C"/>
    <w:rsid w:val="004965E3"/>
    <w:rsid w:val="00497C89"/>
    <w:rsid w:val="004A0B13"/>
    <w:rsid w:val="004A0D5B"/>
    <w:rsid w:val="004A3099"/>
    <w:rsid w:val="004A40B7"/>
    <w:rsid w:val="004A696C"/>
    <w:rsid w:val="004A6FAD"/>
    <w:rsid w:val="004B0944"/>
    <w:rsid w:val="004B11D1"/>
    <w:rsid w:val="004B23FA"/>
    <w:rsid w:val="004B2C53"/>
    <w:rsid w:val="004B6D99"/>
    <w:rsid w:val="004B785F"/>
    <w:rsid w:val="004B7AD0"/>
    <w:rsid w:val="004C16EC"/>
    <w:rsid w:val="004C3641"/>
    <w:rsid w:val="004C45EB"/>
    <w:rsid w:val="004C4CAE"/>
    <w:rsid w:val="004C62ED"/>
    <w:rsid w:val="004C689C"/>
    <w:rsid w:val="004D02D4"/>
    <w:rsid w:val="004D0766"/>
    <w:rsid w:val="004D0BFA"/>
    <w:rsid w:val="004D0C6B"/>
    <w:rsid w:val="004D15D1"/>
    <w:rsid w:val="004D1A79"/>
    <w:rsid w:val="004D223C"/>
    <w:rsid w:val="004D22E4"/>
    <w:rsid w:val="004D3C00"/>
    <w:rsid w:val="004D4B5C"/>
    <w:rsid w:val="004D4CC6"/>
    <w:rsid w:val="004D5542"/>
    <w:rsid w:val="004D59DE"/>
    <w:rsid w:val="004E3B3A"/>
    <w:rsid w:val="004E58D2"/>
    <w:rsid w:val="004E63B1"/>
    <w:rsid w:val="004E7CD1"/>
    <w:rsid w:val="004E7E47"/>
    <w:rsid w:val="004F0393"/>
    <w:rsid w:val="004F0A20"/>
    <w:rsid w:val="004F15B2"/>
    <w:rsid w:val="004F266A"/>
    <w:rsid w:val="004F5B04"/>
    <w:rsid w:val="004F73B0"/>
    <w:rsid w:val="00501107"/>
    <w:rsid w:val="00501617"/>
    <w:rsid w:val="00501E66"/>
    <w:rsid w:val="005039FB"/>
    <w:rsid w:val="00503DD0"/>
    <w:rsid w:val="00505E02"/>
    <w:rsid w:val="00506F46"/>
    <w:rsid w:val="00515BE8"/>
    <w:rsid w:val="0052074B"/>
    <w:rsid w:val="0052094A"/>
    <w:rsid w:val="00521273"/>
    <w:rsid w:val="00521C36"/>
    <w:rsid w:val="00521E08"/>
    <w:rsid w:val="00522CD1"/>
    <w:rsid w:val="00523119"/>
    <w:rsid w:val="00525824"/>
    <w:rsid w:val="00526168"/>
    <w:rsid w:val="005263BA"/>
    <w:rsid w:val="0052709F"/>
    <w:rsid w:val="00531BE8"/>
    <w:rsid w:val="00532372"/>
    <w:rsid w:val="005325E4"/>
    <w:rsid w:val="00533DED"/>
    <w:rsid w:val="005342C1"/>
    <w:rsid w:val="00536190"/>
    <w:rsid w:val="00536758"/>
    <w:rsid w:val="00537239"/>
    <w:rsid w:val="005373F9"/>
    <w:rsid w:val="00537503"/>
    <w:rsid w:val="0054101E"/>
    <w:rsid w:val="00541F74"/>
    <w:rsid w:val="005421DF"/>
    <w:rsid w:val="00544B25"/>
    <w:rsid w:val="00544DA8"/>
    <w:rsid w:val="00550622"/>
    <w:rsid w:val="00551A15"/>
    <w:rsid w:val="00552B1B"/>
    <w:rsid w:val="0055593B"/>
    <w:rsid w:val="00555AAC"/>
    <w:rsid w:val="00555FAB"/>
    <w:rsid w:val="005569E8"/>
    <w:rsid w:val="0055739F"/>
    <w:rsid w:val="00560069"/>
    <w:rsid w:val="00560295"/>
    <w:rsid w:val="0056096D"/>
    <w:rsid w:val="00561397"/>
    <w:rsid w:val="00562C84"/>
    <w:rsid w:val="00565543"/>
    <w:rsid w:val="00566F65"/>
    <w:rsid w:val="005673BF"/>
    <w:rsid w:val="005675CA"/>
    <w:rsid w:val="00567EFA"/>
    <w:rsid w:val="0057029C"/>
    <w:rsid w:val="00570B27"/>
    <w:rsid w:val="005717C9"/>
    <w:rsid w:val="005728BC"/>
    <w:rsid w:val="00573B4D"/>
    <w:rsid w:val="00574169"/>
    <w:rsid w:val="005741D4"/>
    <w:rsid w:val="00574A16"/>
    <w:rsid w:val="005761C5"/>
    <w:rsid w:val="0057659C"/>
    <w:rsid w:val="00576DBE"/>
    <w:rsid w:val="005773F8"/>
    <w:rsid w:val="00582099"/>
    <w:rsid w:val="00582310"/>
    <w:rsid w:val="00582B30"/>
    <w:rsid w:val="00583F8F"/>
    <w:rsid w:val="00586E49"/>
    <w:rsid w:val="00587B74"/>
    <w:rsid w:val="00590A36"/>
    <w:rsid w:val="005923D8"/>
    <w:rsid w:val="00593346"/>
    <w:rsid w:val="005934B4"/>
    <w:rsid w:val="00594308"/>
    <w:rsid w:val="00594375"/>
    <w:rsid w:val="0059522F"/>
    <w:rsid w:val="005964AB"/>
    <w:rsid w:val="0059663B"/>
    <w:rsid w:val="005A22FC"/>
    <w:rsid w:val="005A52B0"/>
    <w:rsid w:val="005A664D"/>
    <w:rsid w:val="005A666F"/>
    <w:rsid w:val="005A6933"/>
    <w:rsid w:val="005A6E45"/>
    <w:rsid w:val="005A711D"/>
    <w:rsid w:val="005B1EA6"/>
    <w:rsid w:val="005B1F38"/>
    <w:rsid w:val="005B2A94"/>
    <w:rsid w:val="005B59E0"/>
    <w:rsid w:val="005C0030"/>
    <w:rsid w:val="005C2A0A"/>
    <w:rsid w:val="005C446A"/>
    <w:rsid w:val="005C4F8F"/>
    <w:rsid w:val="005C757C"/>
    <w:rsid w:val="005D0CD8"/>
    <w:rsid w:val="005D1887"/>
    <w:rsid w:val="005D40FF"/>
    <w:rsid w:val="005D5339"/>
    <w:rsid w:val="005D6013"/>
    <w:rsid w:val="005D7E73"/>
    <w:rsid w:val="005E2FE4"/>
    <w:rsid w:val="005E5E46"/>
    <w:rsid w:val="005E6867"/>
    <w:rsid w:val="005E6961"/>
    <w:rsid w:val="005F036E"/>
    <w:rsid w:val="005F055A"/>
    <w:rsid w:val="005F216A"/>
    <w:rsid w:val="005F3222"/>
    <w:rsid w:val="005F36B3"/>
    <w:rsid w:val="005F41CF"/>
    <w:rsid w:val="005F5195"/>
    <w:rsid w:val="005F6238"/>
    <w:rsid w:val="005F73D4"/>
    <w:rsid w:val="005F7643"/>
    <w:rsid w:val="006002E6"/>
    <w:rsid w:val="00600AFB"/>
    <w:rsid w:val="0060395E"/>
    <w:rsid w:val="00604673"/>
    <w:rsid w:val="0060674F"/>
    <w:rsid w:val="00607228"/>
    <w:rsid w:val="0060754A"/>
    <w:rsid w:val="00607850"/>
    <w:rsid w:val="00607EB2"/>
    <w:rsid w:val="00610C9F"/>
    <w:rsid w:val="0061352F"/>
    <w:rsid w:val="00613999"/>
    <w:rsid w:val="00613B26"/>
    <w:rsid w:val="00615C91"/>
    <w:rsid w:val="00617093"/>
    <w:rsid w:val="00617E66"/>
    <w:rsid w:val="006206E6"/>
    <w:rsid w:val="0062102E"/>
    <w:rsid w:val="00621051"/>
    <w:rsid w:val="00621BD2"/>
    <w:rsid w:val="00622C3C"/>
    <w:rsid w:val="00623481"/>
    <w:rsid w:val="00623505"/>
    <w:rsid w:val="006245A9"/>
    <w:rsid w:val="00625CDF"/>
    <w:rsid w:val="006310DF"/>
    <w:rsid w:val="00633104"/>
    <w:rsid w:val="00633E89"/>
    <w:rsid w:val="00634233"/>
    <w:rsid w:val="00634877"/>
    <w:rsid w:val="00636611"/>
    <w:rsid w:val="00636FC8"/>
    <w:rsid w:val="00640FFA"/>
    <w:rsid w:val="00643202"/>
    <w:rsid w:val="006432A8"/>
    <w:rsid w:val="00644CAD"/>
    <w:rsid w:val="006451BF"/>
    <w:rsid w:val="0064621B"/>
    <w:rsid w:val="00647F2F"/>
    <w:rsid w:val="00647F99"/>
    <w:rsid w:val="006500B1"/>
    <w:rsid w:val="00650CA4"/>
    <w:rsid w:val="00650F8C"/>
    <w:rsid w:val="00651239"/>
    <w:rsid w:val="0065280F"/>
    <w:rsid w:val="00653119"/>
    <w:rsid w:val="006532CA"/>
    <w:rsid w:val="0065481F"/>
    <w:rsid w:val="00654CB6"/>
    <w:rsid w:val="00655878"/>
    <w:rsid w:val="00655D62"/>
    <w:rsid w:val="00655DA6"/>
    <w:rsid w:val="00655F0E"/>
    <w:rsid w:val="00656E0A"/>
    <w:rsid w:val="0065716D"/>
    <w:rsid w:val="00657D39"/>
    <w:rsid w:val="00657F22"/>
    <w:rsid w:val="00661727"/>
    <w:rsid w:val="00662767"/>
    <w:rsid w:val="0066306F"/>
    <w:rsid w:val="00664A06"/>
    <w:rsid w:val="00665C90"/>
    <w:rsid w:val="006672CE"/>
    <w:rsid w:val="0067028C"/>
    <w:rsid w:val="00671C04"/>
    <w:rsid w:val="00672C28"/>
    <w:rsid w:val="0067367D"/>
    <w:rsid w:val="00675138"/>
    <w:rsid w:val="00675AEA"/>
    <w:rsid w:val="00676149"/>
    <w:rsid w:val="006771F7"/>
    <w:rsid w:val="00677E06"/>
    <w:rsid w:val="006820E3"/>
    <w:rsid w:val="0068275B"/>
    <w:rsid w:val="00683FCB"/>
    <w:rsid w:val="00684ABA"/>
    <w:rsid w:val="00684B85"/>
    <w:rsid w:val="00684FEF"/>
    <w:rsid w:val="006855E4"/>
    <w:rsid w:val="00690E9E"/>
    <w:rsid w:val="006926E5"/>
    <w:rsid w:val="00694090"/>
    <w:rsid w:val="00694117"/>
    <w:rsid w:val="00694D86"/>
    <w:rsid w:val="00694E40"/>
    <w:rsid w:val="00695DFB"/>
    <w:rsid w:val="006966A2"/>
    <w:rsid w:val="00696ABF"/>
    <w:rsid w:val="00697147"/>
    <w:rsid w:val="006972E1"/>
    <w:rsid w:val="006975E5"/>
    <w:rsid w:val="00697795"/>
    <w:rsid w:val="006A0C25"/>
    <w:rsid w:val="006A36C6"/>
    <w:rsid w:val="006A3A11"/>
    <w:rsid w:val="006A3EDD"/>
    <w:rsid w:val="006A4CDF"/>
    <w:rsid w:val="006A653A"/>
    <w:rsid w:val="006A696F"/>
    <w:rsid w:val="006B0C76"/>
    <w:rsid w:val="006B0F2A"/>
    <w:rsid w:val="006B4178"/>
    <w:rsid w:val="006B582E"/>
    <w:rsid w:val="006B6849"/>
    <w:rsid w:val="006B72BB"/>
    <w:rsid w:val="006B7DCE"/>
    <w:rsid w:val="006C0B95"/>
    <w:rsid w:val="006C1958"/>
    <w:rsid w:val="006C2128"/>
    <w:rsid w:val="006C265F"/>
    <w:rsid w:val="006C2803"/>
    <w:rsid w:val="006C4290"/>
    <w:rsid w:val="006C456F"/>
    <w:rsid w:val="006C7205"/>
    <w:rsid w:val="006C7C02"/>
    <w:rsid w:val="006D001E"/>
    <w:rsid w:val="006D089E"/>
    <w:rsid w:val="006D0FBF"/>
    <w:rsid w:val="006D0FC5"/>
    <w:rsid w:val="006D1829"/>
    <w:rsid w:val="006D19AA"/>
    <w:rsid w:val="006D2D75"/>
    <w:rsid w:val="006D31C4"/>
    <w:rsid w:val="006D3465"/>
    <w:rsid w:val="006D5A20"/>
    <w:rsid w:val="006D614F"/>
    <w:rsid w:val="006E0358"/>
    <w:rsid w:val="006E03F9"/>
    <w:rsid w:val="006E05EB"/>
    <w:rsid w:val="006E146F"/>
    <w:rsid w:val="006E4739"/>
    <w:rsid w:val="006E5145"/>
    <w:rsid w:val="006E6243"/>
    <w:rsid w:val="006E6DA0"/>
    <w:rsid w:val="006E78FE"/>
    <w:rsid w:val="006F0C2E"/>
    <w:rsid w:val="006F2273"/>
    <w:rsid w:val="006F4959"/>
    <w:rsid w:val="006F5634"/>
    <w:rsid w:val="006F6461"/>
    <w:rsid w:val="006F649F"/>
    <w:rsid w:val="006F678B"/>
    <w:rsid w:val="006F69EE"/>
    <w:rsid w:val="006F7DD8"/>
    <w:rsid w:val="00700769"/>
    <w:rsid w:val="00700ACA"/>
    <w:rsid w:val="00703C0D"/>
    <w:rsid w:val="00707507"/>
    <w:rsid w:val="0071322A"/>
    <w:rsid w:val="00715273"/>
    <w:rsid w:val="00715D88"/>
    <w:rsid w:val="00717AB4"/>
    <w:rsid w:val="007202FE"/>
    <w:rsid w:val="00722206"/>
    <w:rsid w:val="00723019"/>
    <w:rsid w:val="007232D0"/>
    <w:rsid w:val="00724CBB"/>
    <w:rsid w:val="00725EFD"/>
    <w:rsid w:val="0072635F"/>
    <w:rsid w:val="00726495"/>
    <w:rsid w:val="007268A6"/>
    <w:rsid w:val="00727168"/>
    <w:rsid w:val="0073100B"/>
    <w:rsid w:val="007313EA"/>
    <w:rsid w:val="007319ED"/>
    <w:rsid w:val="0073233C"/>
    <w:rsid w:val="007326D4"/>
    <w:rsid w:val="00732D5C"/>
    <w:rsid w:val="00733455"/>
    <w:rsid w:val="00734434"/>
    <w:rsid w:val="007347B0"/>
    <w:rsid w:val="00734C0E"/>
    <w:rsid w:val="00734EAB"/>
    <w:rsid w:val="0074190E"/>
    <w:rsid w:val="00743671"/>
    <w:rsid w:val="00743E19"/>
    <w:rsid w:val="00744325"/>
    <w:rsid w:val="007449E4"/>
    <w:rsid w:val="007456C0"/>
    <w:rsid w:val="007458EC"/>
    <w:rsid w:val="007463E8"/>
    <w:rsid w:val="00747EB5"/>
    <w:rsid w:val="007505B4"/>
    <w:rsid w:val="00750602"/>
    <w:rsid w:val="00751011"/>
    <w:rsid w:val="00753FD4"/>
    <w:rsid w:val="0075637A"/>
    <w:rsid w:val="00756D15"/>
    <w:rsid w:val="0075755C"/>
    <w:rsid w:val="0076271D"/>
    <w:rsid w:val="00763948"/>
    <w:rsid w:val="00763F15"/>
    <w:rsid w:val="00764754"/>
    <w:rsid w:val="007649ED"/>
    <w:rsid w:val="007665C9"/>
    <w:rsid w:val="0076767B"/>
    <w:rsid w:val="0077116D"/>
    <w:rsid w:val="007716BE"/>
    <w:rsid w:val="007718C5"/>
    <w:rsid w:val="00771AC6"/>
    <w:rsid w:val="00771CB1"/>
    <w:rsid w:val="00772E8B"/>
    <w:rsid w:val="007738DF"/>
    <w:rsid w:val="00774848"/>
    <w:rsid w:val="00775723"/>
    <w:rsid w:val="00775F34"/>
    <w:rsid w:val="00780384"/>
    <w:rsid w:val="00781DD2"/>
    <w:rsid w:val="00782EC2"/>
    <w:rsid w:val="00783079"/>
    <w:rsid w:val="00783198"/>
    <w:rsid w:val="00784819"/>
    <w:rsid w:val="0078505A"/>
    <w:rsid w:val="0078608A"/>
    <w:rsid w:val="00786291"/>
    <w:rsid w:val="00786D02"/>
    <w:rsid w:val="00787294"/>
    <w:rsid w:val="00790336"/>
    <w:rsid w:val="00790688"/>
    <w:rsid w:val="00790D33"/>
    <w:rsid w:val="0079127C"/>
    <w:rsid w:val="00793AD1"/>
    <w:rsid w:val="007943B5"/>
    <w:rsid w:val="0079473B"/>
    <w:rsid w:val="0079598D"/>
    <w:rsid w:val="00795EDB"/>
    <w:rsid w:val="007961C8"/>
    <w:rsid w:val="007961E7"/>
    <w:rsid w:val="00796785"/>
    <w:rsid w:val="0079687F"/>
    <w:rsid w:val="0079701A"/>
    <w:rsid w:val="00797F72"/>
    <w:rsid w:val="007A0773"/>
    <w:rsid w:val="007A11FE"/>
    <w:rsid w:val="007A4987"/>
    <w:rsid w:val="007A60B6"/>
    <w:rsid w:val="007A6933"/>
    <w:rsid w:val="007B01D5"/>
    <w:rsid w:val="007B04A2"/>
    <w:rsid w:val="007B1125"/>
    <w:rsid w:val="007B15C2"/>
    <w:rsid w:val="007B2016"/>
    <w:rsid w:val="007B26DF"/>
    <w:rsid w:val="007B3E2A"/>
    <w:rsid w:val="007B6768"/>
    <w:rsid w:val="007B6BB1"/>
    <w:rsid w:val="007B7B3A"/>
    <w:rsid w:val="007C1D00"/>
    <w:rsid w:val="007C20CD"/>
    <w:rsid w:val="007C3D12"/>
    <w:rsid w:val="007C4915"/>
    <w:rsid w:val="007C62B5"/>
    <w:rsid w:val="007C6562"/>
    <w:rsid w:val="007C6C2A"/>
    <w:rsid w:val="007C71DA"/>
    <w:rsid w:val="007C73C3"/>
    <w:rsid w:val="007C7569"/>
    <w:rsid w:val="007D0335"/>
    <w:rsid w:val="007D13A1"/>
    <w:rsid w:val="007D34E6"/>
    <w:rsid w:val="007D3E1F"/>
    <w:rsid w:val="007D74F0"/>
    <w:rsid w:val="007D7859"/>
    <w:rsid w:val="007E3E6E"/>
    <w:rsid w:val="007E4D5E"/>
    <w:rsid w:val="007E560E"/>
    <w:rsid w:val="007E6676"/>
    <w:rsid w:val="007F1D51"/>
    <w:rsid w:val="007F44A2"/>
    <w:rsid w:val="007F4ED4"/>
    <w:rsid w:val="007F6766"/>
    <w:rsid w:val="007F7441"/>
    <w:rsid w:val="0080140F"/>
    <w:rsid w:val="00802B36"/>
    <w:rsid w:val="00803D33"/>
    <w:rsid w:val="008046AD"/>
    <w:rsid w:val="008056BD"/>
    <w:rsid w:val="00807123"/>
    <w:rsid w:val="00810B40"/>
    <w:rsid w:val="00810C4B"/>
    <w:rsid w:val="00810F7F"/>
    <w:rsid w:val="00811046"/>
    <w:rsid w:val="008111D7"/>
    <w:rsid w:val="008113CE"/>
    <w:rsid w:val="0081148A"/>
    <w:rsid w:val="00817160"/>
    <w:rsid w:val="0081720D"/>
    <w:rsid w:val="00822AAE"/>
    <w:rsid w:val="00823851"/>
    <w:rsid w:val="008242FB"/>
    <w:rsid w:val="00824D41"/>
    <w:rsid w:val="00827D8A"/>
    <w:rsid w:val="008313C9"/>
    <w:rsid w:val="00831CBB"/>
    <w:rsid w:val="0083235D"/>
    <w:rsid w:val="00833604"/>
    <w:rsid w:val="00833B07"/>
    <w:rsid w:val="00833C29"/>
    <w:rsid w:val="00833D3E"/>
    <w:rsid w:val="0083406C"/>
    <w:rsid w:val="00834CE0"/>
    <w:rsid w:val="00834CF9"/>
    <w:rsid w:val="008363B2"/>
    <w:rsid w:val="00840AF0"/>
    <w:rsid w:val="00841874"/>
    <w:rsid w:val="008427DA"/>
    <w:rsid w:val="008434A3"/>
    <w:rsid w:val="008445A2"/>
    <w:rsid w:val="0084488E"/>
    <w:rsid w:val="00845452"/>
    <w:rsid w:val="00846A11"/>
    <w:rsid w:val="00847515"/>
    <w:rsid w:val="00847662"/>
    <w:rsid w:val="008539F9"/>
    <w:rsid w:val="008564D2"/>
    <w:rsid w:val="008576F0"/>
    <w:rsid w:val="008605AB"/>
    <w:rsid w:val="0086070C"/>
    <w:rsid w:val="008609BE"/>
    <w:rsid w:val="00862AFB"/>
    <w:rsid w:val="00862B8D"/>
    <w:rsid w:val="00862E46"/>
    <w:rsid w:val="00864906"/>
    <w:rsid w:val="00864CD5"/>
    <w:rsid w:val="0086511A"/>
    <w:rsid w:val="0086590F"/>
    <w:rsid w:val="00865B71"/>
    <w:rsid w:val="008674AD"/>
    <w:rsid w:val="00870D62"/>
    <w:rsid w:val="00871624"/>
    <w:rsid w:val="00872765"/>
    <w:rsid w:val="00872CBB"/>
    <w:rsid w:val="00873CE0"/>
    <w:rsid w:val="0087417D"/>
    <w:rsid w:val="00874DF5"/>
    <w:rsid w:val="008763B1"/>
    <w:rsid w:val="008769DB"/>
    <w:rsid w:val="00877279"/>
    <w:rsid w:val="00881657"/>
    <w:rsid w:val="008853FC"/>
    <w:rsid w:val="00887BCE"/>
    <w:rsid w:val="0089111A"/>
    <w:rsid w:val="0089576E"/>
    <w:rsid w:val="008957BB"/>
    <w:rsid w:val="00895FE4"/>
    <w:rsid w:val="00896177"/>
    <w:rsid w:val="00896A09"/>
    <w:rsid w:val="008974F5"/>
    <w:rsid w:val="008A143F"/>
    <w:rsid w:val="008A15D9"/>
    <w:rsid w:val="008A2A9F"/>
    <w:rsid w:val="008A4D1D"/>
    <w:rsid w:val="008A758B"/>
    <w:rsid w:val="008A7695"/>
    <w:rsid w:val="008B04EE"/>
    <w:rsid w:val="008B2322"/>
    <w:rsid w:val="008B5C37"/>
    <w:rsid w:val="008B6893"/>
    <w:rsid w:val="008B6DCC"/>
    <w:rsid w:val="008B6FE9"/>
    <w:rsid w:val="008B707D"/>
    <w:rsid w:val="008B78A9"/>
    <w:rsid w:val="008B7BC8"/>
    <w:rsid w:val="008C2DF9"/>
    <w:rsid w:val="008C4359"/>
    <w:rsid w:val="008C7455"/>
    <w:rsid w:val="008D0B51"/>
    <w:rsid w:val="008D0CBC"/>
    <w:rsid w:val="008D2024"/>
    <w:rsid w:val="008D30F4"/>
    <w:rsid w:val="008D4BF6"/>
    <w:rsid w:val="008D58DF"/>
    <w:rsid w:val="008D5A03"/>
    <w:rsid w:val="008D669B"/>
    <w:rsid w:val="008D6A58"/>
    <w:rsid w:val="008D7EEE"/>
    <w:rsid w:val="008E0CB1"/>
    <w:rsid w:val="008E0FF1"/>
    <w:rsid w:val="008E117D"/>
    <w:rsid w:val="008E145C"/>
    <w:rsid w:val="008E1A0F"/>
    <w:rsid w:val="008E29BB"/>
    <w:rsid w:val="008E409F"/>
    <w:rsid w:val="008E47A7"/>
    <w:rsid w:val="008E48A0"/>
    <w:rsid w:val="008E4BFF"/>
    <w:rsid w:val="008E5782"/>
    <w:rsid w:val="008E69B7"/>
    <w:rsid w:val="008E7074"/>
    <w:rsid w:val="008E72C2"/>
    <w:rsid w:val="008E750C"/>
    <w:rsid w:val="008F00AC"/>
    <w:rsid w:val="008F1892"/>
    <w:rsid w:val="008F289E"/>
    <w:rsid w:val="008F3E28"/>
    <w:rsid w:val="008F5F54"/>
    <w:rsid w:val="008F6F72"/>
    <w:rsid w:val="008F747F"/>
    <w:rsid w:val="008F7C5F"/>
    <w:rsid w:val="00900319"/>
    <w:rsid w:val="00900546"/>
    <w:rsid w:val="00901BF8"/>
    <w:rsid w:val="009054A0"/>
    <w:rsid w:val="00906775"/>
    <w:rsid w:val="0091443C"/>
    <w:rsid w:val="00914B07"/>
    <w:rsid w:val="00914DAA"/>
    <w:rsid w:val="00915827"/>
    <w:rsid w:val="00916843"/>
    <w:rsid w:val="00916CBF"/>
    <w:rsid w:val="00922A3D"/>
    <w:rsid w:val="00922C0B"/>
    <w:rsid w:val="00923E2A"/>
    <w:rsid w:val="009250C6"/>
    <w:rsid w:val="00926E9A"/>
    <w:rsid w:val="00926FB8"/>
    <w:rsid w:val="00927BB8"/>
    <w:rsid w:val="00930407"/>
    <w:rsid w:val="00930C45"/>
    <w:rsid w:val="00930F27"/>
    <w:rsid w:val="00931E9F"/>
    <w:rsid w:val="0093202C"/>
    <w:rsid w:val="00933CF5"/>
    <w:rsid w:val="0093471D"/>
    <w:rsid w:val="00935427"/>
    <w:rsid w:val="00936182"/>
    <w:rsid w:val="00937F85"/>
    <w:rsid w:val="009418B6"/>
    <w:rsid w:val="0094328A"/>
    <w:rsid w:val="009435C6"/>
    <w:rsid w:val="009460E4"/>
    <w:rsid w:val="00946456"/>
    <w:rsid w:val="00946AF0"/>
    <w:rsid w:val="00946DCE"/>
    <w:rsid w:val="009474F8"/>
    <w:rsid w:val="00947C54"/>
    <w:rsid w:val="00947CDC"/>
    <w:rsid w:val="009511F3"/>
    <w:rsid w:val="00952512"/>
    <w:rsid w:val="009525FE"/>
    <w:rsid w:val="009534F2"/>
    <w:rsid w:val="00954AA0"/>
    <w:rsid w:val="009569FB"/>
    <w:rsid w:val="00965382"/>
    <w:rsid w:val="00966898"/>
    <w:rsid w:val="00967745"/>
    <w:rsid w:val="00967F0F"/>
    <w:rsid w:val="00970BF4"/>
    <w:rsid w:val="00971C9E"/>
    <w:rsid w:val="0097328A"/>
    <w:rsid w:val="00974954"/>
    <w:rsid w:val="00975884"/>
    <w:rsid w:val="00976119"/>
    <w:rsid w:val="00976C84"/>
    <w:rsid w:val="00977483"/>
    <w:rsid w:val="00977680"/>
    <w:rsid w:val="00980A8E"/>
    <w:rsid w:val="00980EE0"/>
    <w:rsid w:val="00983EC8"/>
    <w:rsid w:val="00986247"/>
    <w:rsid w:val="00986D2C"/>
    <w:rsid w:val="00990DBA"/>
    <w:rsid w:val="009926A7"/>
    <w:rsid w:val="00992AE5"/>
    <w:rsid w:val="00992AEA"/>
    <w:rsid w:val="0099556D"/>
    <w:rsid w:val="00995A58"/>
    <w:rsid w:val="009966BD"/>
    <w:rsid w:val="00996AE7"/>
    <w:rsid w:val="009A0E39"/>
    <w:rsid w:val="009A0ED7"/>
    <w:rsid w:val="009A1AF9"/>
    <w:rsid w:val="009A33F0"/>
    <w:rsid w:val="009A473B"/>
    <w:rsid w:val="009A4A60"/>
    <w:rsid w:val="009A54F5"/>
    <w:rsid w:val="009A5719"/>
    <w:rsid w:val="009A688A"/>
    <w:rsid w:val="009B2698"/>
    <w:rsid w:val="009B2A72"/>
    <w:rsid w:val="009B2DD4"/>
    <w:rsid w:val="009B3093"/>
    <w:rsid w:val="009B3D89"/>
    <w:rsid w:val="009B4104"/>
    <w:rsid w:val="009B4384"/>
    <w:rsid w:val="009B460A"/>
    <w:rsid w:val="009B4B81"/>
    <w:rsid w:val="009B4D69"/>
    <w:rsid w:val="009B50BF"/>
    <w:rsid w:val="009B533B"/>
    <w:rsid w:val="009B66C7"/>
    <w:rsid w:val="009B7699"/>
    <w:rsid w:val="009C01BB"/>
    <w:rsid w:val="009C078B"/>
    <w:rsid w:val="009C124E"/>
    <w:rsid w:val="009C1691"/>
    <w:rsid w:val="009C3029"/>
    <w:rsid w:val="009C330F"/>
    <w:rsid w:val="009C3577"/>
    <w:rsid w:val="009C5C8A"/>
    <w:rsid w:val="009C7077"/>
    <w:rsid w:val="009D02B1"/>
    <w:rsid w:val="009D1023"/>
    <w:rsid w:val="009D20F6"/>
    <w:rsid w:val="009D2359"/>
    <w:rsid w:val="009D2DAB"/>
    <w:rsid w:val="009D38C8"/>
    <w:rsid w:val="009D44E6"/>
    <w:rsid w:val="009D4F98"/>
    <w:rsid w:val="009D6B65"/>
    <w:rsid w:val="009D7002"/>
    <w:rsid w:val="009E032B"/>
    <w:rsid w:val="009E099F"/>
    <w:rsid w:val="009E31BB"/>
    <w:rsid w:val="009E31DF"/>
    <w:rsid w:val="009E3629"/>
    <w:rsid w:val="009E4756"/>
    <w:rsid w:val="009E7521"/>
    <w:rsid w:val="009E7A60"/>
    <w:rsid w:val="009F0604"/>
    <w:rsid w:val="009F0EE4"/>
    <w:rsid w:val="009F112B"/>
    <w:rsid w:val="009F1666"/>
    <w:rsid w:val="009F45C6"/>
    <w:rsid w:val="009F5B63"/>
    <w:rsid w:val="009F5D17"/>
    <w:rsid w:val="00A01113"/>
    <w:rsid w:val="00A02519"/>
    <w:rsid w:val="00A026A3"/>
    <w:rsid w:val="00A040BA"/>
    <w:rsid w:val="00A04BA1"/>
    <w:rsid w:val="00A054FA"/>
    <w:rsid w:val="00A05A40"/>
    <w:rsid w:val="00A05B76"/>
    <w:rsid w:val="00A05F84"/>
    <w:rsid w:val="00A06A38"/>
    <w:rsid w:val="00A06A79"/>
    <w:rsid w:val="00A07DD5"/>
    <w:rsid w:val="00A1011F"/>
    <w:rsid w:val="00A10FCC"/>
    <w:rsid w:val="00A119CC"/>
    <w:rsid w:val="00A1225D"/>
    <w:rsid w:val="00A12DDE"/>
    <w:rsid w:val="00A153F8"/>
    <w:rsid w:val="00A175ED"/>
    <w:rsid w:val="00A20523"/>
    <w:rsid w:val="00A2301D"/>
    <w:rsid w:val="00A271AF"/>
    <w:rsid w:val="00A308BF"/>
    <w:rsid w:val="00A31652"/>
    <w:rsid w:val="00A33B9B"/>
    <w:rsid w:val="00A34CBF"/>
    <w:rsid w:val="00A37FAC"/>
    <w:rsid w:val="00A41A00"/>
    <w:rsid w:val="00A42C9C"/>
    <w:rsid w:val="00A43103"/>
    <w:rsid w:val="00A43F4A"/>
    <w:rsid w:val="00A456C2"/>
    <w:rsid w:val="00A458F1"/>
    <w:rsid w:val="00A45D12"/>
    <w:rsid w:val="00A46C17"/>
    <w:rsid w:val="00A508CA"/>
    <w:rsid w:val="00A5135C"/>
    <w:rsid w:val="00A51A0F"/>
    <w:rsid w:val="00A5219B"/>
    <w:rsid w:val="00A52BF8"/>
    <w:rsid w:val="00A53102"/>
    <w:rsid w:val="00A546E2"/>
    <w:rsid w:val="00A5643F"/>
    <w:rsid w:val="00A56B75"/>
    <w:rsid w:val="00A56E1A"/>
    <w:rsid w:val="00A57398"/>
    <w:rsid w:val="00A57B1E"/>
    <w:rsid w:val="00A6159C"/>
    <w:rsid w:val="00A61DD4"/>
    <w:rsid w:val="00A64184"/>
    <w:rsid w:val="00A649A5"/>
    <w:rsid w:val="00A65080"/>
    <w:rsid w:val="00A6548B"/>
    <w:rsid w:val="00A6692F"/>
    <w:rsid w:val="00A707FE"/>
    <w:rsid w:val="00A70AAE"/>
    <w:rsid w:val="00A7494C"/>
    <w:rsid w:val="00A74EF2"/>
    <w:rsid w:val="00A752A5"/>
    <w:rsid w:val="00A75E26"/>
    <w:rsid w:val="00A76C1C"/>
    <w:rsid w:val="00A77E73"/>
    <w:rsid w:val="00A81501"/>
    <w:rsid w:val="00A820D5"/>
    <w:rsid w:val="00A82388"/>
    <w:rsid w:val="00A83365"/>
    <w:rsid w:val="00A84A78"/>
    <w:rsid w:val="00A855B7"/>
    <w:rsid w:val="00A874BD"/>
    <w:rsid w:val="00A87CDD"/>
    <w:rsid w:val="00A87D5B"/>
    <w:rsid w:val="00A9054C"/>
    <w:rsid w:val="00A90E79"/>
    <w:rsid w:val="00A911E3"/>
    <w:rsid w:val="00A919A5"/>
    <w:rsid w:val="00A93D1A"/>
    <w:rsid w:val="00A93EF1"/>
    <w:rsid w:val="00A94520"/>
    <w:rsid w:val="00A945FD"/>
    <w:rsid w:val="00A94638"/>
    <w:rsid w:val="00A95958"/>
    <w:rsid w:val="00A9705E"/>
    <w:rsid w:val="00A97763"/>
    <w:rsid w:val="00AA25EE"/>
    <w:rsid w:val="00AA324B"/>
    <w:rsid w:val="00AA3B97"/>
    <w:rsid w:val="00AA6B72"/>
    <w:rsid w:val="00AA6B84"/>
    <w:rsid w:val="00AA6FCC"/>
    <w:rsid w:val="00AA7113"/>
    <w:rsid w:val="00AA744F"/>
    <w:rsid w:val="00AA7D5F"/>
    <w:rsid w:val="00AB01DE"/>
    <w:rsid w:val="00AB72BF"/>
    <w:rsid w:val="00AC28D7"/>
    <w:rsid w:val="00AC34D1"/>
    <w:rsid w:val="00AC3DAB"/>
    <w:rsid w:val="00AC6209"/>
    <w:rsid w:val="00AC6ADC"/>
    <w:rsid w:val="00AC7B2F"/>
    <w:rsid w:val="00AD0193"/>
    <w:rsid w:val="00AD1D09"/>
    <w:rsid w:val="00AD3EEA"/>
    <w:rsid w:val="00AD4E95"/>
    <w:rsid w:val="00AD4FFD"/>
    <w:rsid w:val="00AD5449"/>
    <w:rsid w:val="00AD5CCE"/>
    <w:rsid w:val="00AD67D6"/>
    <w:rsid w:val="00AE004C"/>
    <w:rsid w:val="00AE4828"/>
    <w:rsid w:val="00AE66E7"/>
    <w:rsid w:val="00AE702E"/>
    <w:rsid w:val="00AE7E20"/>
    <w:rsid w:val="00AF1B40"/>
    <w:rsid w:val="00AF2334"/>
    <w:rsid w:val="00AF3EBB"/>
    <w:rsid w:val="00AF3F0F"/>
    <w:rsid w:val="00AF5A16"/>
    <w:rsid w:val="00B0164F"/>
    <w:rsid w:val="00B01838"/>
    <w:rsid w:val="00B01BCD"/>
    <w:rsid w:val="00B04043"/>
    <w:rsid w:val="00B05B9E"/>
    <w:rsid w:val="00B06102"/>
    <w:rsid w:val="00B07002"/>
    <w:rsid w:val="00B07E7B"/>
    <w:rsid w:val="00B10025"/>
    <w:rsid w:val="00B11C39"/>
    <w:rsid w:val="00B144ED"/>
    <w:rsid w:val="00B14626"/>
    <w:rsid w:val="00B14D51"/>
    <w:rsid w:val="00B1538A"/>
    <w:rsid w:val="00B16B5D"/>
    <w:rsid w:val="00B175E7"/>
    <w:rsid w:val="00B20283"/>
    <w:rsid w:val="00B22456"/>
    <w:rsid w:val="00B248AD"/>
    <w:rsid w:val="00B24A5D"/>
    <w:rsid w:val="00B256A2"/>
    <w:rsid w:val="00B266AD"/>
    <w:rsid w:val="00B27D91"/>
    <w:rsid w:val="00B32A5A"/>
    <w:rsid w:val="00B36D95"/>
    <w:rsid w:val="00B36DDD"/>
    <w:rsid w:val="00B40ED2"/>
    <w:rsid w:val="00B41893"/>
    <w:rsid w:val="00B42241"/>
    <w:rsid w:val="00B429D3"/>
    <w:rsid w:val="00B4373C"/>
    <w:rsid w:val="00B4410A"/>
    <w:rsid w:val="00B479E8"/>
    <w:rsid w:val="00B5045D"/>
    <w:rsid w:val="00B52CE5"/>
    <w:rsid w:val="00B52D44"/>
    <w:rsid w:val="00B53D39"/>
    <w:rsid w:val="00B53D9D"/>
    <w:rsid w:val="00B543FA"/>
    <w:rsid w:val="00B556DB"/>
    <w:rsid w:val="00B55CEF"/>
    <w:rsid w:val="00B57851"/>
    <w:rsid w:val="00B609C8"/>
    <w:rsid w:val="00B60BC5"/>
    <w:rsid w:val="00B60DBE"/>
    <w:rsid w:val="00B61F81"/>
    <w:rsid w:val="00B62CC9"/>
    <w:rsid w:val="00B64373"/>
    <w:rsid w:val="00B65FAB"/>
    <w:rsid w:val="00B66889"/>
    <w:rsid w:val="00B66A3A"/>
    <w:rsid w:val="00B670D7"/>
    <w:rsid w:val="00B67B56"/>
    <w:rsid w:val="00B71230"/>
    <w:rsid w:val="00B741DD"/>
    <w:rsid w:val="00B75BE8"/>
    <w:rsid w:val="00B768BB"/>
    <w:rsid w:val="00B77151"/>
    <w:rsid w:val="00B80E5C"/>
    <w:rsid w:val="00B81736"/>
    <w:rsid w:val="00B81B0B"/>
    <w:rsid w:val="00B8279C"/>
    <w:rsid w:val="00B82875"/>
    <w:rsid w:val="00B82912"/>
    <w:rsid w:val="00B8451B"/>
    <w:rsid w:val="00B861AC"/>
    <w:rsid w:val="00B866B1"/>
    <w:rsid w:val="00B86789"/>
    <w:rsid w:val="00B86A20"/>
    <w:rsid w:val="00B86EA7"/>
    <w:rsid w:val="00B8758A"/>
    <w:rsid w:val="00B9645C"/>
    <w:rsid w:val="00B96E7E"/>
    <w:rsid w:val="00BA15D6"/>
    <w:rsid w:val="00BA24A0"/>
    <w:rsid w:val="00BA485E"/>
    <w:rsid w:val="00BA59F4"/>
    <w:rsid w:val="00BA5C42"/>
    <w:rsid w:val="00BA5F5B"/>
    <w:rsid w:val="00BA7C80"/>
    <w:rsid w:val="00BB4138"/>
    <w:rsid w:val="00BB4624"/>
    <w:rsid w:val="00BB4B94"/>
    <w:rsid w:val="00BB64C9"/>
    <w:rsid w:val="00BB69D4"/>
    <w:rsid w:val="00BB6A20"/>
    <w:rsid w:val="00BB7E4C"/>
    <w:rsid w:val="00BC0A32"/>
    <w:rsid w:val="00BC284A"/>
    <w:rsid w:val="00BC28CD"/>
    <w:rsid w:val="00BC5472"/>
    <w:rsid w:val="00BC5872"/>
    <w:rsid w:val="00BC5B25"/>
    <w:rsid w:val="00BC6104"/>
    <w:rsid w:val="00BC6E17"/>
    <w:rsid w:val="00BC7E16"/>
    <w:rsid w:val="00BD02CC"/>
    <w:rsid w:val="00BD08CC"/>
    <w:rsid w:val="00BD0970"/>
    <w:rsid w:val="00BD21F2"/>
    <w:rsid w:val="00BD32E5"/>
    <w:rsid w:val="00BD475C"/>
    <w:rsid w:val="00BD4842"/>
    <w:rsid w:val="00BD59DB"/>
    <w:rsid w:val="00BD619D"/>
    <w:rsid w:val="00BE0170"/>
    <w:rsid w:val="00BE240F"/>
    <w:rsid w:val="00BE3D87"/>
    <w:rsid w:val="00BE44D0"/>
    <w:rsid w:val="00BE5DBB"/>
    <w:rsid w:val="00BE6784"/>
    <w:rsid w:val="00BE7865"/>
    <w:rsid w:val="00BF0D4F"/>
    <w:rsid w:val="00BF1538"/>
    <w:rsid w:val="00BF1DB6"/>
    <w:rsid w:val="00BF2264"/>
    <w:rsid w:val="00BF2317"/>
    <w:rsid w:val="00BF3775"/>
    <w:rsid w:val="00BF462F"/>
    <w:rsid w:val="00BF5D59"/>
    <w:rsid w:val="00BF7AB0"/>
    <w:rsid w:val="00C00D93"/>
    <w:rsid w:val="00C0106D"/>
    <w:rsid w:val="00C03988"/>
    <w:rsid w:val="00C0437C"/>
    <w:rsid w:val="00C04D18"/>
    <w:rsid w:val="00C05B97"/>
    <w:rsid w:val="00C06B2F"/>
    <w:rsid w:val="00C11331"/>
    <w:rsid w:val="00C1260E"/>
    <w:rsid w:val="00C1373A"/>
    <w:rsid w:val="00C15CE2"/>
    <w:rsid w:val="00C21952"/>
    <w:rsid w:val="00C21A85"/>
    <w:rsid w:val="00C21FC0"/>
    <w:rsid w:val="00C226BF"/>
    <w:rsid w:val="00C22BBD"/>
    <w:rsid w:val="00C243B3"/>
    <w:rsid w:val="00C2513E"/>
    <w:rsid w:val="00C25628"/>
    <w:rsid w:val="00C2662B"/>
    <w:rsid w:val="00C26DD5"/>
    <w:rsid w:val="00C3141B"/>
    <w:rsid w:val="00C325E9"/>
    <w:rsid w:val="00C33792"/>
    <w:rsid w:val="00C338EB"/>
    <w:rsid w:val="00C34192"/>
    <w:rsid w:val="00C34635"/>
    <w:rsid w:val="00C35635"/>
    <w:rsid w:val="00C35F03"/>
    <w:rsid w:val="00C36712"/>
    <w:rsid w:val="00C3722F"/>
    <w:rsid w:val="00C37322"/>
    <w:rsid w:val="00C37469"/>
    <w:rsid w:val="00C4012F"/>
    <w:rsid w:val="00C4041D"/>
    <w:rsid w:val="00C40B13"/>
    <w:rsid w:val="00C4144A"/>
    <w:rsid w:val="00C418B4"/>
    <w:rsid w:val="00C436EF"/>
    <w:rsid w:val="00C44232"/>
    <w:rsid w:val="00C453C9"/>
    <w:rsid w:val="00C45E10"/>
    <w:rsid w:val="00C46163"/>
    <w:rsid w:val="00C4766A"/>
    <w:rsid w:val="00C52D56"/>
    <w:rsid w:val="00C53022"/>
    <w:rsid w:val="00C533E9"/>
    <w:rsid w:val="00C54AFA"/>
    <w:rsid w:val="00C56AEA"/>
    <w:rsid w:val="00C6033D"/>
    <w:rsid w:val="00C61775"/>
    <w:rsid w:val="00C61A29"/>
    <w:rsid w:val="00C63469"/>
    <w:rsid w:val="00C652F3"/>
    <w:rsid w:val="00C6620E"/>
    <w:rsid w:val="00C665A4"/>
    <w:rsid w:val="00C669B8"/>
    <w:rsid w:val="00C67675"/>
    <w:rsid w:val="00C71181"/>
    <w:rsid w:val="00C71586"/>
    <w:rsid w:val="00C71D11"/>
    <w:rsid w:val="00C71D9E"/>
    <w:rsid w:val="00C73702"/>
    <w:rsid w:val="00C74A3A"/>
    <w:rsid w:val="00C805CF"/>
    <w:rsid w:val="00C80A32"/>
    <w:rsid w:val="00C80C8B"/>
    <w:rsid w:val="00C83497"/>
    <w:rsid w:val="00C83F44"/>
    <w:rsid w:val="00C85BFC"/>
    <w:rsid w:val="00C864A5"/>
    <w:rsid w:val="00C874B4"/>
    <w:rsid w:val="00C87677"/>
    <w:rsid w:val="00C87CE3"/>
    <w:rsid w:val="00C90085"/>
    <w:rsid w:val="00C91291"/>
    <w:rsid w:val="00C918D0"/>
    <w:rsid w:val="00C9287E"/>
    <w:rsid w:val="00C92DB8"/>
    <w:rsid w:val="00C933CA"/>
    <w:rsid w:val="00C953EA"/>
    <w:rsid w:val="00C9584A"/>
    <w:rsid w:val="00C96493"/>
    <w:rsid w:val="00C97261"/>
    <w:rsid w:val="00C97867"/>
    <w:rsid w:val="00C979D3"/>
    <w:rsid w:val="00CA0B52"/>
    <w:rsid w:val="00CA15E2"/>
    <w:rsid w:val="00CA18AB"/>
    <w:rsid w:val="00CA409F"/>
    <w:rsid w:val="00CA61D5"/>
    <w:rsid w:val="00CA686B"/>
    <w:rsid w:val="00CA766E"/>
    <w:rsid w:val="00CA7DC2"/>
    <w:rsid w:val="00CB0546"/>
    <w:rsid w:val="00CB0830"/>
    <w:rsid w:val="00CB102C"/>
    <w:rsid w:val="00CB1396"/>
    <w:rsid w:val="00CB3832"/>
    <w:rsid w:val="00CB4F3D"/>
    <w:rsid w:val="00CB52EC"/>
    <w:rsid w:val="00CB5D4E"/>
    <w:rsid w:val="00CB701C"/>
    <w:rsid w:val="00CC118E"/>
    <w:rsid w:val="00CC16F4"/>
    <w:rsid w:val="00CC2006"/>
    <w:rsid w:val="00CC2933"/>
    <w:rsid w:val="00CC373E"/>
    <w:rsid w:val="00CC6A8E"/>
    <w:rsid w:val="00CC7329"/>
    <w:rsid w:val="00CD2764"/>
    <w:rsid w:val="00CD3BBA"/>
    <w:rsid w:val="00CD6F92"/>
    <w:rsid w:val="00CE0FD6"/>
    <w:rsid w:val="00CE208E"/>
    <w:rsid w:val="00CE482C"/>
    <w:rsid w:val="00CE5441"/>
    <w:rsid w:val="00CE5F0F"/>
    <w:rsid w:val="00CE635D"/>
    <w:rsid w:val="00CE6C98"/>
    <w:rsid w:val="00CF030A"/>
    <w:rsid w:val="00CF06FA"/>
    <w:rsid w:val="00CF0733"/>
    <w:rsid w:val="00CF16AD"/>
    <w:rsid w:val="00CF2DBD"/>
    <w:rsid w:val="00CF4962"/>
    <w:rsid w:val="00CF5694"/>
    <w:rsid w:val="00CF5B6B"/>
    <w:rsid w:val="00CF692B"/>
    <w:rsid w:val="00CF7431"/>
    <w:rsid w:val="00CF7A7E"/>
    <w:rsid w:val="00D00E11"/>
    <w:rsid w:val="00D01E67"/>
    <w:rsid w:val="00D047E6"/>
    <w:rsid w:val="00D0579A"/>
    <w:rsid w:val="00D06F79"/>
    <w:rsid w:val="00D070CD"/>
    <w:rsid w:val="00D115A8"/>
    <w:rsid w:val="00D1460B"/>
    <w:rsid w:val="00D15B72"/>
    <w:rsid w:val="00D209FE"/>
    <w:rsid w:val="00D2269B"/>
    <w:rsid w:val="00D2303E"/>
    <w:rsid w:val="00D23892"/>
    <w:rsid w:val="00D24925"/>
    <w:rsid w:val="00D30C19"/>
    <w:rsid w:val="00D30DF5"/>
    <w:rsid w:val="00D32584"/>
    <w:rsid w:val="00D33B18"/>
    <w:rsid w:val="00D33D69"/>
    <w:rsid w:val="00D352B8"/>
    <w:rsid w:val="00D35CEB"/>
    <w:rsid w:val="00D36DAE"/>
    <w:rsid w:val="00D375AA"/>
    <w:rsid w:val="00D407E5"/>
    <w:rsid w:val="00D41801"/>
    <w:rsid w:val="00D4225E"/>
    <w:rsid w:val="00D42AFF"/>
    <w:rsid w:val="00D42F97"/>
    <w:rsid w:val="00D4764B"/>
    <w:rsid w:val="00D506AB"/>
    <w:rsid w:val="00D52670"/>
    <w:rsid w:val="00D53C2D"/>
    <w:rsid w:val="00D53DDC"/>
    <w:rsid w:val="00D540DF"/>
    <w:rsid w:val="00D573FA"/>
    <w:rsid w:val="00D60A83"/>
    <w:rsid w:val="00D63846"/>
    <w:rsid w:val="00D656E7"/>
    <w:rsid w:val="00D65879"/>
    <w:rsid w:val="00D70218"/>
    <w:rsid w:val="00D70B36"/>
    <w:rsid w:val="00D71C86"/>
    <w:rsid w:val="00D71DEF"/>
    <w:rsid w:val="00D73705"/>
    <w:rsid w:val="00D7447F"/>
    <w:rsid w:val="00D76517"/>
    <w:rsid w:val="00D770C3"/>
    <w:rsid w:val="00D77574"/>
    <w:rsid w:val="00D8197E"/>
    <w:rsid w:val="00D82CE7"/>
    <w:rsid w:val="00D844F7"/>
    <w:rsid w:val="00D849B2"/>
    <w:rsid w:val="00D849C8"/>
    <w:rsid w:val="00D85BAE"/>
    <w:rsid w:val="00D85F18"/>
    <w:rsid w:val="00D873C8"/>
    <w:rsid w:val="00D90782"/>
    <w:rsid w:val="00D90AAF"/>
    <w:rsid w:val="00D91350"/>
    <w:rsid w:val="00D92408"/>
    <w:rsid w:val="00D969AD"/>
    <w:rsid w:val="00D96B94"/>
    <w:rsid w:val="00D9766F"/>
    <w:rsid w:val="00DA0B42"/>
    <w:rsid w:val="00DA181F"/>
    <w:rsid w:val="00DA27DC"/>
    <w:rsid w:val="00DA2B6B"/>
    <w:rsid w:val="00DA3BC4"/>
    <w:rsid w:val="00DA3C43"/>
    <w:rsid w:val="00DA4CCD"/>
    <w:rsid w:val="00DA4D85"/>
    <w:rsid w:val="00DA5334"/>
    <w:rsid w:val="00DA5CF3"/>
    <w:rsid w:val="00DA6DCA"/>
    <w:rsid w:val="00DA72BE"/>
    <w:rsid w:val="00DA7D3D"/>
    <w:rsid w:val="00DB007E"/>
    <w:rsid w:val="00DB1931"/>
    <w:rsid w:val="00DB28A5"/>
    <w:rsid w:val="00DB3BE2"/>
    <w:rsid w:val="00DB409A"/>
    <w:rsid w:val="00DB4422"/>
    <w:rsid w:val="00DB5120"/>
    <w:rsid w:val="00DB631A"/>
    <w:rsid w:val="00DB699F"/>
    <w:rsid w:val="00DB7F36"/>
    <w:rsid w:val="00DC196E"/>
    <w:rsid w:val="00DC232C"/>
    <w:rsid w:val="00DC3318"/>
    <w:rsid w:val="00DC62D6"/>
    <w:rsid w:val="00DC646D"/>
    <w:rsid w:val="00DC7F1F"/>
    <w:rsid w:val="00DD020B"/>
    <w:rsid w:val="00DD1EF4"/>
    <w:rsid w:val="00DD2044"/>
    <w:rsid w:val="00DD38BA"/>
    <w:rsid w:val="00DD3985"/>
    <w:rsid w:val="00DD5EE0"/>
    <w:rsid w:val="00DD7A6D"/>
    <w:rsid w:val="00DD7FE8"/>
    <w:rsid w:val="00DE2E1D"/>
    <w:rsid w:val="00DE4BD1"/>
    <w:rsid w:val="00DE57DE"/>
    <w:rsid w:val="00DE6208"/>
    <w:rsid w:val="00DE6DE3"/>
    <w:rsid w:val="00DE76D3"/>
    <w:rsid w:val="00DF2E4C"/>
    <w:rsid w:val="00DF3258"/>
    <w:rsid w:val="00DF3DC7"/>
    <w:rsid w:val="00DF6281"/>
    <w:rsid w:val="00DF6887"/>
    <w:rsid w:val="00DF7C48"/>
    <w:rsid w:val="00E0028A"/>
    <w:rsid w:val="00E002D5"/>
    <w:rsid w:val="00E0044A"/>
    <w:rsid w:val="00E011F3"/>
    <w:rsid w:val="00E012CD"/>
    <w:rsid w:val="00E01932"/>
    <w:rsid w:val="00E01951"/>
    <w:rsid w:val="00E0463A"/>
    <w:rsid w:val="00E0481B"/>
    <w:rsid w:val="00E076F9"/>
    <w:rsid w:val="00E1002B"/>
    <w:rsid w:val="00E1078C"/>
    <w:rsid w:val="00E142E3"/>
    <w:rsid w:val="00E147BE"/>
    <w:rsid w:val="00E17B66"/>
    <w:rsid w:val="00E17CA7"/>
    <w:rsid w:val="00E20311"/>
    <w:rsid w:val="00E222E3"/>
    <w:rsid w:val="00E22A00"/>
    <w:rsid w:val="00E23B24"/>
    <w:rsid w:val="00E326C3"/>
    <w:rsid w:val="00E340EE"/>
    <w:rsid w:val="00E354DC"/>
    <w:rsid w:val="00E363B1"/>
    <w:rsid w:val="00E36A2E"/>
    <w:rsid w:val="00E3723E"/>
    <w:rsid w:val="00E40203"/>
    <w:rsid w:val="00E41519"/>
    <w:rsid w:val="00E4193A"/>
    <w:rsid w:val="00E427CF"/>
    <w:rsid w:val="00E42F68"/>
    <w:rsid w:val="00E45506"/>
    <w:rsid w:val="00E455FE"/>
    <w:rsid w:val="00E4628D"/>
    <w:rsid w:val="00E462D0"/>
    <w:rsid w:val="00E47D5C"/>
    <w:rsid w:val="00E53395"/>
    <w:rsid w:val="00E53688"/>
    <w:rsid w:val="00E608A7"/>
    <w:rsid w:val="00E623DF"/>
    <w:rsid w:val="00E635D3"/>
    <w:rsid w:val="00E6380D"/>
    <w:rsid w:val="00E64B8D"/>
    <w:rsid w:val="00E655EE"/>
    <w:rsid w:val="00E664CF"/>
    <w:rsid w:val="00E66F0C"/>
    <w:rsid w:val="00E66F64"/>
    <w:rsid w:val="00E67599"/>
    <w:rsid w:val="00E679E0"/>
    <w:rsid w:val="00E67E4D"/>
    <w:rsid w:val="00E709F7"/>
    <w:rsid w:val="00E71520"/>
    <w:rsid w:val="00E71B44"/>
    <w:rsid w:val="00E726A8"/>
    <w:rsid w:val="00E731BF"/>
    <w:rsid w:val="00E74542"/>
    <w:rsid w:val="00E748B2"/>
    <w:rsid w:val="00E756E7"/>
    <w:rsid w:val="00E76EA5"/>
    <w:rsid w:val="00E77825"/>
    <w:rsid w:val="00E77B63"/>
    <w:rsid w:val="00E82326"/>
    <w:rsid w:val="00E84181"/>
    <w:rsid w:val="00E84A23"/>
    <w:rsid w:val="00E84CE3"/>
    <w:rsid w:val="00E85283"/>
    <w:rsid w:val="00E86739"/>
    <w:rsid w:val="00E874E2"/>
    <w:rsid w:val="00E90F9C"/>
    <w:rsid w:val="00E91A40"/>
    <w:rsid w:val="00E9203D"/>
    <w:rsid w:val="00E92417"/>
    <w:rsid w:val="00E9259F"/>
    <w:rsid w:val="00E92978"/>
    <w:rsid w:val="00E93B7B"/>
    <w:rsid w:val="00E94650"/>
    <w:rsid w:val="00E950DB"/>
    <w:rsid w:val="00EA15A4"/>
    <w:rsid w:val="00EA1A50"/>
    <w:rsid w:val="00EA36A9"/>
    <w:rsid w:val="00EA4109"/>
    <w:rsid w:val="00EA6A56"/>
    <w:rsid w:val="00EB1ADE"/>
    <w:rsid w:val="00EB1C15"/>
    <w:rsid w:val="00EB2D57"/>
    <w:rsid w:val="00EB375D"/>
    <w:rsid w:val="00EB54B3"/>
    <w:rsid w:val="00EC0B5F"/>
    <w:rsid w:val="00EC2692"/>
    <w:rsid w:val="00EC5F67"/>
    <w:rsid w:val="00EC62D9"/>
    <w:rsid w:val="00EC6D51"/>
    <w:rsid w:val="00EC77F6"/>
    <w:rsid w:val="00EC7DC9"/>
    <w:rsid w:val="00ED00A2"/>
    <w:rsid w:val="00ED1101"/>
    <w:rsid w:val="00ED2FE0"/>
    <w:rsid w:val="00ED4E77"/>
    <w:rsid w:val="00ED6A65"/>
    <w:rsid w:val="00ED6DB9"/>
    <w:rsid w:val="00ED74A7"/>
    <w:rsid w:val="00ED75D0"/>
    <w:rsid w:val="00EE2663"/>
    <w:rsid w:val="00EE3685"/>
    <w:rsid w:val="00EE3B84"/>
    <w:rsid w:val="00EE5912"/>
    <w:rsid w:val="00EE6409"/>
    <w:rsid w:val="00EE6B42"/>
    <w:rsid w:val="00EE7121"/>
    <w:rsid w:val="00EE7C14"/>
    <w:rsid w:val="00EF0902"/>
    <w:rsid w:val="00EF0BF2"/>
    <w:rsid w:val="00EF3BA8"/>
    <w:rsid w:val="00EF4F2F"/>
    <w:rsid w:val="00EF7079"/>
    <w:rsid w:val="00F02291"/>
    <w:rsid w:val="00F02C10"/>
    <w:rsid w:val="00F03A30"/>
    <w:rsid w:val="00F060A7"/>
    <w:rsid w:val="00F06637"/>
    <w:rsid w:val="00F068A0"/>
    <w:rsid w:val="00F070A0"/>
    <w:rsid w:val="00F07BF7"/>
    <w:rsid w:val="00F1016B"/>
    <w:rsid w:val="00F105BF"/>
    <w:rsid w:val="00F11104"/>
    <w:rsid w:val="00F12E42"/>
    <w:rsid w:val="00F16F1F"/>
    <w:rsid w:val="00F21830"/>
    <w:rsid w:val="00F21844"/>
    <w:rsid w:val="00F22A24"/>
    <w:rsid w:val="00F247C0"/>
    <w:rsid w:val="00F24C87"/>
    <w:rsid w:val="00F2538D"/>
    <w:rsid w:val="00F26426"/>
    <w:rsid w:val="00F3131B"/>
    <w:rsid w:val="00F329E6"/>
    <w:rsid w:val="00F32A99"/>
    <w:rsid w:val="00F3419F"/>
    <w:rsid w:val="00F35E72"/>
    <w:rsid w:val="00F36849"/>
    <w:rsid w:val="00F3738C"/>
    <w:rsid w:val="00F410C6"/>
    <w:rsid w:val="00F413EF"/>
    <w:rsid w:val="00F420BD"/>
    <w:rsid w:val="00F42BF7"/>
    <w:rsid w:val="00F4390F"/>
    <w:rsid w:val="00F440CC"/>
    <w:rsid w:val="00F453EA"/>
    <w:rsid w:val="00F45C35"/>
    <w:rsid w:val="00F45F1B"/>
    <w:rsid w:val="00F4631B"/>
    <w:rsid w:val="00F47FC0"/>
    <w:rsid w:val="00F503AB"/>
    <w:rsid w:val="00F50B85"/>
    <w:rsid w:val="00F50B93"/>
    <w:rsid w:val="00F50BB3"/>
    <w:rsid w:val="00F52871"/>
    <w:rsid w:val="00F533DB"/>
    <w:rsid w:val="00F535CC"/>
    <w:rsid w:val="00F54405"/>
    <w:rsid w:val="00F55C84"/>
    <w:rsid w:val="00F563C4"/>
    <w:rsid w:val="00F569A4"/>
    <w:rsid w:val="00F6096B"/>
    <w:rsid w:val="00F60F12"/>
    <w:rsid w:val="00F628FD"/>
    <w:rsid w:val="00F665F5"/>
    <w:rsid w:val="00F673B9"/>
    <w:rsid w:val="00F70013"/>
    <w:rsid w:val="00F7178A"/>
    <w:rsid w:val="00F72AAC"/>
    <w:rsid w:val="00F742B5"/>
    <w:rsid w:val="00F748D9"/>
    <w:rsid w:val="00F76A01"/>
    <w:rsid w:val="00F8149F"/>
    <w:rsid w:val="00F81845"/>
    <w:rsid w:val="00F81F3C"/>
    <w:rsid w:val="00F82C55"/>
    <w:rsid w:val="00F82E4C"/>
    <w:rsid w:val="00F849DD"/>
    <w:rsid w:val="00F84FF3"/>
    <w:rsid w:val="00F86192"/>
    <w:rsid w:val="00F90CAD"/>
    <w:rsid w:val="00F91D3F"/>
    <w:rsid w:val="00F9362A"/>
    <w:rsid w:val="00F93FB1"/>
    <w:rsid w:val="00F95280"/>
    <w:rsid w:val="00F955B8"/>
    <w:rsid w:val="00F96965"/>
    <w:rsid w:val="00FA0A69"/>
    <w:rsid w:val="00FA1DB6"/>
    <w:rsid w:val="00FA2CA4"/>
    <w:rsid w:val="00FA2E37"/>
    <w:rsid w:val="00FA4E87"/>
    <w:rsid w:val="00FA56E6"/>
    <w:rsid w:val="00FA5950"/>
    <w:rsid w:val="00FA7486"/>
    <w:rsid w:val="00FA7DE6"/>
    <w:rsid w:val="00FB0375"/>
    <w:rsid w:val="00FB15EB"/>
    <w:rsid w:val="00FB1604"/>
    <w:rsid w:val="00FB1D09"/>
    <w:rsid w:val="00FB2212"/>
    <w:rsid w:val="00FB3D41"/>
    <w:rsid w:val="00FB603A"/>
    <w:rsid w:val="00FB646E"/>
    <w:rsid w:val="00FB6871"/>
    <w:rsid w:val="00FB7EBA"/>
    <w:rsid w:val="00FC0C9F"/>
    <w:rsid w:val="00FC235D"/>
    <w:rsid w:val="00FC27F9"/>
    <w:rsid w:val="00FC35B8"/>
    <w:rsid w:val="00FC3DA0"/>
    <w:rsid w:val="00FC43E4"/>
    <w:rsid w:val="00FC4E04"/>
    <w:rsid w:val="00FC5A2F"/>
    <w:rsid w:val="00FC6D95"/>
    <w:rsid w:val="00FC6E9E"/>
    <w:rsid w:val="00FC7940"/>
    <w:rsid w:val="00FD1DB2"/>
    <w:rsid w:val="00FD2A67"/>
    <w:rsid w:val="00FD3950"/>
    <w:rsid w:val="00FD5874"/>
    <w:rsid w:val="00FD5A58"/>
    <w:rsid w:val="00FD5CB7"/>
    <w:rsid w:val="00FD5CCD"/>
    <w:rsid w:val="00FD74F1"/>
    <w:rsid w:val="00FE00D7"/>
    <w:rsid w:val="00FE0248"/>
    <w:rsid w:val="00FE05B0"/>
    <w:rsid w:val="00FE0733"/>
    <w:rsid w:val="00FE0C78"/>
    <w:rsid w:val="00FE0CB3"/>
    <w:rsid w:val="00FE0DB4"/>
    <w:rsid w:val="00FE17B5"/>
    <w:rsid w:val="00FE3808"/>
    <w:rsid w:val="00FE3B60"/>
    <w:rsid w:val="00FE4939"/>
    <w:rsid w:val="00FE57C5"/>
    <w:rsid w:val="00FF1872"/>
    <w:rsid w:val="00FF3CF1"/>
    <w:rsid w:val="00FF4D4D"/>
    <w:rsid w:val="00FF4F3D"/>
    <w:rsid w:val="00FF6184"/>
    <w:rsid w:val="00FF6198"/>
    <w:rsid w:val="00FF631A"/>
    <w:rsid w:val="00FF6635"/>
    <w:rsid w:val="012A58A7"/>
    <w:rsid w:val="019378EB"/>
    <w:rsid w:val="02254179"/>
    <w:rsid w:val="02273DE4"/>
    <w:rsid w:val="025C5BC9"/>
    <w:rsid w:val="02664A4D"/>
    <w:rsid w:val="02751025"/>
    <w:rsid w:val="029D315A"/>
    <w:rsid w:val="03016AB8"/>
    <w:rsid w:val="030E4222"/>
    <w:rsid w:val="03191393"/>
    <w:rsid w:val="0339580D"/>
    <w:rsid w:val="03664BDB"/>
    <w:rsid w:val="03BE0C88"/>
    <w:rsid w:val="03F21C39"/>
    <w:rsid w:val="04502590"/>
    <w:rsid w:val="048704E5"/>
    <w:rsid w:val="04A95FFF"/>
    <w:rsid w:val="04B01ED9"/>
    <w:rsid w:val="04C341B3"/>
    <w:rsid w:val="05036D82"/>
    <w:rsid w:val="054A15F9"/>
    <w:rsid w:val="0568558F"/>
    <w:rsid w:val="057E26C5"/>
    <w:rsid w:val="05E75E89"/>
    <w:rsid w:val="05E86095"/>
    <w:rsid w:val="062168BF"/>
    <w:rsid w:val="06C06E65"/>
    <w:rsid w:val="06D25D4A"/>
    <w:rsid w:val="07055194"/>
    <w:rsid w:val="073F4676"/>
    <w:rsid w:val="074459ED"/>
    <w:rsid w:val="09C117CF"/>
    <w:rsid w:val="09FE521E"/>
    <w:rsid w:val="0A78169E"/>
    <w:rsid w:val="0AA51080"/>
    <w:rsid w:val="0AAB00B6"/>
    <w:rsid w:val="0ADB24ED"/>
    <w:rsid w:val="0AF23738"/>
    <w:rsid w:val="0B44471B"/>
    <w:rsid w:val="0BDE16D9"/>
    <w:rsid w:val="0C5B774A"/>
    <w:rsid w:val="0C8404F9"/>
    <w:rsid w:val="0CDB3000"/>
    <w:rsid w:val="0CE07A76"/>
    <w:rsid w:val="0D103128"/>
    <w:rsid w:val="0D307327"/>
    <w:rsid w:val="0D501203"/>
    <w:rsid w:val="0D6431AD"/>
    <w:rsid w:val="0DCC0D0A"/>
    <w:rsid w:val="0DEB7879"/>
    <w:rsid w:val="0E265DBB"/>
    <w:rsid w:val="0E662D49"/>
    <w:rsid w:val="0E8F1A35"/>
    <w:rsid w:val="0EDD4EF4"/>
    <w:rsid w:val="0F7E3DD7"/>
    <w:rsid w:val="108269B8"/>
    <w:rsid w:val="112309BD"/>
    <w:rsid w:val="112B149B"/>
    <w:rsid w:val="113B021A"/>
    <w:rsid w:val="11CF5220"/>
    <w:rsid w:val="11F61489"/>
    <w:rsid w:val="12816F8F"/>
    <w:rsid w:val="12CD505A"/>
    <w:rsid w:val="12D73640"/>
    <w:rsid w:val="13360075"/>
    <w:rsid w:val="13643347"/>
    <w:rsid w:val="13975FB7"/>
    <w:rsid w:val="13B96293"/>
    <w:rsid w:val="14774504"/>
    <w:rsid w:val="14932E53"/>
    <w:rsid w:val="14E6501B"/>
    <w:rsid w:val="14E66BC4"/>
    <w:rsid w:val="150B7653"/>
    <w:rsid w:val="1514752E"/>
    <w:rsid w:val="15885004"/>
    <w:rsid w:val="158C313A"/>
    <w:rsid w:val="158F7989"/>
    <w:rsid w:val="15B511EE"/>
    <w:rsid w:val="15ED3695"/>
    <w:rsid w:val="15F50F23"/>
    <w:rsid w:val="16481C54"/>
    <w:rsid w:val="167664B7"/>
    <w:rsid w:val="16C67932"/>
    <w:rsid w:val="17585D81"/>
    <w:rsid w:val="17B62E35"/>
    <w:rsid w:val="17CE4CCF"/>
    <w:rsid w:val="181123C8"/>
    <w:rsid w:val="18A83CA4"/>
    <w:rsid w:val="18B05BB9"/>
    <w:rsid w:val="18D90E92"/>
    <w:rsid w:val="190A0F56"/>
    <w:rsid w:val="19244719"/>
    <w:rsid w:val="19597D63"/>
    <w:rsid w:val="1973742B"/>
    <w:rsid w:val="1A2607CA"/>
    <w:rsid w:val="1A2945A3"/>
    <w:rsid w:val="1A2A39DB"/>
    <w:rsid w:val="1A2B60A0"/>
    <w:rsid w:val="1A5F6A6D"/>
    <w:rsid w:val="1B376504"/>
    <w:rsid w:val="1BCA0068"/>
    <w:rsid w:val="1C452CDE"/>
    <w:rsid w:val="1C706C72"/>
    <w:rsid w:val="1C893B8B"/>
    <w:rsid w:val="1CA64B9B"/>
    <w:rsid w:val="1D59240A"/>
    <w:rsid w:val="1D8F0099"/>
    <w:rsid w:val="1DD45AAC"/>
    <w:rsid w:val="1DE9352C"/>
    <w:rsid w:val="1E447495"/>
    <w:rsid w:val="1E4852D2"/>
    <w:rsid w:val="1E966C50"/>
    <w:rsid w:val="1EB71D4D"/>
    <w:rsid w:val="1EEC1347"/>
    <w:rsid w:val="1EFF549B"/>
    <w:rsid w:val="1F5F4F97"/>
    <w:rsid w:val="1F606E36"/>
    <w:rsid w:val="1F6823F0"/>
    <w:rsid w:val="1F992DA0"/>
    <w:rsid w:val="1FDC30BA"/>
    <w:rsid w:val="1FF9683E"/>
    <w:rsid w:val="20354B47"/>
    <w:rsid w:val="20545995"/>
    <w:rsid w:val="20A962B9"/>
    <w:rsid w:val="20B16B6B"/>
    <w:rsid w:val="20EE2946"/>
    <w:rsid w:val="212C7ECB"/>
    <w:rsid w:val="21415B4F"/>
    <w:rsid w:val="21415BC5"/>
    <w:rsid w:val="218E68BA"/>
    <w:rsid w:val="21AB5DF8"/>
    <w:rsid w:val="21AD1AFD"/>
    <w:rsid w:val="21E970DC"/>
    <w:rsid w:val="2281696D"/>
    <w:rsid w:val="22B92BDA"/>
    <w:rsid w:val="22C27D85"/>
    <w:rsid w:val="2306496B"/>
    <w:rsid w:val="236F7E9E"/>
    <w:rsid w:val="23A84AEB"/>
    <w:rsid w:val="23D91BE1"/>
    <w:rsid w:val="23E17175"/>
    <w:rsid w:val="24D24843"/>
    <w:rsid w:val="24D625C3"/>
    <w:rsid w:val="24FB04BC"/>
    <w:rsid w:val="253667A6"/>
    <w:rsid w:val="25862AC8"/>
    <w:rsid w:val="26C25957"/>
    <w:rsid w:val="26DB43CC"/>
    <w:rsid w:val="26E30487"/>
    <w:rsid w:val="27236949"/>
    <w:rsid w:val="273E5078"/>
    <w:rsid w:val="27574876"/>
    <w:rsid w:val="279E5712"/>
    <w:rsid w:val="27A5386B"/>
    <w:rsid w:val="27FA6FA3"/>
    <w:rsid w:val="28C70AE1"/>
    <w:rsid w:val="29203305"/>
    <w:rsid w:val="29272709"/>
    <w:rsid w:val="29452AE2"/>
    <w:rsid w:val="2A4651B7"/>
    <w:rsid w:val="2A653DDC"/>
    <w:rsid w:val="2A72041F"/>
    <w:rsid w:val="2A7F4FF2"/>
    <w:rsid w:val="2A876E11"/>
    <w:rsid w:val="2AAF2C11"/>
    <w:rsid w:val="2ADB4FDA"/>
    <w:rsid w:val="2ADE7806"/>
    <w:rsid w:val="2AF81AE0"/>
    <w:rsid w:val="2B0850B2"/>
    <w:rsid w:val="2B273302"/>
    <w:rsid w:val="2B286FE8"/>
    <w:rsid w:val="2B2D10C6"/>
    <w:rsid w:val="2B396F7F"/>
    <w:rsid w:val="2B527B99"/>
    <w:rsid w:val="2BD91AA5"/>
    <w:rsid w:val="2C804889"/>
    <w:rsid w:val="2C8A2E71"/>
    <w:rsid w:val="2CA624BE"/>
    <w:rsid w:val="2D3617A6"/>
    <w:rsid w:val="2D386E39"/>
    <w:rsid w:val="2D4B02CF"/>
    <w:rsid w:val="2D5D1B00"/>
    <w:rsid w:val="2D92516C"/>
    <w:rsid w:val="2E537EF3"/>
    <w:rsid w:val="2E5D0842"/>
    <w:rsid w:val="2F0E15A6"/>
    <w:rsid w:val="2F302D5E"/>
    <w:rsid w:val="2F4661BB"/>
    <w:rsid w:val="2F9603A1"/>
    <w:rsid w:val="300E5359"/>
    <w:rsid w:val="301137D8"/>
    <w:rsid w:val="30D31310"/>
    <w:rsid w:val="30E547D4"/>
    <w:rsid w:val="314E7B7B"/>
    <w:rsid w:val="31C267F2"/>
    <w:rsid w:val="32153F9A"/>
    <w:rsid w:val="32654A6C"/>
    <w:rsid w:val="328B0E32"/>
    <w:rsid w:val="32C450DD"/>
    <w:rsid w:val="335241C4"/>
    <w:rsid w:val="33CA19D4"/>
    <w:rsid w:val="3400557D"/>
    <w:rsid w:val="34DA2E83"/>
    <w:rsid w:val="352E2703"/>
    <w:rsid w:val="35885A4F"/>
    <w:rsid w:val="35A63B4F"/>
    <w:rsid w:val="35B25069"/>
    <w:rsid w:val="35BB6F04"/>
    <w:rsid w:val="35E26DAE"/>
    <w:rsid w:val="360D204B"/>
    <w:rsid w:val="362B1CA6"/>
    <w:rsid w:val="363B644E"/>
    <w:rsid w:val="365D0F0C"/>
    <w:rsid w:val="368E42EE"/>
    <w:rsid w:val="36923259"/>
    <w:rsid w:val="36AF50F6"/>
    <w:rsid w:val="371231E8"/>
    <w:rsid w:val="3713302C"/>
    <w:rsid w:val="375E40E0"/>
    <w:rsid w:val="37997B79"/>
    <w:rsid w:val="380F5B20"/>
    <w:rsid w:val="382C49E1"/>
    <w:rsid w:val="383F7AE9"/>
    <w:rsid w:val="38F021CE"/>
    <w:rsid w:val="38F63128"/>
    <w:rsid w:val="38FA1752"/>
    <w:rsid w:val="397C3770"/>
    <w:rsid w:val="39904B26"/>
    <w:rsid w:val="39BC2D23"/>
    <w:rsid w:val="3A0E6975"/>
    <w:rsid w:val="3A452926"/>
    <w:rsid w:val="3A55074B"/>
    <w:rsid w:val="3A59650C"/>
    <w:rsid w:val="3ACF6158"/>
    <w:rsid w:val="3AD71D8A"/>
    <w:rsid w:val="3AE31AD1"/>
    <w:rsid w:val="3B08333E"/>
    <w:rsid w:val="3B260355"/>
    <w:rsid w:val="3B7476FC"/>
    <w:rsid w:val="3BD42E75"/>
    <w:rsid w:val="3C193D2C"/>
    <w:rsid w:val="3C2A45D1"/>
    <w:rsid w:val="3C321707"/>
    <w:rsid w:val="3C74072E"/>
    <w:rsid w:val="3C7D0021"/>
    <w:rsid w:val="3CAB2E02"/>
    <w:rsid w:val="3CAF4CC4"/>
    <w:rsid w:val="3D6D7401"/>
    <w:rsid w:val="3D9655B0"/>
    <w:rsid w:val="3DC1064E"/>
    <w:rsid w:val="3E4668D1"/>
    <w:rsid w:val="3E5055EE"/>
    <w:rsid w:val="3EC12CF1"/>
    <w:rsid w:val="3ED34623"/>
    <w:rsid w:val="3EF70B45"/>
    <w:rsid w:val="3F1E669B"/>
    <w:rsid w:val="3F750F05"/>
    <w:rsid w:val="3FF80285"/>
    <w:rsid w:val="40124538"/>
    <w:rsid w:val="4024789D"/>
    <w:rsid w:val="409006E2"/>
    <w:rsid w:val="40B14FC2"/>
    <w:rsid w:val="40FB5077"/>
    <w:rsid w:val="410D00C1"/>
    <w:rsid w:val="41247A0D"/>
    <w:rsid w:val="4171348E"/>
    <w:rsid w:val="41B42055"/>
    <w:rsid w:val="41BC7108"/>
    <w:rsid w:val="41DF31BC"/>
    <w:rsid w:val="41FB544E"/>
    <w:rsid w:val="41FF1B86"/>
    <w:rsid w:val="4258146C"/>
    <w:rsid w:val="42D3314A"/>
    <w:rsid w:val="42EF4FB3"/>
    <w:rsid w:val="432376FA"/>
    <w:rsid w:val="43265E75"/>
    <w:rsid w:val="439D0DAA"/>
    <w:rsid w:val="43B12268"/>
    <w:rsid w:val="441C372C"/>
    <w:rsid w:val="4424588A"/>
    <w:rsid w:val="44505810"/>
    <w:rsid w:val="44733F8C"/>
    <w:rsid w:val="44CE6E4A"/>
    <w:rsid w:val="44DF1057"/>
    <w:rsid w:val="44E7409E"/>
    <w:rsid w:val="453F58FF"/>
    <w:rsid w:val="455E147D"/>
    <w:rsid w:val="456F4A8E"/>
    <w:rsid w:val="45BF27A6"/>
    <w:rsid w:val="46373BCC"/>
    <w:rsid w:val="4641714B"/>
    <w:rsid w:val="464A5B86"/>
    <w:rsid w:val="464E0891"/>
    <w:rsid w:val="467A422E"/>
    <w:rsid w:val="468C49C7"/>
    <w:rsid w:val="46B362F7"/>
    <w:rsid w:val="471C3E9C"/>
    <w:rsid w:val="47504DA7"/>
    <w:rsid w:val="47591C72"/>
    <w:rsid w:val="47E31925"/>
    <w:rsid w:val="4868489A"/>
    <w:rsid w:val="48D72771"/>
    <w:rsid w:val="49281B4A"/>
    <w:rsid w:val="4A2E7657"/>
    <w:rsid w:val="4A3D68BF"/>
    <w:rsid w:val="4A3E4DC0"/>
    <w:rsid w:val="4A503866"/>
    <w:rsid w:val="4A544DA2"/>
    <w:rsid w:val="4A9E2014"/>
    <w:rsid w:val="4AAE7E12"/>
    <w:rsid w:val="4B1B46E1"/>
    <w:rsid w:val="4B7D6006"/>
    <w:rsid w:val="4BBC0C4D"/>
    <w:rsid w:val="4BDB21DD"/>
    <w:rsid w:val="4C3075BA"/>
    <w:rsid w:val="4CF57F70"/>
    <w:rsid w:val="4D0735F6"/>
    <w:rsid w:val="4D3A22C1"/>
    <w:rsid w:val="4D3F498E"/>
    <w:rsid w:val="4D40640B"/>
    <w:rsid w:val="4D7C025B"/>
    <w:rsid w:val="4DD61DF2"/>
    <w:rsid w:val="4DEA1F48"/>
    <w:rsid w:val="4DFD7C3C"/>
    <w:rsid w:val="4E1557EF"/>
    <w:rsid w:val="4F79702A"/>
    <w:rsid w:val="4F9877D0"/>
    <w:rsid w:val="50EB7FCE"/>
    <w:rsid w:val="50ED6679"/>
    <w:rsid w:val="50FE6F55"/>
    <w:rsid w:val="518A7C93"/>
    <w:rsid w:val="51905BB3"/>
    <w:rsid w:val="51A90737"/>
    <w:rsid w:val="51B558AA"/>
    <w:rsid w:val="51CB3A5C"/>
    <w:rsid w:val="51D143BF"/>
    <w:rsid w:val="51D6236B"/>
    <w:rsid w:val="520B533D"/>
    <w:rsid w:val="5222603D"/>
    <w:rsid w:val="522D1241"/>
    <w:rsid w:val="528A58A1"/>
    <w:rsid w:val="52C47F96"/>
    <w:rsid w:val="539A1DA8"/>
    <w:rsid w:val="53EE7B52"/>
    <w:rsid w:val="54431A74"/>
    <w:rsid w:val="54480769"/>
    <w:rsid w:val="54C530F3"/>
    <w:rsid w:val="55307887"/>
    <w:rsid w:val="5540344C"/>
    <w:rsid w:val="55642168"/>
    <w:rsid w:val="556E2C73"/>
    <w:rsid w:val="557B27B3"/>
    <w:rsid w:val="55871D86"/>
    <w:rsid w:val="565A08C3"/>
    <w:rsid w:val="56B92464"/>
    <w:rsid w:val="570B7A16"/>
    <w:rsid w:val="5772283A"/>
    <w:rsid w:val="579D6D44"/>
    <w:rsid w:val="57F20780"/>
    <w:rsid w:val="5863333A"/>
    <w:rsid w:val="589A766A"/>
    <w:rsid w:val="59415882"/>
    <w:rsid w:val="5A2A565E"/>
    <w:rsid w:val="5B57504B"/>
    <w:rsid w:val="5B9C5825"/>
    <w:rsid w:val="5C20760E"/>
    <w:rsid w:val="5C220F59"/>
    <w:rsid w:val="5C397192"/>
    <w:rsid w:val="5D46181B"/>
    <w:rsid w:val="5D650ECF"/>
    <w:rsid w:val="5D6F3836"/>
    <w:rsid w:val="5D922388"/>
    <w:rsid w:val="5DB20C5F"/>
    <w:rsid w:val="5DE26400"/>
    <w:rsid w:val="5DF8181C"/>
    <w:rsid w:val="5E4A2CDD"/>
    <w:rsid w:val="5ED335D9"/>
    <w:rsid w:val="5F6A708D"/>
    <w:rsid w:val="606B51AB"/>
    <w:rsid w:val="60A41434"/>
    <w:rsid w:val="615F634A"/>
    <w:rsid w:val="61604ECA"/>
    <w:rsid w:val="61CF1E0E"/>
    <w:rsid w:val="623F7A52"/>
    <w:rsid w:val="62EB0503"/>
    <w:rsid w:val="630930CF"/>
    <w:rsid w:val="6331572B"/>
    <w:rsid w:val="6377068E"/>
    <w:rsid w:val="63985626"/>
    <w:rsid w:val="63A02DCE"/>
    <w:rsid w:val="63F878DE"/>
    <w:rsid w:val="63FA2385"/>
    <w:rsid w:val="64384738"/>
    <w:rsid w:val="64393CF3"/>
    <w:rsid w:val="6471224A"/>
    <w:rsid w:val="64BF552A"/>
    <w:rsid w:val="651220AD"/>
    <w:rsid w:val="6547349F"/>
    <w:rsid w:val="65F6706A"/>
    <w:rsid w:val="65FB6FD3"/>
    <w:rsid w:val="66152565"/>
    <w:rsid w:val="6654622B"/>
    <w:rsid w:val="66577775"/>
    <w:rsid w:val="665E4BDE"/>
    <w:rsid w:val="66A51361"/>
    <w:rsid w:val="66B27E30"/>
    <w:rsid w:val="672B6A84"/>
    <w:rsid w:val="672F7DD0"/>
    <w:rsid w:val="6773320D"/>
    <w:rsid w:val="67866389"/>
    <w:rsid w:val="679C4FDD"/>
    <w:rsid w:val="680444A6"/>
    <w:rsid w:val="68363929"/>
    <w:rsid w:val="687C36F7"/>
    <w:rsid w:val="68B51B65"/>
    <w:rsid w:val="68D11506"/>
    <w:rsid w:val="68D979A5"/>
    <w:rsid w:val="6925698A"/>
    <w:rsid w:val="693F1FB9"/>
    <w:rsid w:val="69464F9B"/>
    <w:rsid w:val="69762BF5"/>
    <w:rsid w:val="69C200B3"/>
    <w:rsid w:val="69E51C7A"/>
    <w:rsid w:val="69FB573C"/>
    <w:rsid w:val="6A2D54D0"/>
    <w:rsid w:val="6A3375C5"/>
    <w:rsid w:val="6A37528D"/>
    <w:rsid w:val="6A411EB8"/>
    <w:rsid w:val="6A450281"/>
    <w:rsid w:val="6A456658"/>
    <w:rsid w:val="6A76505D"/>
    <w:rsid w:val="6AA123AD"/>
    <w:rsid w:val="6AD76FB5"/>
    <w:rsid w:val="6B4A0DCB"/>
    <w:rsid w:val="6BE85E1C"/>
    <w:rsid w:val="6C6A27E8"/>
    <w:rsid w:val="6C8B0AE9"/>
    <w:rsid w:val="6C9C08AB"/>
    <w:rsid w:val="6C9E3B73"/>
    <w:rsid w:val="6CB6374F"/>
    <w:rsid w:val="6CC2428D"/>
    <w:rsid w:val="6CF84619"/>
    <w:rsid w:val="6CFF5543"/>
    <w:rsid w:val="6D760499"/>
    <w:rsid w:val="6D9628F3"/>
    <w:rsid w:val="6DB6293B"/>
    <w:rsid w:val="6E4208E3"/>
    <w:rsid w:val="6E4E1621"/>
    <w:rsid w:val="6EBE7563"/>
    <w:rsid w:val="6EF56BFD"/>
    <w:rsid w:val="6F7044D6"/>
    <w:rsid w:val="6F7F2896"/>
    <w:rsid w:val="6FBD2F93"/>
    <w:rsid w:val="6FD868EE"/>
    <w:rsid w:val="705B7294"/>
    <w:rsid w:val="70CF49E6"/>
    <w:rsid w:val="713C6C5E"/>
    <w:rsid w:val="71681135"/>
    <w:rsid w:val="717B5234"/>
    <w:rsid w:val="71BB4152"/>
    <w:rsid w:val="71EC2C1C"/>
    <w:rsid w:val="720133F0"/>
    <w:rsid w:val="721760B7"/>
    <w:rsid w:val="721D4C66"/>
    <w:rsid w:val="72723CC3"/>
    <w:rsid w:val="728A772A"/>
    <w:rsid w:val="72DC50BD"/>
    <w:rsid w:val="72E3585E"/>
    <w:rsid w:val="73137F9A"/>
    <w:rsid w:val="731C17AC"/>
    <w:rsid w:val="731C21EA"/>
    <w:rsid w:val="734B24AD"/>
    <w:rsid w:val="735F3FD4"/>
    <w:rsid w:val="73CE5A40"/>
    <w:rsid w:val="73DF1451"/>
    <w:rsid w:val="73F547F2"/>
    <w:rsid w:val="74256346"/>
    <w:rsid w:val="746C17A6"/>
    <w:rsid w:val="75267B11"/>
    <w:rsid w:val="757F431F"/>
    <w:rsid w:val="7591693F"/>
    <w:rsid w:val="75CC0F9E"/>
    <w:rsid w:val="75CE1AFE"/>
    <w:rsid w:val="76240D34"/>
    <w:rsid w:val="76322A83"/>
    <w:rsid w:val="76A62745"/>
    <w:rsid w:val="76A65A76"/>
    <w:rsid w:val="76AD7DBE"/>
    <w:rsid w:val="76E909FC"/>
    <w:rsid w:val="77467A11"/>
    <w:rsid w:val="776771AA"/>
    <w:rsid w:val="77881552"/>
    <w:rsid w:val="77E43CB3"/>
    <w:rsid w:val="784A5B23"/>
    <w:rsid w:val="786A41B8"/>
    <w:rsid w:val="78740EEC"/>
    <w:rsid w:val="78914D25"/>
    <w:rsid w:val="78DD498A"/>
    <w:rsid w:val="78F52216"/>
    <w:rsid w:val="792553EE"/>
    <w:rsid w:val="79371A25"/>
    <w:rsid w:val="795E373D"/>
    <w:rsid w:val="79B67FEC"/>
    <w:rsid w:val="7A131891"/>
    <w:rsid w:val="7A301431"/>
    <w:rsid w:val="7A390F70"/>
    <w:rsid w:val="7A6E6298"/>
    <w:rsid w:val="7A8D3A73"/>
    <w:rsid w:val="7ACF4B3E"/>
    <w:rsid w:val="7B2E5E70"/>
    <w:rsid w:val="7BAD252A"/>
    <w:rsid w:val="7BE86441"/>
    <w:rsid w:val="7C1A4147"/>
    <w:rsid w:val="7C5B19C6"/>
    <w:rsid w:val="7CCA353F"/>
    <w:rsid w:val="7CD66F65"/>
    <w:rsid w:val="7D1746D9"/>
    <w:rsid w:val="7D3B0EC8"/>
    <w:rsid w:val="7D4D569B"/>
    <w:rsid w:val="7D557630"/>
    <w:rsid w:val="7D9210EB"/>
    <w:rsid w:val="7D9639EA"/>
    <w:rsid w:val="7DA064A5"/>
    <w:rsid w:val="7E541BDD"/>
    <w:rsid w:val="7E7B5ADC"/>
    <w:rsid w:val="7E8A1243"/>
    <w:rsid w:val="7EEC7896"/>
    <w:rsid w:val="7F62191B"/>
    <w:rsid w:val="7F8579E4"/>
    <w:rsid w:val="7F9D3B40"/>
    <w:rsid w:val="7FEF78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35" w:semiHidden="0" w:name="caption"/>
    <w:lsdException w:qFormat="1" w:unhideWhenUsed="0" w:uiPriority="99"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iPriority="99" w:semiHidden="0" w:name="table of authorities"/>
    <w:lsdException w:qFormat="1" w:unhideWhenUsed="0" w:uiPriority="0" w:semiHidden="0" w:name="macro"/>
    <w:lsdException w:qFormat="1" w:unhideWhenUsed="0" w:uiPriority="99" w:semiHidden="0" w:name="toa heading"/>
    <w:lsdException w:qFormat="1" w:unhideWhenUsed="0" w:uiPriority="0" w:semiHidden="0" w:name="List"/>
    <w:lsdException w:qFormat="1" w:unhideWhenUsed="0" w:uiPriority="0" w:semiHidden="0" w:name="List Bullet"/>
    <w:lsdException w:qFormat="1" w:unhideWhenUsed="0" w:uiPriority="99" w:semiHidden="0" w:name="List Number"/>
    <w:lsdException w:qFormat="1" w:unhideWhenUsed="0" w:uiPriority="0"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0" w:semiHidden="0" w:name="HTML Preformatted"/>
    <w:lsdException w:qFormat="1" w:unhideWhenUsed="0" w:uiPriority="99" w:semiHidden="0" w:name="HTML Sample"/>
    <w:lsdException w:qFormat="1" w:unhideWhenUsed="0" w:uiPriority="0" w:semiHidden="0" w:name="HTML Typewriter"/>
    <w:lsdException w:qFormat="1" w:unhideWhenUsed="0" w:uiPriority="99"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qFormat="1" w:uiPriority="0" w:semiHidden="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3">
    <w:name w:val="heading 1"/>
    <w:basedOn w:val="1"/>
    <w:next w:val="1"/>
    <w:link w:val="195"/>
    <w:qFormat/>
    <w:uiPriority w:val="0"/>
    <w:pPr>
      <w:spacing w:before="33"/>
      <w:ind w:left="4141" w:hanging="4563"/>
      <w:outlineLvl w:val="0"/>
    </w:pPr>
    <w:rPr>
      <w:rFonts w:ascii="黑体" w:hAnsi="黑体" w:eastAsia="黑体" w:cs="黑体"/>
      <w:sz w:val="44"/>
      <w:szCs w:val="44"/>
    </w:rPr>
  </w:style>
  <w:style w:type="paragraph" w:styleId="4">
    <w:name w:val="heading 2"/>
    <w:basedOn w:val="1"/>
    <w:next w:val="1"/>
    <w:link w:val="197"/>
    <w:qFormat/>
    <w:uiPriority w:val="0"/>
    <w:pPr>
      <w:ind w:left="750" w:hanging="453"/>
      <w:outlineLvl w:val="1"/>
    </w:pPr>
    <w:rPr>
      <w:sz w:val="30"/>
      <w:szCs w:val="30"/>
    </w:rPr>
  </w:style>
  <w:style w:type="paragraph" w:styleId="5">
    <w:name w:val="heading 3"/>
    <w:basedOn w:val="1"/>
    <w:next w:val="1"/>
    <w:link w:val="198"/>
    <w:qFormat/>
    <w:uiPriority w:val="9"/>
    <w:pPr>
      <w:ind w:left="892" w:hanging="721"/>
      <w:outlineLvl w:val="2"/>
    </w:pPr>
    <w:rPr>
      <w:b/>
      <w:bCs/>
      <w:sz w:val="24"/>
      <w:szCs w:val="24"/>
    </w:rPr>
  </w:style>
  <w:style w:type="paragraph" w:styleId="6">
    <w:name w:val="heading 4"/>
    <w:basedOn w:val="1"/>
    <w:next w:val="1"/>
    <w:link w:val="144"/>
    <w:unhideWhenUsed/>
    <w:qFormat/>
    <w:uiPriority w:val="9"/>
    <w:pPr>
      <w:keepNext/>
      <w:keepLines/>
      <w:autoSpaceDE/>
      <w:autoSpaceDN/>
      <w:spacing w:before="280" w:after="290" w:line="376" w:lineRule="auto"/>
      <w:jc w:val="both"/>
      <w:outlineLvl w:val="3"/>
    </w:pPr>
    <w:rPr>
      <w:rFonts w:ascii="Cambria" w:hAnsi="Cambria" w:cs="Times New Roman"/>
      <w:b/>
      <w:bCs/>
      <w:kern w:val="2"/>
      <w:sz w:val="28"/>
      <w:szCs w:val="28"/>
      <w:lang w:val="en-US" w:bidi="ar-SA"/>
    </w:rPr>
  </w:style>
  <w:style w:type="paragraph" w:styleId="7">
    <w:name w:val="heading 5"/>
    <w:basedOn w:val="1"/>
    <w:next w:val="1"/>
    <w:link w:val="174"/>
    <w:qFormat/>
    <w:uiPriority w:val="0"/>
    <w:pPr>
      <w:keepNext/>
      <w:keepLines/>
      <w:topLinePunct/>
      <w:autoSpaceDE/>
      <w:autoSpaceDN/>
      <w:spacing w:before="280" w:after="290" w:line="376" w:lineRule="auto"/>
      <w:ind w:firstLine="200" w:firstLineChars="200"/>
      <w:outlineLvl w:val="4"/>
    </w:pPr>
    <w:rPr>
      <w:rFonts w:ascii="仿宋_GB2312" w:hAnsi="Times New Roman" w:eastAsia="仿宋_GB2312" w:cs="Times New Roman"/>
      <w:b/>
      <w:bCs/>
      <w:sz w:val="28"/>
      <w:szCs w:val="28"/>
      <w:lang w:val="en-US" w:bidi="ar-SA"/>
    </w:rPr>
  </w:style>
  <w:style w:type="paragraph" w:styleId="8">
    <w:name w:val="heading 6"/>
    <w:basedOn w:val="1"/>
    <w:next w:val="1"/>
    <w:link w:val="175"/>
    <w:qFormat/>
    <w:uiPriority w:val="0"/>
    <w:pPr>
      <w:keepNext/>
      <w:tabs>
        <w:tab w:val="left" w:pos="360"/>
      </w:tabs>
      <w:autoSpaceDE/>
      <w:autoSpaceDN/>
      <w:ind w:left="360" w:hanging="360"/>
      <w:jc w:val="both"/>
      <w:outlineLvl w:val="5"/>
    </w:pPr>
    <w:rPr>
      <w:rFonts w:ascii="Times New Roman" w:hAnsi="Times New Roman" w:cs="Times New Roman"/>
      <w:b/>
      <w:bCs/>
      <w:kern w:val="2"/>
      <w:sz w:val="24"/>
      <w:szCs w:val="20"/>
      <w:lang w:val="en-US" w:bidi="ar-SA"/>
    </w:rPr>
  </w:style>
  <w:style w:type="paragraph" w:styleId="9">
    <w:name w:val="heading 7"/>
    <w:basedOn w:val="1"/>
    <w:next w:val="1"/>
    <w:link w:val="176"/>
    <w:qFormat/>
    <w:uiPriority w:val="0"/>
    <w:pPr>
      <w:keepNext/>
      <w:tabs>
        <w:tab w:val="left" w:pos="360"/>
      </w:tabs>
      <w:autoSpaceDE/>
      <w:autoSpaceDN/>
      <w:ind w:left="360" w:hanging="360"/>
      <w:jc w:val="both"/>
      <w:outlineLvl w:val="6"/>
    </w:pPr>
    <w:rPr>
      <w:rFonts w:ascii="Times New Roman" w:hAnsi="Times New Roman" w:cs="Times New Roman"/>
      <w:b/>
      <w:bCs/>
      <w:kern w:val="2"/>
      <w:sz w:val="28"/>
      <w:szCs w:val="28"/>
      <w:lang w:val="en-US" w:bidi="ar-SA"/>
    </w:rPr>
  </w:style>
  <w:style w:type="paragraph" w:styleId="10">
    <w:name w:val="heading 8"/>
    <w:basedOn w:val="1"/>
    <w:next w:val="1"/>
    <w:link w:val="200"/>
    <w:qFormat/>
    <w:uiPriority w:val="0"/>
    <w:pPr>
      <w:keepNext/>
      <w:tabs>
        <w:tab w:val="left" w:pos="645"/>
      </w:tabs>
      <w:autoSpaceDE/>
      <w:autoSpaceDN/>
      <w:ind w:left="645" w:hanging="645"/>
      <w:jc w:val="both"/>
      <w:outlineLvl w:val="7"/>
    </w:pPr>
    <w:rPr>
      <w:rFonts w:ascii="Times New Roman" w:hAnsi="Times New Roman" w:cs="Times New Roman"/>
      <w:b/>
      <w:bCs/>
      <w:kern w:val="2"/>
      <w:sz w:val="28"/>
      <w:szCs w:val="28"/>
      <w:lang w:val="en-US" w:bidi="ar-SA"/>
    </w:rPr>
  </w:style>
  <w:style w:type="paragraph" w:styleId="11">
    <w:name w:val="heading 9"/>
    <w:basedOn w:val="1"/>
    <w:next w:val="1"/>
    <w:link w:val="178"/>
    <w:qFormat/>
    <w:uiPriority w:val="0"/>
    <w:pPr>
      <w:keepNext/>
      <w:keepLines/>
      <w:topLinePunct/>
      <w:autoSpaceDE/>
      <w:autoSpaceDN/>
      <w:spacing w:before="240" w:after="64" w:line="320" w:lineRule="auto"/>
      <w:ind w:firstLine="200" w:firstLineChars="200"/>
      <w:outlineLvl w:val="8"/>
    </w:pPr>
    <w:rPr>
      <w:rFonts w:ascii="Arial" w:hAnsi="Arial" w:eastAsia="黑体" w:cs="Times New Roman"/>
      <w:sz w:val="28"/>
      <w:szCs w:val="21"/>
      <w:lang w:val="en-US" w:bidi="ar-SA"/>
    </w:rPr>
  </w:style>
  <w:style w:type="character" w:default="1" w:styleId="83">
    <w:name w:val="Default Paragraph Font"/>
    <w:semiHidden/>
    <w:unhideWhenUsed/>
    <w:qFormat/>
    <w:uiPriority w:val="1"/>
  </w:style>
  <w:style w:type="table" w:default="1" w:styleId="80">
    <w:name w:val="Normal Table"/>
    <w:semiHidden/>
    <w:unhideWhenUsed/>
    <w:qFormat/>
    <w:uiPriority w:val="99"/>
    <w:tblPr>
      <w:tblCellMar>
        <w:top w:w="0" w:type="dxa"/>
        <w:left w:w="108" w:type="dxa"/>
        <w:bottom w:w="0" w:type="dxa"/>
        <w:right w:w="108" w:type="dxa"/>
      </w:tblCellMar>
    </w:tblPr>
  </w:style>
  <w:style w:type="paragraph" w:styleId="2">
    <w:name w:val="macro"/>
    <w:link w:val="2143"/>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qFormat/>
    <w:uiPriority w:val="99"/>
    <w:pPr>
      <w:topLinePunct/>
      <w:autoSpaceDE/>
      <w:autoSpaceDN/>
      <w:spacing w:line="360" w:lineRule="auto"/>
      <w:ind w:left="100" w:leftChars="400" w:hanging="200" w:hangingChars="200"/>
    </w:pPr>
    <w:rPr>
      <w:rFonts w:ascii="仿宋_GB2312" w:hAnsi="Times New Roman" w:eastAsia="仿宋_GB2312" w:cs="Times New Roman"/>
      <w:kern w:val="2"/>
      <w:sz w:val="28"/>
      <w:szCs w:val="20"/>
      <w:lang w:val="en-US" w:bidi="ar-SA"/>
    </w:rPr>
  </w:style>
  <w:style w:type="paragraph" w:styleId="13">
    <w:name w:val="toc 7"/>
    <w:basedOn w:val="1"/>
    <w:next w:val="1"/>
    <w:unhideWhenUsed/>
    <w:qFormat/>
    <w:uiPriority w:val="39"/>
    <w:pPr>
      <w:autoSpaceDE/>
      <w:autoSpaceDN/>
      <w:ind w:left="2520" w:leftChars="1200"/>
      <w:jc w:val="both"/>
    </w:pPr>
    <w:rPr>
      <w:rFonts w:asciiTheme="minorHAnsi" w:hAnsiTheme="minorHAnsi" w:eastAsiaTheme="minorEastAsia" w:cstheme="minorBidi"/>
      <w:kern w:val="2"/>
      <w:sz w:val="21"/>
      <w:lang w:val="en-US" w:bidi="ar-SA"/>
    </w:rPr>
  </w:style>
  <w:style w:type="paragraph" w:styleId="14">
    <w:name w:val="List Number 2"/>
    <w:basedOn w:val="1"/>
    <w:qFormat/>
    <w:uiPriority w:val="99"/>
    <w:pPr>
      <w:numPr>
        <w:ilvl w:val="0"/>
        <w:numId w:val="1"/>
      </w:numPr>
      <w:tabs>
        <w:tab w:val="left" w:pos="360"/>
        <w:tab w:val="clear" w:pos="780"/>
      </w:tabs>
      <w:ind w:left="0" w:leftChars="0" w:firstLine="0" w:firstLineChars="0"/>
      <w:contextualSpacing/>
    </w:pPr>
  </w:style>
  <w:style w:type="paragraph" w:styleId="15">
    <w:name w:val="table of authorities"/>
    <w:basedOn w:val="1"/>
    <w:next w:val="1"/>
    <w:unhideWhenUsed/>
    <w:qFormat/>
    <w:uiPriority w:val="99"/>
    <w:pPr>
      <w:autoSpaceDE/>
      <w:autoSpaceDN/>
      <w:ind w:left="210" w:hanging="210"/>
    </w:pPr>
    <w:rPr>
      <w:rFonts w:ascii="Times New Roman" w:hAnsi="Times New Roman" w:cs="Times New Roman"/>
      <w:kern w:val="2"/>
      <w:sz w:val="20"/>
      <w:szCs w:val="20"/>
      <w:lang w:val="en-US" w:bidi="ar-SA"/>
    </w:rPr>
  </w:style>
  <w:style w:type="paragraph" w:styleId="16">
    <w:name w:val="Note Heading"/>
    <w:basedOn w:val="1"/>
    <w:next w:val="1"/>
    <w:link w:val="180"/>
    <w:qFormat/>
    <w:uiPriority w:val="0"/>
    <w:pPr>
      <w:autoSpaceDE/>
      <w:autoSpaceDN/>
      <w:jc w:val="center"/>
    </w:pPr>
    <w:rPr>
      <w:rFonts w:ascii="Times New Roman" w:hAnsi="Times New Roman" w:cs="Times New Roman"/>
      <w:sz w:val="20"/>
      <w:szCs w:val="20"/>
      <w:lang w:val="en-US" w:bidi="ar-SA"/>
    </w:rPr>
  </w:style>
  <w:style w:type="paragraph" w:styleId="17">
    <w:name w:val="List Bullet 4"/>
    <w:basedOn w:val="1"/>
    <w:qFormat/>
    <w:uiPriority w:val="0"/>
    <w:pPr>
      <w:tabs>
        <w:tab w:val="left" w:pos="726"/>
      </w:tabs>
      <w:topLinePunct/>
      <w:autoSpaceDE/>
      <w:autoSpaceDN/>
      <w:spacing w:line="360" w:lineRule="auto"/>
      <w:ind w:left="2" w:firstLine="4"/>
    </w:pPr>
    <w:rPr>
      <w:rFonts w:ascii="仿宋_GB2312" w:hAnsi="Times New Roman" w:eastAsia="仿宋_GB2312" w:cs="Times New Roman"/>
      <w:kern w:val="2"/>
      <w:sz w:val="28"/>
      <w:szCs w:val="20"/>
      <w:lang w:val="en-US" w:bidi="ar-SA"/>
    </w:rPr>
  </w:style>
  <w:style w:type="paragraph" w:styleId="18">
    <w:name w:val="E-mail Signature"/>
    <w:basedOn w:val="1"/>
    <w:link w:val="181"/>
    <w:qFormat/>
    <w:uiPriority w:val="0"/>
    <w:pPr>
      <w:topLinePunct/>
      <w:autoSpaceDE/>
      <w:autoSpaceDN/>
      <w:spacing w:line="360" w:lineRule="auto"/>
      <w:ind w:firstLine="200" w:firstLineChars="200"/>
    </w:pPr>
    <w:rPr>
      <w:rFonts w:ascii="仿宋_GB2312" w:hAnsi="Times New Roman" w:eastAsia="仿宋_GB2312" w:cs="Times New Roman"/>
      <w:sz w:val="28"/>
      <w:szCs w:val="20"/>
      <w:lang w:val="en-US" w:bidi="ar-SA"/>
    </w:rPr>
  </w:style>
  <w:style w:type="paragraph" w:styleId="19">
    <w:name w:val="List Number"/>
    <w:basedOn w:val="1"/>
    <w:qFormat/>
    <w:uiPriority w:val="99"/>
    <w:pPr>
      <w:tabs>
        <w:tab w:val="left" w:pos="726"/>
      </w:tabs>
      <w:topLinePunct/>
      <w:autoSpaceDE/>
      <w:autoSpaceDN/>
      <w:spacing w:line="360" w:lineRule="auto"/>
      <w:ind w:left="2" w:firstLine="4"/>
    </w:pPr>
    <w:rPr>
      <w:rFonts w:ascii="仿宋_GB2312" w:hAnsi="Times New Roman" w:eastAsia="仿宋_GB2312" w:cs="Times New Roman"/>
      <w:kern w:val="2"/>
      <w:sz w:val="28"/>
      <w:szCs w:val="20"/>
      <w:lang w:val="en-US" w:bidi="ar-SA"/>
    </w:rPr>
  </w:style>
  <w:style w:type="paragraph" w:styleId="20">
    <w:name w:val="Normal Indent"/>
    <w:basedOn w:val="1"/>
    <w:link w:val="196"/>
    <w:qFormat/>
    <w:uiPriority w:val="0"/>
    <w:pPr>
      <w:spacing w:line="360" w:lineRule="exact"/>
      <w:ind w:firstLine="510"/>
    </w:pPr>
  </w:style>
  <w:style w:type="paragraph" w:styleId="21">
    <w:name w:val="caption"/>
    <w:basedOn w:val="1"/>
    <w:next w:val="1"/>
    <w:link w:val="201"/>
    <w:qFormat/>
    <w:uiPriority w:val="35"/>
    <w:pPr>
      <w:autoSpaceDE/>
      <w:autoSpaceDN/>
      <w:jc w:val="both"/>
    </w:pPr>
    <w:rPr>
      <w:rFonts w:ascii="Arial" w:hAnsi="Arial" w:eastAsia="黑体" w:cs="Arial"/>
      <w:sz w:val="20"/>
      <w:szCs w:val="20"/>
      <w:lang w:val="en-US" w:bidi="ar-SA"/>
    </w:rPr>
  </w:style>
  <w:style w:type="paragraph" w:styleId="22">
    <w:name w:val="List Bullet"/>
    <w:basedOn w:val="1"/>
    <w:qFormat/>
    <w:uiPriority w:val="0"/>
    <w:pPr>
      <w:tabs>
        <w:tab w:val="left" w:pos="726"/>
      </w:tabs>
      <w:topLinePunct/>
      <w:autoSpaceDE/>
      <w:autoSpaceDN/>
      <w:spacing w:line="360" w:lineRule="auto"/>
      <w:ind w:left="2" w:firstLine="4"/>
    </w:pPr>
    <w:rPr>
      <w:rFonts w:ascii="仿宋_GB2312" w:hAnsi="Times New Roman" w:eastAsia="仿宋_GB2312" w:cs="Times New Roman"/>
      <w:kern w:val="2"/>
      <w:sz w:val="28"/>
      <w:szCs w:val="20"/>
      <w:lang w:val="en-US" w:bidi="ar-SA"/>
    </w:rPr>
  </w:style>
  <w:style w:type="paragraph" w:styleId="23">
    <w:name w:val="envelope address"/>
    <w:basedOn w:val="1"/>
    <w:qFormat/>
    <w:uiPriority w:val="0"/>
    <w:pPr>
      <w:topLinePunct/>
      <w:autoSpaceDE/>
      <w:autoSpaceDN/>
      <w:snapToGrid w:val="0"/>
      <w:spacing w:line="360" w:lineRule="auto"/>
      <w:ind w:left="100" w:leftChars="1400" w:firstLine="200" w:firstLineChars="200"/>
    </w:pPr>
    <w:rPr>
      <w:rFonts w:ascii="Arial" w:hAnsi="Arial" w:eastAsia="仿宋_GB2312" w:cs="Arial"/>
      <w:kern w:val="2"/>
      <w:sz w:val="24"/>
      <w:szCs w:val="20"/>
      <w:lang w:val="en-US" w:bidi="ar-SA"/>
    </w:rPr>
  </w:style>
  <w:style w:type="paragraph" w:styleId="24">
    <w:name w:val="Document Map"/>
    <w:basedOn w:val="1"/>
    <w:link w:val="182"/>
    <w:qFormat/>
    <w:uiPriority w:val="0"/>
    <w:pPr>
      <w:shd w:val="clear" w:color="auto" w:fill="000080"/>
      <w:autoSpaceDE/>
      <w:autoSpaceDN/>
      <w:jc w:val="both"/>
    </w:pPr>
    <w:rPr>
      <w:rFonts w:ascii="Times New Roman" w:hAnsi="Times New Roman" w:cs="Times New Roman"/>
      <w:sz w:val="20"/>
      <w:szCs w:val="24"/>
      <w:lang w:val="en-US" w:bidi="ar-SA"/>
    </w:rPr>
  </w:style>
  <w:style w:type="paragraph" w:styleId="25">
    <w:name w:val="toa heading"/>
    <w:basedOn w:val="1"/>
    <w:next w:val="1"/>
    <w:qFormat/>
    <w:uiPriority w:val="99"/>
    <w:pPr>
      <w:autoSpaceDE/>
      <w:autoSpaceDN/>
      <w:spacing w:before="120"/>
      <w:jc w:val="both"/>
    </w:pPr>
    <w:rPr>
      <w:rFonts w:ascii="Arial" w:hAnsi="Arial" w:cs="Times New Roman"/>
      <w:kern w:val="2"/>
      <w:sz w:val="24"/>
      <w:szCs w:val="20"/>
      <w:lang w:val="en-US" w:bidi="ar-SA"/>
    </w:rPr>
  </w:style>
  <w:style w:type="paragraph" w:styleId="26">
    <w:name w:val="annotation text"/>
    <w:basedOn w:val="1"/>
    <w:link w:val="127"/>
    <w:qFormat/>
    <w:uiPriority w:val="0"/>
  </w:style>
  <w:style w:type="paragraph" w:styleId="27">
    <w:name w:val="Salutation"/>
    <w:basedOn w:val="1"/>
    <w:next w:val="1"/>
    <w:link w:val="151"/>
    <w:qFormat/>
    <w:uiPriority w:val="0"/>
  </w:style>
  <w:style w:type="paragraph" w:styleId="28">
    <w:name w:val="Body Text 3"/>
    <w:basedOn w:val="1"/>
    <w:link w:val="183"/>
    <w:qFormat/>
    <w:uiPriority w:val="0"/>
    <w:pPr>
      <w:autoSpaceDE/>
      <w:autoSpaceDN/>
      <w:spacing w:line="360" w:lineRule="exact"/>
      <w:jc w:val="center"/>
    </w:pPr>
    <w:rPr>
      <w:rFonts w:cs="Times New Roman"/>
      <w:color w:val="006600"/>
      <w:kern w:val="16"/>
      <w:sz w:val="24"/>
      <w:szCs w:val="24"/>
      <w:lang w:val="en-US" w:bidi="ar-SA"/>
    </w:rPr>
  </w:style>
  <w:style w:type="paragraph" w:styleId="29">
    <w:name w:val="Closing"/>
    <w:basedOn w:val="1"/>
    <w:link w:val="159"/>
    <w:qFormat/>
    <w:uiPriority w:val="0"/>
    <w:pPr>
      <w:ind w:left="100" w:leftChars="2100"/>
    </w:pPr>
  </w:style>
  <w:style w:type="paragraph" w:styleId="30">
    <w:name w:val="List Bullet 3"/>
    <w:basedOn w:val="1"/>
    <w:qFormat/>
    <w:uiPriority w:val="0"/>
    <w:pPr>
      <w:tabs>
        <w:tab w:val="left" w:pos="726"/>
      </w:tabs>
      <w:topLinePunct/>
      <w:autoSpaceDE/>
      <w:autoSpaceDN/>
      <w:spacing w:line="360" w:lineRule="auto"/>
      <w:ind w:left="2" w:firstLine="4"/>
    </w:pPr>
    <w:rPr>
      <w:rFonts w:ascii="仿宋_GB2312" w:hAnsi="Times New Roman" w:eastAsia="仿宋_GB2312" w:cs="Times New Roman"/>
      <w:kern w:val="2"/>
      <w:sz w:val="28"/>
      <w:szCs w:val="20"/>
      <w:lang w:val="en-US" w:bidi="ar-SA"/>
    </w:rPr>
  </w:style>
  <w:style w:type="paragraph" w:styleId="31">
    <w:name w:val="Body Text"/>
    <w:basedOn w:val="1"/>
    <w:next w:val="1"/>
    <w:link w:val="153"/>
    <w:qFormat/>
    <w:uiPriority w:val="0"/>
    <w:rPr>
      <w:sz w:val="28"/>
      <w:szCs w:val="28"/>
    </w:rPr>
  </w:style>
  <w:style w:type="paragraph" w:styleId="32">
    <w:name w:val="Body Text Indent"/>
    <w:basedOn w:val="1"/>
    <w:link w:val="146"/>
    <w:qFormat/>
    <w:uiPriority w:val="0"/>
    <w:pPr>
      <w:spacing w:after="120"/>
      <w:ind w:left="420" w:leftChars="200"/>
    </w:pPr>
  </w:style>
  <w:style w:type="paragraph" w:styleId="33">
    <w:name w:val="List Number 3"/>
    <w:basedOn w:val="1"/>
    <w:qFormat/>
    <w:uiPriority w:val="99"/>
    <w:pPr>
      <w:tabs>
        <w:tab w:val="left" w:pos="726"/>
      </w:tabs>
      <w:topLinePunct/>
      <w:autoSpaceDE/>
      <w:autoSpaceDN/>
      <w:spacing w:line="360" w:lineRule="auto"/>
      <w:ind w:left="2" w:firstLine="4"/>
    </w:pPr>
    <w:rPr>
      <w:rFonts w:ascii="仿宋_GB2312" w:hAnsi="Times New Roman" w:eastAsia="仿宋_GB2312" w:cs="Times New Roman"/>
      <w:kern w:val="2"/>
      <w:sz w:val="28"/>
      <w:szCs w:val="20"/>
      <w:lang w:val="en-US" w:bidi="ar-SA"/>
    </w:rPr>
  </w:style>
  <w:style w:type="paragraph" w:styleId="34">
    <w:name w:val="List 2"/>
    <w:basedOn w:val="1"/>
    <w:qFormat/>
    <w:uiPriority w:val="0"/>
    <w:pPr>
      <w:autoSpaceDE/>
      <w:autoSpaceDN/>
      <w:snapToGrid w:val="0"/>
      <w:jc w:val="center"/>
    </w:pPr>
    <w:rPr>
      <w:rFonts w:hAnsi="Times New Roman" w:cs="Times New Roman"/>
      <w:kern w:val="2"/>
      <w:sz w:val="21"/>
      <w:szCs w:val="20"/>
      <w:lang w:val="en-US" w:bidi="ar-SA"/>
    </w:rPr>
  </w:style>
  <w:style w:type="paragraph" w:styleId="35">
    <w:name w:val="List Continue"/>
    <w:basedOn w:val="1"/>
    <w:qFormat/>
    <w:uiPriority w:val="99"/>
    <w:pPr>
      <w:topLinePunct/>
      <w:autoSpaceDE/>
      <w:autoSpaceDN/>
      <w:spacing w:after="120" w:line="360" w:lineRule="auto"/>
      <w:ind w:left="420" w:leftChars="200" w:firstLine="200" w:firstLineChars="200"/>
    </w:pPr>
    <w:rPr>
      <w:rFonts w:ascii="仿宋_GB2312" w:hAnsi="Times New Roman" w:eastAsia="仿宋_GB2312" w:cs="Times New Roman"/>
      <w:kern w:val="2"/>
      <w:sz w:val="28"/>
      <w:szCs w:val="20"/>
      <w:lang w:val="en-US" w:bidi="ar-SA"/>
    </w:rPr>
  </w:style>
  <w:style w:type="paragraph" w:styleId="36">
    <w:name w:val="Block Text"/>
    <w:basedOn w:val="1"/>
    <w:qFormat/>
    <w:uiPriority w:val="0"/>
    <w:pPr>
      <w:topLinePunct/>
      <w:autoSpaceDE/>
      <w:autoSpaceDN/>
      <w:spacing w:after="120" w:line="360" w:lineRule="auto"/>
      <w:ind w:left="1440" w:leftChars="700" w:right="1440" w:rightChars="700" w:firstLine="200" w:firstLineChars="200"/>
    </w:pPr>
    <w:rPr>
      <w:rFonts w:ascii="仿宋_GB2312" w:hAnsi="Times New Roman" w:eastAsia="仿宋_GB2312" w:cs="Times New Roman"/>
      <w:kern w:val="2"/>
      <w:sz w:val="28"/>
      <w:szCs w:val="20"/>
      <w:lang w:val="en-US" w:bidi="ar-SA"/>
    </w:rPr>
  </w:style>
  <w:style w:type="paragraph" w:styleId="37">
    <w:name w:val="List Bullet 2"/>
    <w:basedOn w:val="1"/>
    <w:qFormat/>
    <w:uiPriority w:val="0"/>
    <w:pPr>
      <w:tabs>
        <w:tab w:val="left" w:pos="726"/>
      </w:tabs>
      <w:topLinePunct/>
      <w:autoSpaceDE/>
      <w:autoSpaceDN/>
      <w:spacing w:line="360" w:lineRule="auto"/>
      <w:ind w:left="2" w:firstLine="4"/>
    </w:pPr>
    <w:rPr>
      <w:rFonts w:ascii="仿宋_GB2312" w:hAnsi="Times New Roman" w:eastAsia="仿宋_GB2312" w:cs="Times New Roman"/>
      <w:kern w:val="2"/>
      <w:sz w:val="28"/>
      <w:szCs w:val="20"/>
      <w:lang w:val="en-US" w:bidi="ar-SA"/>
    </w:rPr>
  </w:style>
  <w:style w:type="paragraph" w:styleId="38">
    <w:name w:val="HTML Address"/>
    <w:basedOn w:val="1"/>
    <w:link w:val="184"/>
    <w:qFormat/>
    <w:uiPriority w:val="0"/>
    <w:pPr>
      <w:autoSpaceDE/>
      <w:autoSpaceDN/>
      <w:jc w:val="both"/>
    </w:pPr>
    <w:rPr>
      <w:rFonts w:ascii="Times New Roman" w:hAnsi="Times New Roman" w:cs="Times New Roman"/>
      <w:i/>
      <w:iCs/>
      <w:sz w:val="20"/>
      <w:szCs w:val="20"/>
      <w:lang w:val="en-US" w:bidi="ar-SA"/>
    </w:rPr>
  </w:style>
  <w:style w:type="paragraph" w:styleId="39">
    <w:name w:val="toc 5"/>
    <w:basedOn w:val="1"/>
    <w:next w:val="1"/>
    <w:unhideWhenUsed/>
    <w:qFormat/>
    <w:uiPriority w:val="39"/>
    <w:pPr>
      <w:autoSpaceDE/>
      <w:autoSpaceDN/>
      <w:ind w:left="1680" w:leftChars="800"/>
      <w:jc w:val="both"/>
    </w:pPr>
    <w:rPr>
      <w:rFonts w:asciiTheme="minorHAnsi" w:hAnsiTheme="minorHAnsi" w:eastAsiaTheme="minorEastAsia" w:cstheme="minorBidi"/>
      <w:kern w:val="2"/>
      <w:sz w:val="21"/>
      <w:lang w:val="en-US" w:bidi="ar-SA"/>
    </w:rPr>
  </w:style>
  <w:style w:type="paragraph" w:styleId="40">
    <w:name w:val="toc 3"/>
    <w:basedOn w:val="1"/>
    <w:next w:val="1"/>
    <w:qFormat/>
    <w:uiPriority w:val="39"/>
    <w:pPr>
      <w:ind w:left="840" w:leftChars="400"/>
    </w:pPr>
  </w:style>
  <w:style w:type="paragraph" w:styleId="41">
    <w:name w:val="Plain Text"/>
    <w:basedOn w:val="1"/>
    <w:link w:val="145"/>
    <w:qFormat/>
    <w:uiPriority w:val="0"/>
    <w:rPr>
      <w:rFonts w:hAnsi="Courier New" w:cs="Courier New"/>
      <w:sz w:val="21"/>
      <w:szCs w:val="21"/>
    </w:rPr>
  </w:style>
  <w:style w:type="paragraph" w:styleId="42">
    <w:name w:val="List Bullet 5"/>
    <w:basedOn w:val="1"/>
    <w:qFormat/>
    <w:uiPriority w:val="99"/>
    <w:pPr>
      <w:tabs>
        <w:tab w:val="left" w:pos="726"/>
      </w:tabs>
      <w:topLinePunct/>
      <w:autoSpaceDE/>
      <w:autoSpaceDN/>
      <w:spacing w:line="360" w:lineRule="auto"/>
      <w:ind w:left="2" w:firstLine="4"/>
    </w:pPr>
    <w:rPr>
      <w:rFonts w:ascii="仿宋_GB2312" w:hAnsi="Times New Roman" w:eastAsia="仿宋_GB2312" w:cs="Times New Roman"/>
      <w:kern w:val="2"/>
      <w:sz w:val="28"/>
      <w:szCs w:val="20"/>
      <w:lang w:val="en-US" w:bidi="ar-SA"/>
    </w:rPr>
  </w:style>
  <w:style w:type="paragraph" w:styleId="43">
    <w:name w:val="List Number 4"/>
    <w:basedOn w:val="1"/>
    <w:qFormat/>
    <w:uiPriority w:val="99"/>
    <w:pPr>
      <w:tabs>
        <w:tab w:val="left" w:pos="726"/>
      </w:tabs>
      <w:topLinePunct/>
      <w:autoSpaceDE/>
      <w:autoSpaceDN/>
      <w:spacing w:line="360" w:lineRule="auto"/>
      <w:ind w:left="2" w:firstLine="4"/>
    </w:pPr>
    <w:rPr>
      <w:rFonts w:ascii="仿宋_GB2312" w:hAnsi="Times New Roman" w:eastAsia="仿宋_GB2312" w:cs="Times New Roman"/>
      <w:kern w:val="2"/>
      <w:sz w:val="28"/>
      <w:szCs w:val="20"/>
      <w:lang w:val="en-US" w:bidi="ar-SA"/>
    </w:rPr>
  </w:style>
  <w:style w:type="paragraph" w:styleId="44">
    <w:name w:val="toc 8"/>
    <w:basedOn w:val="1"/>
    <w:next w:val="1"/>
    <w:unhideWhenUsed/>
    <w:qFormat/>
    <w:uiPriority w:val="39"/>
    <w:pPr>
      <w:autoSpaceDE/>
      <w:autoSpaceDN/>
      <w:ind w:left="2940" w:leftChars="1400"/>
      <w:jc w:val="both"/>
    </w:pPr>
    <w:rPr>
      <w:rFonts w:asciiTheme="minorHAnsi" w:hAnsiTheme="minorHAnsi" w:eastAsiaTheme="minorEastAsia" w:cstheme="minorBidi"/>
      <w:kern w:val="2"/>
      <w:sz w:val="21"/>
      <w:lang w:val="en-US" w:bidi="ar-SA"/>
    </w:rPr>
  </w:style>
  <w:style w:type="paragraph" w:styleId="45">
    <w:name w:val="Date"/>
    <w:basedOn w:val="1"/>
    <w:next w:val="1"/>
    <w:link w:val="158"/>
    <w:qFormat/>
    <w:uiPriority w:val="0"/>
    <w:pPr>
      <w:ind w:left="100" w:leftChars="2500"/>
    </w:pPr>
  </w:style>
  <w:style w:type="paragraph" w:styleId="46">
    <w:name w:val="Body Text Indent 2"/>
    <w:basedOn w:val="1"/>
    <w:link w:val="205"/>
    <w:qFormat/>
    <w:uiPriority w:val="0"/>
    <w:pPr>
      <w:spacing w:after="120" w:line="480" w:lineRule="auto"/>
      <w:ind w:left="420" w:leftChars="200"/>
      <w:jc w:val="both"/>
    </w:pPr>
    <w:rPr>
      <w:rFonts w:ascii="Times New Roman" w:hAnsi="Times New Roman" w:cs="Times New Roman"/>
      <w:sz w:val="20"/>
    </w:rPr>
  </w:style>
  <w:style w:type="paragraph" w:styleId="47">
    <w:name w:val="endnote text"/>
    <w:basedOn w:val="1"/>
    <w:link w:val="170"/>
    <w:qFormat/>
    <w:uiPriority w:val="0"/>
    <w:pPr>
      <w:snapToGrid w:val="0"/>
    </w:pPr>
  </w:style>
  <w:style w:type="paragraph" w:styleId="48">
    <w:name w:val="List Continue 5"/>
    <w:basedOn w:val="1"/>
    <w:qFormat/>
    <w:uiPriority w:val="99"/>
    <w:pPr>
      <w:topLinePunct/>
      <w:autoSpaceDE/>
      <w:autoSpaceDN/>
      <w:spacing w:after="120" w:line="360" w:lineRule="auto"/>
      <w:ind w:left="2100" w:leftChars="1000" w:firstLine="200" w:firstLineChars="200"/>
    </w:pPr>
    <w:rPr>
      <w:rFonts w:ascii="仿宋_GB2312" w:hAnsi="Times New Roman" w:eastAsia="仿宋_GB2312" w:cs="Times New Roman"/>
      <w:kern w:val="2"/>
      <w:sz w:val="28"/>
      <w:szCs w:val="20"/>
      <w:lang w:val="en-US" w:bidi="ar-SA"/>
    </w:rPr>
  </w:style>
  <w:style w:type="paragraph" w:styleId="49">
    <w:name w:val="Balloon Text"/>
    <w:basedOn w:val="1"/>
    <w:link w:val="126"/>
    <w:qFormat/>
    <w:uiPriority w:val="0"/>
    <w:rPr>
      <w:sz w:val="18"/>
      <w:szCs w:val="18"/>
    </w:rPr>
  </w:style>
  <w:style w:type="paragraph" w:styleId="50">
    <w:name w:val="footer"/>
    <w:basedOn w:val="1"/>
    <w:link w:val="206"/>
    <w:qFormat/>
    <w:uiPriority w:val="99"/>
    <w:pPr>
      <w:tabs>
        <w:tab w:val="center" w:pos="4153"/>
        <w:tab w:val="right" w:pos="8306"/>
      </w:tabs>
      <w:snapToGrid w:val="0"/>
    </w:pPr>
    <w:rPr>
      <w:sz w:val="18"/>
    </w:rPr>
  </w:style>
  <w:style w:type="paragraph" w:styleId="51">
    <w:name w:val="envelope return"/>
    <w:basedOn w:val="1"/>
    <w:qFormat/>
    <w:uiPriority w:val="0"/>
    <w:pPr>
      <w:topLinePunct/>
      <w:autoSpaceDE/>
      <w:autoSpaceDN/>
      <w:snapToGrid w:val="0"/>
      <w:spacing w:line="360" w:lineRule="auto"/>
      <w:ind w:firstLine="200" w:firstLineChars="200"/>
    </w:pPr>
    <w:rPr>
      <w:rFonts w:ascii="Arial" w:hAnsi="Arial" w:eastAsia="仿宋_GB2312" w:cs="Arial"/>
      <w:kern w:val="2"/>
      <w:sz w:val="28"/>
      <w:szCs w:val="20"/>
      <w:lang w:val="en-US" w:bidi="ar-SA"/>
    </w:rPr>
  </w:style>
  <w:style w:type="paragraph" w:styleId="52">
    <w:name w:val="header"/>
    <w:basedOn w:val="1"/>
    <w:link w:val="20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53">
    <w:name w:val="Signature"/>
    <w:basedOn w:val="1"/>
    <w:link w:val="185"/>
    <w:qFormat/>
    <w:uiPriority w:val="0"/>
    <w:pPr>
      <w:topLinePunct/>
      <w:autoSpaceDE/>
      <w:autoSpaceDN/>
      <w:spacing w:line="360" w:lineRule="auto"/>
      <w:ind w:left="100" w:leftChars="2100" w:firstLine="200" w:firstLineChars="200"/>
    </w:pPr>
    <w:rPr>
      <w:rFonts w:ascii="仿宋_GB2312" w:hAnsi="Times New Roman" w:eastAsia="仿宋_GB2312" w:cs="Times New Roman"/>
      <w:sz w:val="28"/>
      <w:szCs w:val="20"/>
      <w:lang w:val="en-US" w:bidi="ar-SA"/>
    </w:rPr>
  </w:style>
  <w:style w:type="paragraph" w:styleId="54">
    <w:name w:val="toc 1"/>
    <w:basedOn w:val="1"/>
    <w:next w:val="1"/>
    <w:qFormat/>
    <w:uiPriority w:val="39"/>
    <w:pPr>
      <w:spacing w:before="155"/>
      <w:ind w:left="479" w:hanging="182"/>
    </w:pPr>
    <w:rPr>
      <w:b/>
      <w:bCs/>
      <w:sz w:val="24"/>
      <w:szCs w:val="24"/>
    </w:rPr>
  </w:style>
  <w:style w:type="paragraph" w:styleId="55">
    <w:name w:val="List Continue 4"/>
    <w:basedOn w:val="1"/>
    <w:qFormat/>
    <w:uiPriority w:val="99"/>
    <w:pPr>
      <w:topLinePunct/>
      <w:autoSpaceDE/>
      <w:autoSpaceDN/>
      <w:spacing w:after="120" w:line="360" w:lineRule="auto"/>
      <w:ind w:left="1680" w:leftChars="800" w:firstLine="200" w:firstLineChars="200"/>
    </w:pPr>
    <w:rPr>
      <w:rFonts w:ascii="仿宋_GB2312" w:hAnsi="Times New Roman" w:eastAsia="仿宋_GB2312" w:cs="Times New Roman"/>
      <w:kern w:val="2"/>
      <w:sz w:val="28"/>
      <w:szCs w:val="20"/>
      <w:lang w:val="en-US" w:bidi="ar-SA"/>
    </w:rPr>
  </w:style>
  <w:style w:type="paragraph" w:styleId="56">
    <w:name w:val="toc 4"/>
    <w:basedOn w:val="1"/>
    <w:next w:val="1"/>
    <w:unhideWhenUsed/>
    <w:qFormat/>
    <w:uiPriority w:val="39"/>
    <w:pPr>
      <w:autoSpaceDE/>
      <w:autoSpaceDN/>
      <w:ind w:left="1260" w:leftChars="600"/>
      <w:jc w:val="both"/>
    </w:pPr>
    <w:rPr>
      <w:rFonts w:asciiTheme="minorHAnsi" w:hAnsiTheme="minorHAnsi" w:eastAsiaTheme="minorEastAsia" w:cstheme="minorBidi"/>
      <w:kern w:val="2"/>
      <w:sz w:val="21"/>
      <w:lang w:val="en-US" w:bidi="ar-SA"/>
    </w:rPr>
  </w:style>
  <w:style w:type="paragraph" w:styleId="57">
    <w:name w:val="Subtitle"/>
    <w:basedOn w:val="1"/>
    <w:next w:val="1"/>
    <w:link w:val="186"/>
    <w:qFormat/>
    <w:uiPriority w:val="0"/>
    <w:pPr>
      <w:widowControl/>
      <w:autoSpaceDE/>
      <w:autoSpaceDN/>
      <w:spacing w:before="240" w:after="60" w:line="312" w:lineRule="auto"/>
      <w:jc w:val="center"/>
      <w:outlineLvl w:val="1"/>
    </w:pPr>
    <w:rPr>
      <w:rFonts w:ascii="Calibri Light" w:hAnsi="Calibri Light"/>
      <w:b/>
      <w:bCs/>
      <w:kern w:val="28"/>
      <w:sz w:val="32"/>
      <w:szCs w:val="32"/>
      <w:lang w:val="en-US" w:bidi="ar-SA"/>
    </w:rPr>
  </w:style>
  <w:style w:type="paragraph" w:styleId="58">
    <w:name w:val="List Number 5"/>
    <w:basedOn w:val="1"/>
    <w:qFormat/>
    <w:uiPriority w:val="99"/>
    <w:pPr>
      <w:tabs>
        <w:tab w:val="left" w:pos="726"/>
        <w:tab w:val="left" w:pos="2040"/>
      </w:tabs>
      <w:topLinePunct/>
      <w:autoSpaceDE/>
      <w:autoSpaceDN/>
      <w:spacing w:line="360" w:lineRule="auto"/>
      <w:ind w:left="2" w:firstLine="4"/>
    </w:pPr>
    <w:rPr>
      <w:rFonts w:ascii="仿宋_GB2312" w:hAnsi="Times New Roman" w:eastAsia="仿宋_GB2312" w:cs="Times New Roman"/>
      <w:kern w:val="2"/>
      <w:sz w:val="28"/>
      <w:szCs w:val="20"/>
      <w:lang w:val="en-US" w:bidi="ar-SA"/>
    </w:rPr>
  </w:style>
  <w:style w:type="paragraph" w:styleId="59">
    <w:name w:val="List"/>
    <w:basedOn w:val="1"/>
    <w:next w:val="1"/>
    <w:link w:val="208"/>
    <w:qFormat/>
    <w:uiPriority w:val="0"/>
    <w:pPr>
      <w:tabs>
        <w:tab w:val="left" w:pos="3480"/>
      </w:tabs>
      <w:spacing w:beforeLines="50"/>
      <w:jc w:val="center"/>
    </w:pPr>
    <w:rPr>
      <w:rFonts w:eastAsia="黑体"/>
    </w:rPr>
  </w:style>
  <w:style w:type="paragraph" w:styleId="60">
    <w:name w:val="footnote text"/>
    <w:basedOn w:val="61"/>
    <w:link w:val="187"/>
    <w:qFormat/>
    <w:uiPriority w:val="0"/>
  </w:style>
  <w:style w:type="paragraph" w:customStyle="1" w:styleId="61">
    <w:name w:val="基准页脚样式"/>
    <w:basedOn w:val="31"/>
    <w:qFormat/>
    <w:uiPriority w:val="99"/>
    <w:pPr>
      <w:keepLines/>
      <w:widowControl/>
      <w:autoSpaceDE/>
      <w:autoSpaceDN/>
      <w:spacing w:after="220" w:line="200" w:lineRule="atLeast"/>
      <w:jc w:val="center"/>
    </w:pPr>
    <w:rPr>
      <w:rFonts w:ascii="Times New Roman" w:hAnsi="Times New Roman" w:cs="Times New Roman"/>
      <w:sz w:val="16"/>
      <w:szCs w:val="20"/>
      <w:lang w:val="en-US" w:bidi="ar-SA"/>
    </w:rPr>
  </w:style>
  <w:style w:type="paragraph" w:styleId="62">
    <w:name w:val="toc 6"/>
    <w:basedOn w:val="1"/>
    <w:next w:val="1"/>
    <w:unhideWhenUsed/>
    <w:qFormat/>
    <w:uiPriority w:val="39"/>
    <w:pPr>
      <w:autoSpaceDE/>
      <w:autoSpaceDN/>
      <w:ind w:left="2100" w:leftChars="1000"/>
      <w:jc w:val="both"/>
    </w:pPr>
    <w:rPr>
      <w:rFonts w:asciiTheme="minorHAnsi" w:hAnsiTheme="minorHAnsi" w:eastAsiaTheme="minorEastAsia" w:cstheme="minorBidi"/>
      <w:kern w:val="2"/>
      <w:sz w:val="21"/>
      <w:lang w:val="en-US" w:bidi="ar-SA"/>
    </w:rPr>
  </w:style>
  <w:style w:type="paragraph" w:styleId="63">
    <w:name w:val="List 5"/>
    <w:basedOn w:val="1"/>
    <w:qFormat/>
    <w:uiPriority w:val="99"/>
    <w:pPr>
      <w:topLinePunct/>
      <w:autoSpaceDE/>
      <w:autoSpaceDN/>
      <w:spacing w:line="360" w:lineRule="auto"/>
      <w:ind w:left="100" w:leftChars="800" w:hanging="200" w:hangingChars="200"/>
    </w:pPr>
    <w:rPr>
      <w:rFonts w:ascii="仿宋_GB2312" w:hAnsi="Times New Roman" w:eastAsia="仿宋_GB2312" w:cs="Times New Roman"/>
      <w:kern w:val="2"/>
      <w:sz w:val="28"/>
      <w:szCs w:val="20"/>
      <w:lang w:val="en-US" w:bidi="ar-SA"/>
    </w:rPr>
  </w:style>
  <w:style w:type="paragraph" w:styleId="64">
    <w:name w:val="Body Text Indent 3"/>
    <w:basedOn w:val="1"/>
    <w:link w:val="188"/>
    <w:qFormat/>
    <w:uiPriority w:val="0"/>
    <w:pPr>
      <w:autoSpaceDE/>
      <w:autoSpaceDN/>
      <w:spacing w:after="120"/>
      <w:ind w:left="420" w:leftChars="200"/>
      <w:jc w:val="both"/>
    </w:pPr>
    <w:rPr>
      <w:rFonts w:ascii="Times New Roman" w:hAnsi="Times New Roman" w:cs="Times New Roman"/>
      <w:sz w:val="16"/>
      <w:szCs w:val="16"/>
      <w:lang w:val="en-US" w:bidi="ar-SA"/>
    </w:rPr>
  </w:style>
  <w:style w:type="paragraph" w:styleId="65">
    <w:name w:val="table of figures"/>
    <w:next w:val="1"/>
    <w:qFormat/>
    <w:uiPriority w:val="99"/>
    <w:pPr>
      <w:adjustRightInd w:val="0"/>
      <w:snapToGrid w:val="0"/>
      <w:spacing w:before="120" w:line="240" w:lineRule="atLeast"/>
      <w:jc w:val="center"/>
    </w:pPr>
    <w:rPr>
      <w:rFonts w:ascii="Times New Roman" w:hAnsi="Times New Roman" w:eastAsia="宋体" w:cs="Times New Roman"/>
      <w:b/>
      <w:sz w:val="24"/>
      <w:lang w:val="en-US" w:eastAsia="zh-CN" w:bidi="ar-SA"/>
    </w:rPr>
  </w:style>
  <w:style w:type="paragraph" w:styleId="66">
    <w:name w:val="toc 2"/>
    <w:basedOn w:val="1"/>
    <w:next w:val="1"/>
    <w:qFormat/>
    <w:uiPriority w:val="39"/>
    <w:pPr>
      <w:spacing w:before="192"/>
      <w:ind w:left="663" w:hanging="361"/>
    </w:pPr>
    <w:rPr>
      <w:b/>
      <w:bCs/>
      <w:sz w:val="24"/>
      <w:szCs w:val="24"/>
    </w:rPr>
  </w:style>
  <w:style w:type="paragraph" w:styleId="67">
    <w:name w:val="toc 9"/>
    <w:basedOn w:val="1"/>
    <w:next w:val="1"/>
    <w:unhideWhenUsed/>
    <w:qFormat/>
    <w:uiPriority w:val="39"/>
    <w:pPr>
      <w:autoSpaceDE/>
      <w:autoSpaceDN/>
      <w:ind w:left="3360" w:leftChars="1600"/>
      <w:jc w:val="both"/>
    </w:pPr>
    <w:rPr>
      <w:rFonts w:asciiTheme="minorHAnsi" w:hAnsiTheme="minorHAnsi" w:eastAsiaTheme="minorEastAsia" w:cstheme="minorBidi"/>
      <w:kern w:val="2"/>
      <w:sz w:val="21"/>
      <w:lang w:val="en-US" w:bidi="ar-SA"/>
    </w:rPr>
  </w:style>
  <w:style w:type="paragraph" w:styleId="68">
    <w:name w:val="Body Text 2"/>
    <w:basedOn w:val="1"/>
    <w:link w:val="189"/>
    <w:qFormat/>
    <w:uiPriority w:val="0"/>
    <w:pPr>
      <w:autoSpaceDE/>
      <w:autoSpaceDN/>
      <w:spacing w:line="400" w:lineRule="exact"/>
      <w:jc w:val="center"/>
    </w:pPr>
    <w:rPr>
      <w:rFonts w:ascii="Times New Roman" w:hAnsi="Times New Roman" w:cs="Times New Roman"/>
      <w:sz w:val="24"/>
      <w:szCs w:val="24"/>
      <w:lang w:val="en-US" w:bidi="ar-SA"/>
    </w:rPr>
  </w:style>
  <w:style w:type="paragraph" w:styleId="69">
    <w:name w:val="List 4"/>
    <w:basedOn w:val="1"/>
    <w:qFormat/>
    <w:uiPriority w:val="99"/>
    <w:pPr>
      <w:topLinePunct/>
      <w:autoSpaceDE/>
      <w:autoSpaceDN/>
      <w:spacing w:line="360" w:lineRule="auto"/>
      <w:ind w:left="100" w:leftChars="600" w:hanging="200" w:hangingChars="200"/>
    </w:pPr>
    <w:rPr>
      <w:rFonts w:ascii="仿宋_GB2312" w:hAnsi="Times New Roman" w:eastAsia="仿宋_GB2312" w:cs="Times New Roman"/>
      <w:kern w:val="2"/>
      <w:sz w:val="28"/>
      <w:szCs w:val="20"/>
      <w:lang w:val="en-US" w:bidi="ar-SA"/>
    </w:rPr>
  </w:style>
  <w:style w:type="paragraph" w:styleId="70">
    <w:name w:val="List Continue 2"/>
    <w:basedOn w:val="1"/>
    <w:qFormat/>
    <w:uiPriority w:val="99"/>
    <w:pPr>
      <w:topLinePunct/>
      <w:autoSpaceDE/>
      <w:autoSpaceDN/>
      <w:spacing w:after="120" w:line="360" w:lineRule="auto"/>
      <w:ind w:left="840" w:leftChars="400" w:firstLine="200" w:firstLineChars="200"/>
    </w:pPr>
    <w:rPr>
      <w:rFonts w:ascii="仿宋_GB2312" w:hAnsi="Times New Roman" w:eastAsia="仿宋_GB2312" w:cs="Times New Roman"/>
      <w:kern w:val="2"/>
      <w:sz w:val="28"/>
      <w:szCs w:val="20"/>
      <w:lang w:val="en-US" w:bidi="ar-SA"/>
    </w:rPr>
  </w:style>
  <w:style w:type="paragraph" w:styleId="71">
    <w:name w:val="Message Header"/>
    <w:basedOn w:val="1"/>
    <w:link w:val="190"/>
    <w:qFormat/>
    <w:uiPriority w:val="0"/>
    <w:pPr>
      <w:pBdr>
        <w:top w:val="single" w:color="auto" w:sz="6" w:space="1"/>
        <w:left w:val="single" w:color="auto" w:sz="6" w:space="1"/>
        <w:bottom w:val="single" w:color="auto" w:sz="6" w:space="1"/>
        <w:right w:val="single" w:color="auto" w:sz="6" w:space="1"/>
      </w:pBdr>
      <w:shd w:val="pct20" w:color="auto" w:fill="auto"/>
      <w:topLinePunct/>
      <w:autoSpaceDE/>
      <w:autoSpaceDN/>
      <w:spacing w:line="360" w:lineRule="auto"/>
      <w:ind w:left="1080" w:leftChars="500" w:hanging="1080" w:hangingChars="500"/>
    </w:pPr>
    <w:rPr>
      <w:rFonts w:ascii="Arial" w:hAnsi="Arial" w:eastAsia="仿宋_GB2312" w:cs="Times New Roman"/>
      <w:sz w:val="24"/>
      <w:szCs w:val="20"/>
      <w:lang w:val="en-US" w:bidi="ar-SA"/>
    </w:rPr>
  </w:style>
  <w:style w:type="paragraph" w:styleId="72">
    <w:name w:val="HTML Preformatted"/>
    <w:basedOn w:val="1"/>
    <w:link w:val="19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99" w:lineRule="atLeast"/>
    </w:pPr>
    <w:rPr>
      <w:rFonts w:ascii="Arial" w:hAnsi="Arial" w:cs="Times New Roman"/>
      <w:sz w:val="19"/>
      <w:szCs w:val="19"/>
      <w:lang w:val="en-US" w:bidi="ar-SA"/>
    </w:rPr>
  </w:style>
  <w:style w:type="paragraph" w:styleId="73">
    <w:name w:val="Normal (Web)"/>
    <w:basedOn w:val="1"/>
    <w:link w:val="209"/>
    <w:qFormat/>
    <w:uiPriority w:val="0"/>
    <w:pPr>
      <w:widowControl/>
      <w:spacing w:before="100" w:beforeAutospacing="1" w:after="100" w:afterAutospacing="1"/>
    </w:pPr>
    <w:rPr>
      <w:szCs w:val="24"/>
    </w:rPr>
  </w:style>
  <w:style w:type="paragraph" w:styleId="74">
    <w:name w:val="List Continue 3"/>
    <w:basedOn w:val="1"/>
    <w:qFormat/>
    <w:uiPriority w:val="99"/>
    <w:pPr>
      <w:topLinePunct/>
      <w:autoSpaceDE/>
      <w:autoSpaceDN/>
      <w:spacing w:after="120" w:line="360" w:lineRule="auto"/>
      <w:ind w:left="1260" w:leftChars="600" w:firstLine="200" w:firstLineChars="200"/>
    </w:pPr>
    <w:rPr>
      <w:rFonts w:ascii="仿宋_GB2312" w:hAnsi="Times New Roman" w:eastAsia="仿宋_GB2312" w:cs="Times New Roman"/>
      <w:kern w:val="2"/>
      <w:sz w:val="28"/>
      <w:szCs w:val="20"/>
      <w:lang w:val="en-US" w:bidi="ar-SA"/>
    </w:rPr>
  </w:style>
  <w:style w:type="paragraph" w:styleId="75">
    <w:name w:val="index 1"/>
    <w:basedOn w:val="1"/>
    <w:next w:val="1"/>
    <w:qFormat/>
    <w:uiPriority w:val="0"/>
    <w:pPr>
      <w:autoSpaceDE/>
      <w:autoSpaceDN/>
      <w:jc w:val="both"/>
    </w:pPr>
    <w:rPr>
      <w:rFonts w:ascii="Times New Roman" w:hAnsi="Times New Roman" w:cs="Times New Roman"/>
      <w:kern w:val="2"/>
      <w:sz w:val="21"/>
      <w:szCs w:val="24"/>
      <w:lang w:val="en-US" w:bidi="ar-SA"/>
    </w:rPr>
  </w:style>
  <w:style w:type="paragraph" w:styleId="76">
    <w:name w:val="Title"/>
    <w:basedOn w:val="1"/>
    <w:link w:val="210"/>
    <w:qFormat/>
    <w:uiPriority w:val="0"/>
    <w:pPr>
      <w:autoSpaceDE/>
      <w:autoSpaceDN/>
      <w:spacing w:before="240" w:after="60"/>
      <w:ind w:right="2687" w:firstLine="2760"/>
      <w:jc w:val="distribute"/>
      <w:outlineLvl w:val="0"/>
    </w:pPr>
    <w:rPr>
      <w:rFonts w:ascii="Arial" w:hAnsi="Arial" w:cs="Times New Roman"/>
      <w:b/>
      <w:sz w:val="32"/>
      <w:szCs w:val="20"/>
      <w:lang w:val="en-US" w:bidi="ar-SA"/>
    </w:rPr>
  </w:style>
  <w:style w:type="paragraph" w:styleId="77">
    <w:name w:val="annotation subject"/>
    <w:basedOn w:val="26"/>
    <w:next w:val="26"/>
    <w:link w:val="128"/>
    <w:qFormat/>
    <w:uiPriority w:val="0"/>
    <w:rPr>
      <w:b/>
      <w:bCs/>
    </w:rPr>
  </w:style>
  <w:style w:type="paragraph" w:styleId="78">
    <w:name w:val="Body Text First Indent"/>
    <w:basedOn w:val="1"/>
    <w:next w:val="62"/>
    <w:link w:val="193"/>
    <w:qFormat/>
    <w:uiPriority w:val="0"/>
    <w:pPr>
      <w:widowControl/>
      <w:autoSpaceDE/>
      <w:autoSpaceDN/>
      <w:spacing w:after="120"/>
      <w:ind w:firstLine="420" w:firstLineChars="100"/>
      <w:jc w:val="both"/>
    </w:pPr>
    <w:rPr>
      <w:sz w:val="20"/>
      <w:szCs w:val="20"/>
      <w:lang w:val="en-US" w:bidi="ar-SA"/>
    </w:rPr>
  </w:style>
  <w:style w:type="paragraph" w:styleId="79">
    <w:name w:val="Body Text First Indent 2"/>
    <w:basedOn w:val="32"/>
    <w:link w:val="147"/>
    <w:qFormat/>
    <w:uiPriority w:val="0"/>
    <w:pPr>
      <w:ind w:firstLine="420" w:firstLineChars="200"/>
    </w:pPr>
  </w:style>
  <w:style w:type="table" w:styleId="81">
    <w:name w:val="Table Grid"/>
    <w:basedOn w:val="8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2">
    <w:name w:val="Table Classic 1"/>
    <w:basedOn w:val="80"/>
    <w:unhideWhenUsed/>
    <w:qFormat/>
    <w:uiPriority w:val="0"/>
    <w:pPr>
      <w:widowControl w:val="0"/>
      <w:jc w:val="both"/>
    </w:pPr>
    <w:rPr>
      <w:rFonts w:eastAsia="Times New Roman"/>
    </w:rPr>
    <w:tblPr>
      <w:tblBorders>
        <w:top w:val="single" w:color="000000" w:sz="12" w:space="0"/>
        <w:bottom w:val="single" w:color="000000" w:sz="12" w:space="0"/>
        <w:insideH w:val="single" w:color="000000" w:sz="4" w:space="0"/>
        <w:insideV w:val="single" w:color="000000" w:sz="4" w:space="0"/>
      </w:tblBorders>
      <w:tblCellMar>
        <w:top w:w="0" w:type="dxa"/>
        <w:left w:w="108" w:type="dxa"/>
        <w:bottom w:w="0" w:type="dxa"/>
        <w:right w:w="108" w:type="dxa"/>
      </w:tblCellMar>
    </w:tbl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character" w:styleId="84">
    <w:name w:val="Strong"/>
    <w:basedOn w:val="83"/>
    <w:qFormat/>
    <w:uiPriority w:val="22"/>
    <w:rPr>
      <w:b/>
    </w:rPr>
  </w:style>
  <w:style w:type="character" w:styleId="85">
    <w:name w:val="endnote reference"/>
    <w:qFormat/>
    <w:uiPriority w:val="0"/>
    <w:rPr>
      <w:vertAlign w:val="superscript"/>
    </w:rPr>
  </w:style>
  <w:style w:type="character" w:styleId="86">
    <w:name w:val="page number"/>
    <w:basedOn w:val="83"/>
    <w:qFormat/>
    <w:uiPriority w:val="0"/>
  </w:style>
  <w:style w:type="character" w:styleId="87">
    <w:name w:val="FollowedHyperlink"/>
    <w:unhideWhenUsed/>
    <w:qFormat/>
    <w:uiPriority w:val="99"/>
    <w:rPr>
      <w:rFonts w:ascii="Times New Roman" w:hAnsi="Times New Roman" w:cs="Times New Roman"/>
      <w:color w:val="333333"/>
      <w:kern w:val="2"/>
      <w:sz w:val="21"/>
      <w:szCs w:val="21"/>
      <w:u w:val="none"/>
    </w:rPr>
  </w:style>
  <w:style w:type="character" w:styleId="88">
    <w:name w:val="Emphasis"/>
    <w:qFormat/>
    <w:uiPriority w:val="0"/>
    <w:rPr>
      <w:rFonts w:cs="Times New Roman"/>
      <w:i/>
      <w:iCs/>
    </w:rPr>
  </w:style>
  <w:style w:type="character" w:styleId="89">
    <w:name w:val="line number"/>
    <w:qFormat/>
    <w:uiPriority w:val="0"/>
    <w:rPr>
      <w:rFonts w:eastAsia="仿宋_GB2312"/>
      <w:spacing w:val="-2"/>
      <w:kern w:val="2"/>
      <w:sz w:val="28"/>
      <w:szCs w:val="28"/>
      <w:lang w:val="en-US" w:eastAsia="zh-CN" w:bidi="ar-SA"/>
    </w:rPr>
  </w:style>
  <w:style w:type="character" w:styleId="90">
    <w:name w:val="HTML Definition"/>
    <w:qFormat/>
    <w:uiPriority w:val="99"/>
    <w:rPr>
      <w:rFonts w:eastAsia="仿宋_GB2312"/>
      <w:i/>
      <w:iCs/>
      <w:spacing w:val="-2"/>
      <w:kern w:val="2"/>
      <w:sz w:val="28"/>
      <w:szCs w:val="28"/>
      <w:lang w:val="en-US" w:eastAsia="zh-CN" w:bidi="ar-SA"/>
    </w:rPr>
  </w:style>
  <w:style w:type="character" w:styleId="91">
    <w:name w:val="HTML Typewriter"/>
    <w:qFormat/>
    <w:uiPriority w:val="0"/>
    <w:rPr>
      <w:rFonts w:ascii="Courier New" w:hAnsi="Courier New" w:eastAsia="仿宋_GB2312" w:cs="Courier New"/>
      <w:spacing w:val="-2"/>
      <w:kern w:val="2"/>
      <w:sz w:val="20"/>
      <w:szCs w:val="20"/>
      <w:lang w:val="en-US" w:eastAsia="zh-CN" w:bidi="ar-SA"/>
    </w:rPr>
  </w:style>
  <w:style w:type="character" w:styleId="92">
    <w:name w:val="HTML Acronym"/>
    <w:qFormat/>
    <w:uiPriority w:val="0"/>
    <w:rPr>
      <w:rFonts w:eastAsia="仿宋_GB2312"/>
      <w:spacing w:val="-2"/>
      <w:kern w:val="2"/>
      <w:sz w:val="28"/>
      <w:szCs w:val="28"/>
      <w:lang w:val="en-US" w:eastAsia="zh-CN" w:bidi="ar-SA"/>
    </w:rPr>
  </w:style>
  <w:style w:type="character" w:styleId="93">
    <w:name w:val="HTML Variable"/>
    <w:qFormat/>
    <w:uiPriority w:val="99"/>
    <w:rPr>
      <w:i/>
      <w:iCs/>
    </w:rPr>
  </w:style>
  <w:style w:type="character" w:styleId="94">
    <w:name w:val="Hyperlink"/>
    <w:basedOn w:val="83"/>
    <w:qFormat/>
    <w:uiPriority w:val="99"/>
    <w:rPr>
      <w:color w:val="0000FF"/>
      <w:u w:val="single"/>
    </w:rPr>
  </w:style>
  <w:style w:type="character" w:styleId="95">
    <w:name w:val="HTML Code"/>
    <w:qFormat/>
    <w:uiPriority w:val="99"/>
    <w:rPr>
      <w:rFonts w:ascii="Courier New" w:hAnsi="Courier New" w:eastAsia="仿宋_GB2312" w:cs="Courier New"/>
      <w:spacing w:val="-2"/>
      <w:kern w:val="2"/>
      <w:sz w:val="20"/>
      <w:szCs w:val="20"/>
      <w:lang w:val="en-US" w:eastAsia="zh-CN" w:bidi="ar-SA"/>
    </w:rPr>
  </w:style>
  <w:style w:type="character" w:styleId="96">
    <w:name w:val="annotation reference"/>
    <w:qFormat/>
    <w:uiPriority w:val="99"/>
    <w:rPr>
      <w:sz w:val="21"/>
      <w:szCs w:val="21"/>
    </w:rPr>
  </w:style>
  <w:style w:type="character" w:styleId="97">
    <w:name w:val="HTML Cite"/>
    <w:qFormat/>
    <w:uiPriority w:val="99"/>
    <w:rPr>
      <w:rFonts w:eastAsia="仿宋_GB2312"/>
      <w:i/>
      <w:iCs/>
      <w:spacing w:val="-2"/>
      <w:kern w:val="2"/>
      <w:sz w:val="28"/>
      <w:szCs w:val="28"/>
      <w:lang w:val="en-US" w:eastAsia="zh-CN" w:bidi="ar-SA"/>
    </w:rPr>
  </w:style>
  <w:style w:type="character" w:styleId="98">
    <w:name w:val="footnote reference"/>
    <w:qFormat/>
    <w:uiPriority w:val="0"/>
    <w:rPr>
      <w:vertAlign w:val="superscript"/>
    </w:rPr>
  </w:style>
  <w:style w:type="character" w:styleId="99">
    <w:name w:val="HTML Keyboard"/>
    <w:qFormat/>
    <w:uiPriority w:val="99"/>
    <w:rPr>
      <w:rFonts w:ascii="Courier New" w:hAnsi="Courier New" w:eastAsia="仿宋_GB2312" w:cs="Courier New"/>
      <w:spacing w:val="-2"/>
      <w:kern w:val="2"/>
      <w:sz w:val="20"/>
      <w:szCs w:val="20"/>
      <w:lang w:val="en-US" w:eastAsia="zh-CN" w:bidi="ar-SA"/>
    </w:rPr>
  </w:style>
  <w:style w:type="character" w:styleId="100">
    <w:name w:val="HTML Sample"/>
    <w:qFormat/>
    <w:uiPriority w:val="99"/>
    <w:rPr>
      <w:rFonts w:ascii="Courier New" w:hAnsi="Courier New" w:eastAsia="仿宋_GB2312" w:cs="Courier New"/>
      <w:spacing w:val="-2"/>
      <w:kern w:val="2"/>
      <w:sz w:val="28"/>
      <w:szCs w:val="28"/>
      <w:lang w:val="en-US" w:eastAsia="zh-CN" w:bidi="ar-SA"/>
    </w:rPr>
  </w:style>
  <w:style w:type="paragraph" w:customStyle="1" w:styleId="101">
    <w:name w:val="Default"/>
    <w:basedOn w:val="102"/>
    <w:next w:val="1"/>
    <w:qFormat/>
    <w:uiPriority w:val="0"/>
    <w:pPr>
      <w:adjustRightInd w:val="0"/>
    </w:pPr>
    <w:rPr>
      <w:rFonts w:hAnsi="Times New Roman" w:eastAsia="宋体"/>
      <w:color w:val="000000"/>
      <w:lang w:val="en-US" w:bidi="ar-SA"/>
    </w:rPr>
  </w:style>
  <w:style w:type="paragraph" w:customStyle="1" w:styleId="102">
    <w:name w:val="表头"/>
    <w:basedOn w:val="103"/>
    <w:next w:val="1"/>
    <w:link w:val="194"/>
    <w:qFormat/>
    <w:uiPriority w:val="0"/>
    <w:rPr>
      <w:rFonts w:eastAsia="黑体"/>
    </w:rPr>
  </w:style>
  <w:style w:type="paragraph" w:customStyle="1" w:styleId="103">
    <w:name w:val="表名1"/>
    <w:basedOn w:val="1"/>
    <w:qFormat/>
    <w:uiPriority w:val="99"/>
    <w:pPr>
      <w:spacing w:beforeLines="50" w:afterLines="20"/>
      <w:jc w:val="center"/>
    </w:pPr>
    <w:rPr>
      <w:rFonts w:ascii="仿宋" w:hAnsi="仿宋" w:eastAsia="仿宋"/>
      <w:b/>
      <w:kern w:val="2"/>
    </w:rPr>
  </w:style>
  <w:style w:type="paragraph" w:customStyle="1" w:styleId="104">
    <w:name w:val="正文格式"/>
    <w:basedOn w:val="1"/>
    <w:next w:val="1"/>
    <w:link w:val="161"/>
    <w:qFormat/>
    <w:uiPriority w:val="0"/>
    <w:pPr>
      <w:ind w:firstLine="482"/>
    </w:pPr>
    <w:rPr>
      <w:szCs w:val="24"/>
    </w:rPr>
  </w:style>
  <w:style w:type="paragraph" w:customStyle="1" w:styleId="105">
    <w:name w:val="表格内"/>
    <w:basedOn w:val="59"/>
    <w:next w:val="1"/>
    <w:link w:val="148"/>
    <w:qFormat/>
    <w:uiPriority w:val="0"/>
    <w:pPr>
      <w:spacing w:line="360" w:lineRule="exact"/>
    </w:pPr>
    <w:rPr>
      <w:sz w:val="21"/>
      <w:szCs w:val="21"/>
    </w:rPr>
  </w:style>
  <w:style w:type="table" w:customStyle="1" w:styleId="106">
    <w:name w:val="Table Normal"/>
    <w:semiHidden/>
    <w:unhideWhenUsed/>
    <w:qFormat/>
    <w:uiPriority w:val="2"/>
    <w:tblPr>
      <w:tblCellMar>
        <w:top w:w="0" w:type="dxa"/>
        <w:left w:w="0" w:type="dxa"/>
        <w:bottom w:w="0" w:type="dxa"/>
        <w:right w:w="0" w:type="dxa"/>
      </w:tblCellMar>
    </w:tblPr>
  </w:style>
  <w:style w:type="paragraph" w:styleId="107">
    <w:name w:val="List Paragraph"/>
    <w:basedOn w:val="1"/>
    <w:qFormat/>
    <w:uiPriority w:val="1"/>
    <w:pPr>
      <w:ind w:left="1418" w:hanging="705"/>
    </w:pPr>
  </w:style>
  <w:style w:type="paragraph" w:customStyle="1" w:styleId="108">
    <w:name w:val="Table Paragraph"/>
    <w:basedOn w:val="1"/>
    <w:qFormat/>
    <w:uiPriority w:val="1"/>
    <w:pPr>
      <w:jc w:val="center"/>
    </w:pPr>
    <w:rPr>
      <w:rFonts w:ascii="Times New Roman" w:hAnsi="Times New Roman" w:eastAsia="Times New Roman" w:cs="Times New Roman"/>
    </w:rPr>
  </w:style>
  <w:style w:type="paragraph" w:customStyle="1" w:styleId="109">
    <w:name w:val="p0"/>
    <w:basedOn w:val="1"/>
    <w:qFormat/>
    <w:uiPriority w:val="0"/>
    <w:pPr>
      <w:widowControl/>
      <w:spacing w:before="100" w:beforeAutospacing="1" w:after="100" w:afterAutospacing="1"/>
    </w:pPr>
    <w:rPr>
      <w:sz w:val="24"/>
      <w:szCs w:val="24"/>
    </w:rPr>
  </w:style>
  <w:style w:type="paragraph" w:customStyle="1" w:styleId="110">
    <w:name w:val="R-正文文本"/>
    <w:basedOn w:val="1"/>
    <w:qFormat/>
    <w:uiPriority w:val="4"/>
    <w:pPr>
      <w:widowControl/>
      <w:spacing w:line="360" w:lineRule="auto"/>
      <w:ind w:firstLine="200"/>
    </w:pPr>
    <w:rPr>
      <w:rFonts w:ascii="Times New Roman" w:hAnsi="Times New Roman"/>
    </w:rPr>
  </w:style>
  <w:style w:type="paragraph" w:customStyle="1" w:styleId="111">
    <w:name w:val="环保表内字（五号）"/>
    <w:basedOn w:val="1"/>
    <w:link w:val="1606"/>
    <w:qFormat/>
    <w:uiPriority w:val="0"/>
    <w:pPr>
      <w:adjustRightInd w:val="0"/>
      <w:snapToGrid w:val="0"/>
      <w:spacing w:line="0" w:lineRule="atLeast"/>
    </w:pPr>
    <w:rPr>
      <w:sz w:val="21"/>
    </w:rPr>
  </w:style>
  <w:style w:type="paragraph" w:customStyle="1" w:styleId="112">
    <w:name w:val="OK 1.1"/>
    <w:basedOn w:val="1"/>
    <w:next w:val="73"/>
    <w:qFormat/>
    <w:uiPriority w:val="0"/>
    <w:pPr>
      <w:widowControl/>
      <w:outlineLvl w:val="1"/>
    </w:pPr>
    <w:rPr>
      <w:rFonts w:ascii="Calibri" w:hAnsi="Calibri"/>
      <w:b/>
      <w:szCs w:val="24"/>
    </w:rPr>
  </w:style>
  <w:style w:type="paragraph" w:customStyle="1" w:styleId="113">
    <w:name w:val="0报告书正文"/>
    <w:basedOn w:val="1"/>
    <w:qFormat/>
    <w:uiPriority w:val="0"/>
    <w:pPr>
      <w:ind w:firstLine="480" w:firstLineChars="200"/>
    </w:pPr>
  </w:style>
  <w:style w:type="paragraph" w:customStyle="1" w:styleId="114">
    <w:name w:val="表格样式"/>
    <w:basedOn w:val="1"/>
    <w:qFormat/>
    <w:uiPriority w:val="0"/>
    <w:pPr>
      <w:spacing w:line="360" w:lineRule="atLeast"/>
      <w:jc w:val="center"/>
    </w:pPr>
    <w:rPr>
      <w:kern w:val="2"/>
      <w:sz w:val="21"/>
    </w:rPr>
  </w:style>
  <w:style w:type="paragraph" w:customStyle="1" w:styleId="115">
    <w:name w:val="自定表格"/>
    <w:basedOn w:val="1"/>
    <w:qFormat/>
    <w:uiPriority w:val="0"/>
    <w:pPr>
      <w:spacing w:line="360" w:lineRule="exact"/>
      <w:jc w:val="center"/>
    </w:pPr>
    <w:rPr>
      <w:color w:val="000000"/>
      <w:kern w:val="2"/>
      <w:sz w:val="21"/>
      <w:szCs w:val="21"/>
    </w:rPr>
  </w:style>
  <w:style w:type="paragraph" w:customStyle="1" w:styleId="116">
    <w:name w:val="O.K.表格内容"/>
    <w:basedOn w:val="1"/>
    <w:link w:val="1730"/>
    <w:qFormat/>
    <w:uiPriority w:val="0"/>
    <w:rPr>
      <w:szCs w:val="24"/>
    </w:rPr>
  </w:style>
  <w:style w:type="paragraph" w:customStyle="1" w:styleId="117">
    <w:name w:val="表格"/>
    <w:basedOn w:val="118"/>
    <w:next w:val="1"/>
    <w:link w:val="173"/>
    <w:qFormat/>
    <w:uiPriority w:val="0"/>
    <w:pPr>
      <w:spacing w:line="240" w:lineRule="auto"/>
    </w:pPr>
    <w:rPr>
      <w:szCs w:val="24"/>
      <w:lang w:val="zh-CN"/>
    </w:rPr>
  </w:style>
  <w:style w:type="paragraph" w:customStyle="1" w:styleId="118">
    <w:name w:val="标准"/>
    <w:basedOn w:val="119"/>
    <w:qFormat/>
    <w:uiPriority w:val="0"/>
    <w:pPr>
      <w:adjustRightInd w:val="0"/>
      <w:spacing w:line="520" w:lineRule="atLeast"/>
      <w:jc w:val="center"/>
      <w:textAlignment w:val="baseline"/>
    </w:pPr>
    <w:rPr>
      <w:kern w:val="0"/>
      <w:szCs w:val="21"/>
    </w:rPr>
  </w:style>
  <w:style w:type="paragraph" w:customStyle="1" w:styleId="119">
    <w:name w:val="正文 New New"/>
    <w:link w:val="22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0">
    <w:name w:val="一级标题"/>
    <w:basedOn w:val="3"/>
    <w:qFormat/>
    <w:uiPriority w:val="0"/>
    <w:pPr>
      <w:adjustRightInd w:val="0"/>
      <w:snapToGrid w:val="0"/>
      <w:spacing w:before="360" w:after="240" w:line="460" w:lineRule="exact"/>
      <w:ind w:firstLine="0"/>
      <w:jc w:val="center"/>
    </w:pPr>
    <w:rPr>
      <w:rFonts w:cs="宋体"/>
      <w:snapToGrid w:val="0"/>
      <w:szCs w:val="20"/>
    </w:rPr>
  </w:style>
  <w:style w:type="paragraph" w:customStyle="1" w:styleId="121">
    <w:name w:val="正文内容"/>
    <w:basedOn w:val="1"/>
    <w:qFormat/>
    <w:uiPriority w:val="0"/>
    <w:pPr>
      <w:ind w:firstLine="200" w:firstLineChars="200"/>
    </w:pPr>
  </w:style>
  <w:style w:type="paragraph" w:customStyle="1" w:styleId="122">
    <w:name w:val="标题 2环保 + 段前: 0.5 行"/>
    <w:basedOn w:val="4"/>
    <w:next w:val="1"/>
    <w:qFormat/>
    <w:uiPriority w:val="0"/>
    <w:pPr>
      <w:numPr>
        <w:ilvl w:val="1"/>
        <w:numId w:val="2"/>
      </w:numPr>
    </w:pPr>
    <w:rPr>
      <w:rFonts w:ascii="Times New Roman" w:hAnsi="Times New Roman"/>
      <w:bCs/>
    </w:rPr>
  </w:style>
  <w:style w:type="paragraph" w:customStyle="1" w:styleId="12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24">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25">
    <w:name w:val="WPSOffice手动目录 1"/>
    <w:qFormat/>
    <w:uiPriority w:val="0"/>
    <w:rPr>
      <w:rFonts w:ascii="Times New Roman" w:hAnsi="Times New Roman" w:eastAsia="宋体" w:cs="Times New Roman"/>
      <w:lang w:val="en-US" w:eastAsia="zh-CN" w:bidi="ar-SA"/>
    </w:rPr>
  </w:style>
  <w:style w:type="character" w:customStyle="1" w:styleId="126">
    <w:name w:val="批注框文本 Char"/>
    <w:basedOn w:val="83"/>
    <w:link w:val="49"/>
    <w:qFormat/>
    <w:uiPriority w:val="99"/>
    <w:rPr>
      <w:rFonts w:ascii="宋体" w:hAnsi="宋体" w:eastAsia="宋体" w:cs="宋体"/>
      <w:sz w:val="18"/>
      <w:szCs w:val="18"/>
      <w:lang w:val="zh-CN" w:bidi="zh-CN"/>
    </w:rPr>
  </w:style>
  <w:style w:type="character" w:customStyle="1" w:styleId="127">
    <w:name w:val="批注文字 Char"/>
    <w:basedOn w:val="83"/>
    <w:link w:val="26"/>
    <w:qFormat/>
    <w:uiPriority w:val="0"/>
    <w:rPr>
      <w:rFonts w:ascii="宋体" w:hAnsi="宋体" w:eastAsia="宋体" w:cs="宋体"/>
      <w:sz w:val="22"/>
      <w:szCs w:val="22"/>
      <w:lang w:val="zh-CN" w:bidi="zh-CN"/>
    </w:rPr>
  </w:style>
  <w:style w:type="character" w:customStyle="1" w:styleId="128">
    <w:name w:val="批注主题 Char"/>
    <w:basedOn w:val="127"/>
    <w:link w:val="77"/>
    <w:qFormat/>
    <w:uiPriority w:val="0"/>
    <w:rPr>
      <w:rFonts w:ascii="宋体" w:hAnsi="宋体" w:eastAsia="宋体" w:cs="宋体"/>
      <w:b/>
      <w:bCs/>
      <w:sz w:val="22"/>
      <w:szCs w:val="22"/>
      <w:lang w:val="zh-CN" w:bidi="zh-CN"/>
    </w:rPr>
  </w:style>
  <w:style w:type="paragraph" w:customStyle="1" w:styleId="129">
    <w:name w:val="【正文】"/>
    <w:basedOn w:val="1"/>
    <w:next w:val="1"/>
    <w:link w:val="171"/>
    <w:qFormat/>
    <w:uiPriority w:val="0"/>
    <w:pPr>
      <w:spacing w:line="500" w:lineRule="exact"/>
      <w:ind w:firstLine="200" w:firstLineChars="200"/>
    </w:pPr>
    <w:rPr>
      <w:rFonts w:cs="Times New Roman"/>
    </w:rPr>
  </w:style>
  <w:style w:type="paragraph" w:customStyle="1" w:styleId="130">
    <w:name w:val="列出段落3"/>
    <w:basedOn w:val="1"/>
    <w:qFormat/>
    <w:uiPriority w:val="34"/>
    <w:pPr>
      <w:adjustRightInd w:val="0"/>
      <w:snapToGrid w:val="0"/>
      <w:spacing w:after="200"/>
      <w:ind w:firstLine="420" w:firstLineChars="200"/>
    </w:pPr>
    <w:rPr>
      <w:rFonts w:ascii="Tahoma" w:hAnsi="Tahoma" w:eastAsia="微软雅黑" w:cs="Times New Roman"/>
    </w:rPr>
  </w:style>
  <w:style w:type="paragraph" w:customStyle="1" w:styleId="131">
    <w:name w:val="正文内容（环科院）"/>
    <w:basedOn w:val="1"/>
    <w:qFormat/>
    <w:uiPriority w:val="0"/>
    <w:pPr>
      <w:ind w:firstLine="200"/>
    </w:pPr>
    <w:rPr>
      <w:kern w:val="2"/>
      <w:szCs w:val="20"/>
    </w:rPr>
  </w:style>
  <w:style w:type="character" w:customStyle="1" w:styleId="132">
    <w:name w:val="表格标题 Char Char"/>
    <w:link w:val="133"/>
    <w:qFormat/>
    <w:uiPriority w:val="0"/>
    <w:rPr>
      <w:snapToGrid w:val="0"/>
      <w:spacing w:val="0"/>
      <w:szCs w:val="24"/>
    </w:rPr>
  </w:style>
  <w:style w:type="paragraph" w:customStyle="1" w:styleId="133">
    <w:name w:val="表格标题"/>
    <w:basedOn w:val="129"/>
    <w:next w:val="129"/>
    <w:link w:val="132"/>
    <w:qFormat/>
    <w:uiPriority w:val="0"/>
    <w:pPr>
      <w:adjustRightInd w:val="0"/>
      <w:snapToGrid w:val="0"/>
      <w:spacing w:line="240" w:lineRule="auto"/>
      <w:ind w:firstLine="0" w:firstLineChars="0"/>
      <w:jc w:val="center"/>
    </w:pPr>
    <w:rPr>
      <w:snapToGrid w:val="0"/>
      <w:szCs w:val="24"/>
    </w:rPr>
  </w:style>
  <w:style w:type="paragraph" w:customStyle="1" w:styleId="134">
    <w:name w:val="专题正文"/>
    <w:basedOn w:val="1"/>
    <w:qFormat/>
    <w:uiPriority w:val="0"/>
    <w:pPr>
      <w:adjustRightInd w:val="0"/>
      <w:ind w:firstLine="200"/>
    </w:pPr>
  </w:style>
  <w:style w:type="paragraph" w:customStyle="1" w:styleId="135">
    <w:name w:val="样式 标题 1 + 首行缩进:  2 字符"/>
    <w:basedOn w:val="31"/>
    <w:next w:val="1"/>
    <w:qFormat/>
    <w:uiPriority w:val="0"/>
    <w:pPr>
      <w:ind w:firstLine="200"/>
    </w:pPr>
    <w:rPr>
      <w:szCs w:val="20"/>
    </w:rPr>
  </w:style>
  <w:style w:type="paragraph" w:customStyle="1" w:styleId="136">
    <w:name w:val="修订1"/>
    <w:hidden/>
    <w:qFormat/>
    <w:uiPriority w:val="0"/>
    <w:rPr>
      <w:rFonts w:ascii="宋体" w:hAnsi="宋体" w:eastAsia="宋体" w:cs="宋体"/>
      <w:sz w:val="22"/>
      <w:szCs w:val="22"/>
      <w:lang w:val="zh-CN" w:eastAsia="zh-CN" w:bidi="zh-CN"/>
    </w:rPr>
  </w:style>
  <w:style w:type="paragraph" w:customStyle="1" w:styleId="137">
    <w:name w:val="S表格标题"/>
    <w:basedOn w:val="1"/>
    <w:next w:val="1"/>
    <w:qFormat/>
    <w:uiPriority w:val="0"/>
    <w:pPr>
      <w:adjustRightInd w:val="0"/>
      <w:snapToGrid w:val="0"/>
      <w:jc w:val="center"/>
    </w:pPr>
    <w:rPr>
      <w:b/>
      <w:snapToGrid w:val="0"/>
    </w:rPr>
  </w:style>
  <w:style w:type="paragraph" w:customStyle="1" w:styleId="138">
    <w:name w:val="A表格"/>
    <w:qFormat/>
    <w:uiPriority w:val="0"/>
    <w:pPr>
      <w:adjustRightInd w:val="0"/>
      <w:jc w:val="center"/>
      <w:textAlignment w:val="baseline"/>
    </w:pPr>
    <w:rPr>
      <w:rFonts w:ascii="Times New Roman" w:hAnsi="Times New Roman" w:eastAsia="宋体" w:cs="宋体"/>
      <w:kern w:val="28"/>
      <w:sz w:val="21"/>
      <w:szCs w:val="21"/>
      <w:lang w:val="en-US" w:eastAsia="zh-CN" w:bidi="ar-SA"/>
    </w:rPr>
  </w:style>
  <w:style w:type="character" w:customStyle="1" w:styleId="139">
    <w:name w:val="highlight"/>
    <w:basedOn w:val="83"/>
    <w:qFormat/>
    <w:uiPriority w:val="0"/>
  </w:style>
  <w:style w:type="paragraph" w:customStyle="1" w:styleId="140">
    <w:name w:val="AP-正文无级"/>
    <w:basedOn w:val="1"/>
    <w:qFormat/>
    <w:uiPriority w:val="0"/>
    <w:rPr>
      <w:szCs w:val="20"/>
    </w:rPr>
  </w:style>
  <w:style w:type="paragraph" w:customStyle="1" w:styleId="141">
    <w:name w:val="L表格文字"/>
    <w:basedOn w:val="31"/>
    <w:qFormat/>
    <w:uiPriority w:val="0"/>
    <w:pPr>
      <w:snapToGrid w:val="0"/>
      <w:spacing w:line="0" w:lineRule="atLeast"/>
      <w:jc w:val="center"/>
    </w:pPr>
    <w:rPr>
      <w:sz w:val="21"/>
    </w:rPr>
  </w:style>
  <w:style w:type="paragraph" w:customStyle="1" w:styleId="142">
    <w:name w:val="修订2"/>
    <w:hidden/>
    <w:qFormat/>
    <w:uiPriority w:val="99"/>
    <w:rPr>
      <w:rFonts w:ascii="宋体" w:hAnsi="宋体" w:eastAsia="宋体" w:cs="宋体"/>
      <w:sz w:val="22"/>
      <w:szCs w:val="22"/>
      <w:lang w:val="zh-CN" w:eastAsia="zh-CN" w:bidi="zh-CN"/>
    </w:rPr>
  </w:style>
  <w:style w:type="paragraph" w:customStyle="1" w:styleId="143">
    <w:name w:val="正文-报告表"/>
    <w:qFormat/>
    <w:uiPriority w:val="0"/>
    <w:pPr>
      <w:widowControl w:val="0"/>
      <w:adjustRightInd w:val="0"/>
      <w:snapToGrid w:val="0"/>
      <w:spacing w:line="360" w:lineRule="auto"/>
      <w:ind w:firstLine="482"/>
    </w:pPr>
    <w:rPr>
      <w:rFonts w:ascii="Calibri" w:hAnsi="Calibri" w:eastAsia="宋体" w:cs="Times New Roman"/>
      <w:kern w:val="2"/>
      <w:sz w:val="24"/>
      <w:lang w:val="en-US" w:eastAsia="zh-CN" w:bidi="ar-SA"/>
    </w:rPr>
  </w:style>
  <w:style w:type="character" w:customStyle="1" w:styleId="144">
    <w:name w:val="标题 4 Char"/>
    <w:basedOn w:val="83"/>
    <w:link w:val="6"/>
    <w:qFormat/>
    <w:uiPriority w:val="9"/>
    <w:rPr>
      <w:rFonts w:ascii="Cambria" w:hAnsi="Cambria"/>
      <w:b/>
      <w:bCs/>
      <w:kern w:val="2"/>
      <w:sz w:val="28"/>
      <w:szCs w:val="28"/>
    </w:rPr>
  </w:style>
  <w:style w:type="character" w:customStyle="1" w:styleId="145">
    <w:name w:val="纯文本 Char"/>
    <w:basedOn w:val="83"/>
    <w:link w:val="41"/>
    <w:qFormat/>
    <w:uiPriority w:val="0"/>
    <w:rPr>
      <w:rFonts w:ascii="宋体" w:hAnsi="Courier New" w:cs="Courier New"/>
      <w:sz w:val="21"/>
      <w:szCs w:val="21"/>
      <w:lang w:val="zh-CN" w:bidi="zh-CN"/>
    </w:rPr>
  </w:style>
  <w:style w:type="character" w:customStyle="1" w:styleId="146">
    <w:name w:val="正文文本缩进 Char"/>
    <w:basedOn w:val="83"/>
    <w:link w:val="32"/>
    <w:qFormat/>
    <w:uiPriority w:val="0"/>
    <w:rPr>
      <w:rFonts w:ascii="宋体" w:hAnsi="宋体" w:cs="宋体"/>
      <w:sz w:val="22"/>
      <w:szCs w:val="22"/>
      <w:lang w:val="zh-CN" w:bidi="zh-CN"/>
    </w:rPr>
  </w:style>
  <w:style w:type="character" w:customStyle="1" w:styleId="147">
    <w:name w:val="正文首行缩进 2 Char"/>
    <w:basedOn w:val="146"/>
    <w:link w:val="79"/>
    <w:qFormat/>
    <w:uiPriority w:val="0"/>
    <w:rPr>
      <w:rFonts w:ascii="宋体" w:hAnsi="宋体" w:cs="宋体"/>
      <w:sz w:val="22"/>
      <w:szCs w:val="22"/>
      <w:lang w:val="zh-CN" w:bidi="zh-CN"/>
    </w:rPr>
  </w:style>
  <w:style w:type="character" w:customStyle="1" w:styleId="148">
    <w:name w:val="表格内 Char"/>
    <w:link w:val="105"/>
    <w:qFormat/>
    <w:uiPriority w:val="0"/>
    <w:rPr>
      <w:rFonts w:ascii="宋体" w:hAnsi="宋体" w:eastAsia="黑体" w:cs="宋体"/>
      <w:sz w:val="21"/>
      <w:szCs w:val="21"/>
      <w:lang w:val="zh-CN" w:bidi="zh-CN"/>
    </w:rPr>
  </w:style>
  <w:style w:type="paragraph" w:customStyle="1" w:styleId="149">
    <w:name w:val="样式47"/>
    <w:basedOn w:val="1"/>
    <w:qFormat/>
    <w:uiPriority w:val="0"/>
    <w:pPr>
      <w:autoSpaceDE/>
      <w:autoSpaceDN/>
      <w:adjustRightInd w:val="0"/>
      <w:snapToGrid w:val="0"/>
      <w:spacing w:line="480" w:lineRule="exact"/>
      <w:ind w:firstLine="560" w:firstLineChars="200"/>
      <w:jc w:val="both"/>
    </w:pPr>
    <w:rPr>
      <w:rFonts w:ascii="Times New Roman" w:hAnsi="Times New Roman" w:cs="Times New Roman"/>
      <w:snapToGrid w:val="0"/>
      <w:sz w:val="28"/>
      <w:szCs w:val="24"/>
      <w:lang w:val="en-US" w:bidi="ar-SA"/>
    </w:rPr>
  </w:style>
  <w:style w:type="character" w:customStyle="1" w:styleId="150">
    <w:name w:val="font31"/>
    <w:qFormat/>
    <w:uiPriority w:val="0"/>
    <w:rPr>
      <w:rFonts w:hint="default" w:ascii="Times New Roman" w:hAnsi="Times New Roman" w:cs="Times New Roman"/>
      <w:color w:val="000000"/>
      <w:sz w:val="21"/>
      <w:szCs w:val="21"/>
      <w:u w:val="none"/>
    </w:rPr>
  </w:style>
  <w:style w:type="character" w:customStyle="1" w:styleId="151">
    <w:name w:val="称呼 Char"/>
    <w:basedOn w:val="83"/>
    <w:link w:val="27"/>
    <w:qFormat/>
    <w:uiPriority w:val="0"/>
    <w:rPr>
      <w:rFonts w:ascii="宋体" w:hAnsi="宋体" w:cs="宋体"/>
      <w:sz w:val="22"/>
      <w:szCs w:val="22"/>
      <w:lang w:val="zh-CN" w:bidi="zh-CN"/>
    </w:rPr>
  </w:style>
  <w:style w:type="paragraph" w:customStyle="1" w:styleId="152">
    <w:name w:val="Char Char Char Char Char Char Char"/>
    <w:basedOn w:val="1"/>
    <w:qFormat/>
    <w:uiPriority w:val="0"/>
    <w:pPr>
      <w:spacing w:line="360" w:lineRule="auto"/>
      <w:ind w:firstLine="200" w:firstLineChars="200"/>
    </w:pPr>
  </w:style>
  <w:style w:type="character" w:customStyle="1" w:styleId="153">
    <w:name w:val="正文文本 Char"/>
    <w:link w:val="31"/>
    <w:qFormat/>
    <w:uiPriority w:val="99"/>
    <w:rPr>
      <w:rFonts w:ascii="宋体" w:hAnsi="宋体" w:cs="宋体"/>
      <w:sz w:val="28"/>
      <w:szCs w:val="28"/>
      <w:lang w:val="zh-CN" w:bidi="zh-CN"/>
    </w:rPr>
  </w:style>
  <w:style w:type="character" w:customStyle="1" w:styleId="154">
    <w:name w:val="fontstyle01"/>
    <w:basedOn w:val="83"/>
    <w:qFormat/>
    <w:uiPriority w:val="0"/>
    <w:rPr>
      <w:rFonts w:hint="eastAsia" w:ascii="宋体" w:hAnsi="宋体" w:eastAsia="宋体"/>
      <w:color w:val="000000"/>
      <w:sz w:val="22"/>
      <w:szCs w:val="22"/>
    </w:rPr>
  </w:style>
  <w:style w:type="character" w:customStyle="1" w:styleId="155">
    <w:name w:val="fontstyle21"/>
    <w:basedOn w:val="83"/>
    <w:qFormat/>
    <w:uiPriority w:val="0"/>
    <w:rPr>
      <w:rFonts w:hint="default" w:ascii="TimesNewRomanPSMT" w:hAnsi="TimesNewRomanPSMT"/>
      <w:color w:val="000000"/>
      <w:sz w:val="22"/>
      <w:szCs w:val="22"/>
    </w:rPr>
  </w:style>
  <w:style w:type="character" w:customStyle="1" w:styleId="156">
    <w:name w:val="样式 标题 2 Char + Times New Roman Char Char"/>
    <w:qFormat/>
    <w:uiPriority w:val="0"/>
    <w:rPr>
      <w:rFonts w:eastAsia="黑体"/>
      <w:kern w:val="2"/>
      <w:sz w:val="28"/>
    </w:rPr>
  </w:style>
  <w:style w:type="paragraph" w:customStyle="1" w:styleId="157">
    <w:name w:val="Char Char25"/>
    <w:basedOn w:val="1"/>
    <w:qFormat/>
    <w:uiPriority w:val="0"/>
    <w:pPr>
      <w:autoSpaceDE/>
      <w:autoSpaceDN/>
      <w:jc w:val="both"/>
    </w:pPr>
    <w:rPr>
      <w:rFonts w:ascii="Times New Roman" w:hAnsi="Times New Roman" w:cs="Times New Roman"/>
      <w:kern w:val="2"/>
      <w:sz w:val="21"/>
      <w:szCs w:val="24"/>
      <w:lang w:val="en-US" w:bidi="ar-SA"/>
    </w:rPr>
  </w:style>
  <w:style w:type="character" w:customStyle="1" w:styleId="158">
    <w:name w:val="日期 Char"/>
    <w:basedOn w:val="83"/>
    <w:link w:val="45"/>
    <w:qFormat/>
    <w:uiPriority w:val="0"/>
    <w:rPr>
      <w:rFonts w:ascii="宋体" w:hAnsi="宋体" w:cs="宋体"/>
      <w:sz w:val="22"/>
      <w:szCs w:val="22"/>
      <w:lang w:val="zh-CN" w:bidi="zh-CN"/>
    </w:rPr>
  </w:style>
  <w:style w:type="character" w:customStyle="1" w:styleId="159">
    <w:name w:val="结束语 Char"/>
    <w:basedOn w:val="83"/>
    <w:link w:val="29"/>
    <w:qFormat/>
    <w:uiPriority w:val="0"/>
    <w:rPr>
      <w:rFonts w:ascii="宋体" w:hAnsi="宋体" w:cs="宋体"/>
      <w:sz w:val="22"/>
      <w:szCs w:val="22"/>
      <w:lang w:val="zh-CN" w:bidi="zh-CN"/>
    </w:rPr>
  </w:style>
  <w:style w:type="table" w:customStyle="1" w:styleId="160">
    <w:name w:val="网格型1"/>
    <w:basedOn w:val="80"/>
    <w:qFormat/>
    <w:uiPriority w:val="0"/>
    <w:pPr>
      <w:widowControl w:val="0"/>
      <w:jc w:val="both"/>
    </w:pPr>
    <w:rPr>
      <w:rFonts w:ascii="Calibri" w:hAnsi="Calibri"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61">
    <w:name w:val="正文格式 Char"/>
    <w:link w:val="104"/>
    <w:qFormat/>
    <w:uiPriority w:val="0"/>
    <w:rPr>
      <w:szCs w:val="24"/>
    </w:rPr>
  </w:style>
  <w:style w:type="paragraph" w:customStyle="1" w:styleId="162">
    <w:name w:val="Normal (Web)1"/>
    <w:basedOn w:val="1"/>
    <w:next w:val="163"/>
    <w:qFormat/>
    <w:uiPriority w:val="0"/>
    <w:pPr>
      <w:widowControl/>
    </w:pPr>
    <w:rPr>
      <w:rFonts w:cs="Times New Roman"/>
      <w:sz w:val="24"/>
      <w:szCs w:val="21"/>
    </w:rPr>
  </w:style>
  <w:style w:type="paragraph" w:customStyle="1" w:styleId="163">
    <w:name w:val="Date1"/>
    <w:basedOn w:val="1"/>
    <w:next w:val="1"/>
    <w:qFormat/>
    <w:uiPriority w:val="0"/>
    <w:pPr>
      <w:ind w:left="2500" w:leftChars="2500"/>
    </w:pPr>
  </w:style>
  <w:style w:type="paragraph" w:customStyle="1" w:styleId="164">
    <w:name w:val="表内容"/>
    <w:basedOn w:val="1"/>
    <w:link w:val="172"/>
    <w:qFormat/>
    <w:uiPriority w:val="0"/>
    <w:pPr>
      <w:jc w:val="center"/>
    </w:pPr>
    <w:rPr>
      <w:sz w:val="21"/>
      <w:szCs w:val="24"/>
    </w:rPr>
  </w:style>
  <w:style w:type="paragraph" w:customStyle="1" w:styleId="165">
    <w:name w:val="【表头】"/>
    <w:basedOn w:val="1"/>
    <w:link w:val="213"/>
    <w:qFormat/>
    <w:uiPriority w:val="0"/>
    <w:pPr>
      <w:spacing w:line="500" w:lineRule="exact"/>
      <w:jc w:val="center"/>
    </w:pPr>
    <w:rPr>
      <w:rFonts w:ascii="Calibri" w:hAnsi="Calibri" w:eastAsia="黑体" w:cs="Times New Roman"/>
      <w:sz w:val="20"/>
      <w:szCs w:val="20"/>
    </w:rPr>
  </w:style>
  <w:style w:type="paragraph" w:customStyle="1" w:styleId="166">
    <w:name w:val="报告书正文"/>
    <w:basedOn w:val="1"/>
    <w:qFormat/>
    <w:uiPriority w:val="0"/>
    <w:pPr>
      <w:adjustRightInd w:val="0"/>
      <w:snapToGrid w:val="0"/>
      <w:spacing w:line="360" w:lineRule="auto"/>
      <w:ind w:firstLine="425"/>
      <w:textAlignment w:val="baseline"/>
    </w:pPr>
    <w:rPr>
      <w:rFonts w:ascii="Arial" w:hAnsi="Arial"/>
      <w:sz w:val="24"/>
      <w:szCs w:val="24"/>
    </w:rPr>
  </w:style>
  <w:style w:type="paragraph" w:customStyle="1" w:styleId="167">
    <w:name w:val="样式 正文11 + 首行缩进:  2 字符"/>
    <w:basedOn w:val="168"/>
    <w:qFormat/>
    <w:uiPriority w:val="0"/>
    <w:pPr>
      <w:spacing w:line="500" w:lineRule="exact"/>
      <w:ind w:firstLine="560" w:firstLineChars="200"/>
    </w:pPr>
    <w:rPr>
      <w:color w:val="FF0000"/>
      <w:sz w:val="28"/>
      <w:szCs w:val="20"/>
    </w:rPr>
  </w:style>
  <w:style w:type="paragraph" w:customStyle="1" w:styleId="168">
    <w:name w:val="O.K.1"/>
    <w:basedOn w:val="4"/>
    <w:qFormat/>
    <w:uiPriority w:val="0"/>
    <w:pPr>
      <w:ind w:firstLine="482"/>
    </w:pPr>
  </w:style>
  <w:style w:type="paragraph" w:customStyle="1" w:styleId="169">
    <w:name w:val="【表中文字】"/>
    <w:basedOn w:val="1"/>
    <w:link w:val="214"/>
    <w:qFormat/>
    <w:uiPriority w:val="0"/>
    <w:pPr>
      <w:jc w:val="center"/>
    </w:pPr>
    <w:rPr>
      <w:rFonts w:ascii="Calibri" w:hAnsi="Calibri" w:cs="Times New Roman"/>
      <w:kern w:val="2"/>
      <w:sz w:val="21"/>
    </w:rPr>
  </w:style>
  <w:style w:type="character" w:customStyle="1" w:styleId="170">
    <w:name w:val="尾注文本 Char"/>
    <w:basedOn w:val="83"/>
    <w:link w:val="47"/>
    <w:qFormat/>
    <w:uiPriority w:val="0"/>
    <w:rPr>
      <w:rFonts w:ascii="宋体" w:hAnsi="宋体" w:cs="宋体"/>
      <w:sz w:val="22"/>
      <w:szCs w:val="22"/>
      <w:lang w:val="zh-CN" w:bidi="zh-CN"/>
    </w:rPr>
  </w:style>
  <w:style w:type="character" w:customStyle="1" w:styleId="171">
    <w:name w:val="【正文】 Char Char"/>
    <w:link w:val="129"/>
    <w:qFormat/>
    <w:uiPriority w:val="0"/>
    <w:rPr>
      <w:rFonts w:ascii="宋体" w:hAnsi="宋体"/>
      <w:sz w:val="22"/>
      <w:szCs w:val="22"/>
      <w:lang w:val="zh-CN" w:bidi="zh-CN"/>
    </w:rPr>
  </w:style>
  <w:style w:type="character" w:customStyle="1" w:styleId="172">
    <w:name w:val="表内容 Char Char"/>
    <w:link w:val="164"/>
    <w:qFormat/>
    <w:uiPriority w:val="0"/>
    <w:rPr>
      <w:rFonts w:ascii="宋体" w:hAnsi="宋体" w:cs="宋体"/>
      <w:sz w:val="21"/>
      <w:szCs w:val="24"/>
      <w:lang w:val="zh-CN" w:bidi="zh-CN"/>
    </w:rPr>
  </w:style>
  <w:style w:type="character" w:customStyle="1" w:styleId="173">
    <w:name w:val="表格 Char"/>
    <w:link w:val="117"/>
    <w:qFormat/>
    <w:uiPriority w:val="0"/>
    <w:rPr>
      <w:sz w:val="21"/>
      <w:szCs w:val="24"/>
      <w:lang w:val="zh-CN"/>
    </w:rPr>
  </w:style>
  <w:style w:type="character" w:customStyle="1" w:styleId="174">
    <w:name w:val="标题 5 Char"/>
    <w:basedOn w:val="83"/>
    <w:link w:val="7"/>
    <w:qFormat/>
    <w:uiPriority w:val="9"/>
    <w:rPr>
      <w:rFonts w:ascii="仿宋_GB2312" w:eastAsia="仿宋_GB2312"/>
      <w:b/>
      <w:bCs/>
      <w:sz w:val="28"/>
      <w:szCs w:val="28"/>
    </w:rPr>
  </w:style>
  <w:style w:type="character" w:customStyle="1" w:styleId="175">
    <w:name w:val="标题 6 Char"/>
    <w:basedOn w:val="83"/>
    <w:link w:val="8"/>
    <w:qFormat/>
    <w:uiPriority w:val="0"/>
    <w:rPr>
      <w:b/>
      <w:bCs/>
      <w:kern w:val="2"/>
      <w:sz w:val="24"/>
    </w:rPr>
  </w:style>
  <w:style w:type="character" w:customStyle="1" w:styleId="176">
    <w:name w:val="标题 7 Char"/>
    <w:basedOn w:val="83"/>
    <w:link w:val="9"/>
    <w:qFormat/>
    <w:uiPriority w:val="9"/>
    <w:rPr>
      <w:b/>
      <w:bCs/>
      <w:kern w:val="2"/>
      <w:sz w:val="28"/>
      <w:szCs w:val="28"/>
    </w:rPr>
  </w:style>
  <w:style w:type="character" w:customStyle="1" w:styleId="177">
    <w:name w:val="标题 8 Char"/>
    <w:basedOn w:val="83"/>
    <w:qFormat/>
    <w:uiPriority w:val="99"/>
    <w:rPr>
      <w:rFonts w:asciiTheme="majorHAnsi" w:hAnsiTheme="majorHAnsi" w:eastAsiaTheme="majorEastAsia" w:cstheme="majorBidi"/>
      <w:sz w:val="24"/>
      <w:szCs w:val="24"/>
      <w:lang w:val="zh-CN" w:bidi="zh-CN"/>
    </w:rPr>
  </w:style>
  <w:style w:type="character" w:customStyle="1" w:styleId="178">
    <w:name w:val="标题 9 Char"/>
    <w:basedOn w:val="83"/>
    <w:link w:val="11"/>
    <w:qFormat/>
    <w:uiPriority w:val="9"/>
    <w:rPr>
      <w:rFonts w:ascii="Arial" w:hAnsi="Arial" w:eastAsia="黑体"/>
      <w:sz w:val="28"/>
      <w:szCs w:val="21"/>
    </w:rPr>
  </w:style>
  <w:style w:type="character" w:customStyle="1" w:styleId="179">
    <w:name w:val="宏文本 Char"/>
    <w:basedOn w:val="83"/>
    <w:qFormat/>
    <w:uiPriority w:val="0"/>
    <w:rPr>
      <w:rFonts w:ascii="Courier New" w:hAnsi="Courier New" w:cs="Courier New"/>
      <w:sz w:val="24"/>
      <w:szCs w:val="24"/>
      <w:lang w:val="zh-CN" w:bidi="zh-CN"/>
    </w:rPr>
  </w:style>
  <w:style w:type="character" w:customStyle="1" w:styleId="180">
    <w:name w:val="注释标题 Char"/>
    <w:basedOn w:val="83"/>
    <w:link w:val="16"/>
    <w:qFormat/>
    <w:uiPriority w:val="0"/>
  </w:style>
  <w:style w:type="character" w:customStyle="1" w:styleId="181">
    <w:name w:val="电子邮件签名 Char"/>
    <w:basedOn w:val="83"/>
    <w:link w:val="18"/>
    <w:qFormat/>
    <w:uiPriority w:val="0"/>
    <w:rPr>
      <w:rFonts w:ascii="仿宋_GB2312" w:eastAsia="仿宋_GB2312"/>
      <w:sz w:val="28"/>
    </w:rPr>
  </w:style>
  <w:style w:type="character" w:customStyle="1" w:styleId="182">
    <w:name w:val="文档结构图 Char"/>
    <w:basedOn w:val="83"/>
    <w:link w:val="24"/>
    <w:qFormat/>
    <w:uiPriority w:val="0"/>
    <w:rPr>
      <w:szCs w:val="24"/>
      <w:shd w:val="clear" w:color="auto" w:fill="000080"/>
    </w:rPr>
  </w:style>
  <w:style w:type="character" w:customStyle="1" w:styleId="183">
    <w:name w:val="正文文本 3 Char"/>
    <w:basedOn w:val="83"/>
    <w:link w:val="28"/>
    <w:qFormat/>
    <w:uiPriority w:val="99"/>
    <w:rPr>
      <w:rFonts w:ascii="宋体" w:hAnsi="宋体"/>
      <w:color w:val="006600"/>
      <w:kern w:val="16"/>
      <w:sz w:val="24"/>
      <w:szCs w:val="24"/>
    </w:rPr>
  </w:style>
  <w:style w:type="character" w:customStyle="1" w:styleId="184">
    <w:name w:val="HTML 地址 Char"/>
    <w:basedOn w:val="83"/>
    <w:link w:val="38"/>
    <w:qFormat/>
    <w:uiPriority w:val="0"/>
    <w:rPr>
      <w:i/>
      <w:iCs/>
    </w:rPr>
  </w:style>
  <w:style w:type="character" w:customStyle="1" w:styleId="185">
    <w:name w:val="签名 Char"/>
    <w:basedOn w:val="83"/>
    <w:link w:val="53"/>
    <w:qFormat/>
    <w:uiPriority w:val="0"/>
    <w:rPr>
      <w:rFonts w:ascii="仿宋_GB2312" w:eastAsia="仿宋_GB2312"/>
      <w:sz w:val="28"/>
    </w:rPr>
  </w:style>
  <w:style w:type="character" w:customStyle="1" w:styleId="186">
    <w:name w:val="副标题 Char"/>
    <w:basedOn w:val="83"/>
    <w:link w:val="57"/>
    <w:qFormat/>
    <w:uiPriority w:val="0"/>
    <w:rPr>
      <w:rFonts w:ascii="Calibri Light" w:hAnsi="Calibri Light" w:cs="宋体"/>
      <w:b/>
      <w:bCs/>
      <w:kern w:val="28"/>
      <w:sz w:val="32"/>
      <w:szCs w:val="32"/>
    </w:rPr>
  </w:style>
  <w:style w:type="character" w:customStyle="1" w:styleId="187">
    <w:name w:val="脚注文本 Char"/>
    <w:basedOn w:val="83"/>
    <w:link w:val="60"/>
    <w:qFormat/>
    <w:uiPriority w:val="99"/>
    <w:rPr>
      <w:sz w:val="16"/>
    </w:rPr>
  </w:style>
  <w:style w:type="character" w:customStyle="1" w:styleId="188">
    <w:name w:val="正文文本缩进 3 Char"/>
    <w:basedOn w:val="83"/>
    <w:link w:val="64"/>
    <w:qFormat/>
    <w:uiPriority w:val="0"/>
    <w:rPr>
      <w:sz w:val="16"/>
      <w:szCs w:val="16"/>
    </w:rPr>
  </w:style>
  <w:style w:type="character" w:customStyle="1" w:styleId="189">
    <w:name w:val="正文文本 2 Char"/>
    <w:basedOn w:val="83"/>
    <w:link w:val="68"/>
    <w:qFormat/>
    <w:uiPriority w:val="99"/>
    <w:rPr>
      <w:sz w:val="24"/>
      <w:szCs w:val="24"/>
    </w:rPr>
  </w:style>
  <w:style w:type="character" w:customStyle="1" w:styleId="190">
    <w:name w:val="信息标题 Char"/>
    <w:basedOn w:val="83"/>
    <w:link w:val="71"/>
    <w:qFormat/>
    <w:uiPriority w:val="0"/>
    <w:rPr>
      <w:rFonts w:ascii="Arial" w:hAnsi="Arial" w:eastAsia="仿宋_GB2312"/>
      <w:sz w:val="24"/>
      <w:shd w:val="pct20" w:color="auto" w:fill="auto"/>
    </w:rPr>
  </w:style>
  <w:style w:type="character" w:customStyle="1" w:styleId="191">
    <w:name w:val="HTML 预设格式 Char"/>
    <w:basedOn w:val="83"/>
    <w:link w:val="72"/>
    <w:qFormat/>
    <w:uiPriority w:val="0"/>
    <w:rPr>
      <w:rFonts w:ascii="Arial" w:hAnsi="Arial"/>
      <w:sz w:val="19"/>
      <w:szCs w:val="19"/>
    </w:rPr>
  </w:style>
  <w:style w:type="character" w:customStyle="1" w:styleId="192">
    <w:name w:val="标题 Char"/>
    <w:basedOn w:val="83"/>
    <w:qFormat/>
    <w:uiPriority w:val="10"/>
    <w:rPr>
      <w:rFonts w:asciiTheme="majorHAnsi" w:hAnsiTheme="majorHAnsi" w:cstheme="majorBidi"/>
      <w:b/>
      <w:bCs/>
      <w:sz w:val="32"/>
      <w:szCs w:val="32"/>
      <w:lang w:val="zh-CN" w:bidi="zh-CN"/>
    </w:rPr>
  </w:style>
  <w:style w:type="character" w:customStyle="1" w:styleId="193">
    <w:name w:val="正文首行缩进 Char"/>
    <w:basedOn w:val="153"/>
    <w:link w:val="78"/>
    <w:qFormat/>
    <w:uiPriority w:val="0"/>
    <w:rPr>
      <w:rFonts w:ascii="宋体" w:hAnsi="宋体" w:cs="宋体"/>
      <w:sz w:val="28"/>
      <w:szCs w:val="28"/>
      <w:lang w:val="zh-CN" w:bidi="zh-CN"/>
    </w:rPr>
  </w:style>
  <w:style w:type="character" w:customStyle="1" w:styleId="194">
    <w:name w:val="表头 Char"/>
    <w:link w:val="102"/>
    <w:qFormat/>
    <w:uiPriority w:val="0"/>
    <w:rPr>
      <w:rFonts w:ascii="仿宋" w:hAnsi="仿宋" w:eastAsia="黑体" w:cs="宋体"/>
      <w:b/>
      <w:kern w:val="2"/>
      <w:sz w:val="22"/>
      <w:szCs w:val="22"/>
      <w:lang w:val="zh-CN" w:bidi="zh-CN"/>
    </w:rPr>
  </w:style>
  <w:style w:type="character" w:customStyle="1" w:styleId="195">
    <w:name w:val="标题 1 Char"/>
    <w:link w:val="3"/>
    <w:qFormat/>
    <w:uiPriority w:val="0"/>
    <w:rPr>
      <w:rFonts w:ascii="黑体" w:hAnsi="黑体" w:eastAsia="黑体" w:cs="黑体"/>
      <w:sz w:val="44"/>
      <w:szCs w:val="44"/>
      <w:lang w:val="zh-CN" w:bidi="zh-CN"/>
    </w:rPr>
  </w:style>
  <w:style w:type="character" w:customStyle="1" w:styleId="196">
    <w:name w:val="正文缩进 Char"/>
    <w:link w:val="20"/>
    <w:qFormat/>
    <w:uiPriority w:val="0"/>
    <w:rPr>
      <w:rFonts w:ascii="宋体" w:hAnsi="宋体" w:cs="宋体"/>
      <w:sz w:val="22"/>
      <w:szCs w:val="22"/>
      <w:lang w:val="zh-CN" w:bidi="zh-CN"/>
    </w:rPr>
  </w:style>
  <w:style w:type="character" w:customStyle="1" w:styleId="197">
    <w:name w:val="标题 2 Char1"/>
    <w:link w:val="4"/>
    <w:qFormat/>
    <w:uiPriority w:val="0"/>
    <w:rPr>
      <w:rFonts w:ascii="宋体" w:hAnsi="宋体" w:cs="宋体"/>
      <w:sz w:val="30"/>
      <w:szCs w:val="30"/>
      <w:lang w:val="zh-CN" w:bidi="zh-CN"/>
    </w:rPr>
  </w:style>
  <w:style w:type="character" w:customStyle="1" w:styleId="198">
    <w:name w:val="标题 3 Char1"/>
    <w:link w:val="5"/>
    <w:qFormat/>
    <w:uiPriority w:val="9"/>
    <w:rPr>
      <w:rFonts w:ascii="宋体" w:hAnsi="宋体" w:cs="宋体"/>
      <w:b/>
      <w:bCs/>
      <w:sz w:val="24"/>
      <w:szCs w:val="24"/>
      <w:lang w:val="zh-CN" w:bidi="zh-CN"/>
    </w:rPr>
  </w:style>
  <w:style w:type="character" w:customStyle="1" w:styleId="199">
    <w:name w:val="标题 4 Char1"/>
    <w:qFormat/>
    <w:uiPriority w:val="9"/>
    <w:rPr>
      <w:rFonts w:ascii="Times New Roman" w:hAnsi="Times New Roman" w:cs="宋体"/>
      <w:sz w:val="24"/>
      <w:lang w:val="zh-CN"/>
    </w:rPr>
  </w:style>
  <w:style w:type="character" w:customStyle="1" w:styleId="200">
    <w:name w:val="标题 8 Char1"/>
    <w:link w:val="10"/>
    <w:qFormat/>
    <w:uiPriority w:val="0"/>
    <w:rPr>
      <w:b/>
      <w:bCs/>
      <w:kern w:val="2"/>
      <w:sz w:val="28"/>
      <w:szCs w:val="28"/>
    </w:rPr>
  </w:style>
  <w:style w:type="character" w:customStyle="1" w:styleId="201">
    <w:name w:val="题注 Char"/>
    <w:link w:val="21"/>
    <w:qFormat/>
    <w:uiPriority w:val="0"/>
    <w:rPr>
      <w:rFonts w:ascii="Arial" w:hAnsi="Arial" w:eastAsia="黑体" w:cs="Arial"/>
    </w:rPr>
  </w:style>
  <w:style w:type="character" w:customStyle="1" w:styleId="202">
    <w:name w:val="正文文本 Char1"/>
    <w:qFormat/>
    <w:uiPriority w:val="0"/>
    <w:rPr>
      <w:color w:val="000000"/>
      <w:kern w:val="2"/>
      <w:sz w:val="24"/>
      <w:szCs w:val="22"/>
    </w:rPr>
  </w:style>
  <w:style w:type="character" w:customStyle="1" w:styleId="203">
    <w:name w:val="正文文本缩进 Char2"/>
    <w:basedOn w:val="83"/>
    <w:qFormat/>
    <w:uiPriority w:val="99"/>
    <w:rPr>
      <w:rFonts w:ascii="仿宋_GB2312" w:eastAsia="仿宋_GB2312"/>
      <w:spacing w:val="-2"/>
    </w:rPr>
  </w:style>
  <w:style w:type="character" w:customStyle="1" w:styleId="204">
    <w:name w:val="纯文本 Char1"/>
    <w:qFormat/>
    <w:uiPriority w:val="99"/>
    <w:rPr>
      <w:rFonts w:ascii="宋体" w:hAnsi="Courier New"/>
      <w:kern w:val="2"/>
      <w:sz w:val="21"/>
      <w:szCs w:val="22"/>
    </w:rPr>
  </w:style>
  <w:style w:type="character" w:customStyle="1" w:styleId="205">
    <w:name w:val="正文文本缩进 2 Char"/>
    <w:link w:val="46"/>
    <w:qFormat/>
    <w:uiPriority w:val="0"/>
    <w:rPr>
      <w:szCs w:val="22"/>
      <w:lang w:val="zh-CN" w:bidi="zh-CN"/>
    </w:rPr>
  </w:style>
  <w:style w:type="character" w:customStyle="1" w:styleId="206">
    <w:name w:val="页脚 Char"/>
    <w:link w:val="50"/>
    <w:qFormat/>
    <w:uiPriority w:val="99"/>
    <w:rPr>
      <w:rFonts w:ascii="宋体" w:hAnsi="宋体" w:cs="宋体"/>
      <w:sz w:val="18"/>
      <w:szCs w:val="22"/>
      <w:lang w:val="zh-CN" w:bidi="zh-CN"/>
    </w:rPr>
  </w:style>
  <w:style w:type="character" w:customStyle="1" w:styleId="207">
    <w:name w:val="页眉 Char"/>
    <w:link w:val="52"/>
    <w:qFormat/>
    <w:uiPriority w:val="0"/>
    <w:rPr>
      <w:rFonts w:ascii="宋体" w:hAnsi="宋体" w:cs="宋体"/>
      <w:sz w:val="18"/>
      <w:szCs w:val="22"/>
      <w:lang w:val="zh-CN" w:bidi="zh-CN"/>
    </w:rPr>
  </w:style>
  <w:style w:type="character" w:customStyle="1" w:styleId="208">
    <w:name w:val="列表 Char"/>
    <w:link w:val="59"/>
    <w:qFormat/>
    <w:uiPriority w:val="0"/>
    <w:rPr>
      <w:rFonts w:ascii="宋体" w:hAnsi="宋体" w:eastAsia="黑体" w:cs="宋体"/>
      <w:sz w:val="22"/>
      <w:szCs w:val="22"/>
      <w:lang w:val="zh-CN" w:bidi="zh-CN"/>
    </w:rPr>
  </w:style>
  <w:style w:type="character" w:customStyle="1" w:styleId="209">
    <w:name w:val="普通(网站) Char"/>
    <w:link w:val="73"/>
    <w:qFormat/>
    <w:uiPriority w:val="0"/>
    <w:rPr>
      <w:rFonts w:ascii="宋体" w:hAnsi="宋体" w:cs="宋体"/>
      <w:sz w:val="22"/>
      <w:szCs w:val="24"/>
      <w:lang w:val="zh-CN" w:bidi="zh-CN"/>
    </w:rPr>
  </w:style>
  <w:style w:type="character" w:customStyle="1" w:styleId="210">
    <w:name w:val="标题 Char1"/>
    <w:link w:val="76"/>
    <w:qFormat/>
    <w:uiPriority w:val="0"/>
    <w:rPr>
      <w:rFonts w:ascii="Arial" w:hAnsi="Arial"/>
      <w:b/>
      <w:sz w:val="32"/>
    </w:rPr>
  </w:style>
  <w:style w:type="character" w:customStyle="1" w:styleId="211">
    <w:name w:val="正文格式 Char Char"/>
    <w:qFormat/>
    <w:uiPriority w:val="0"/>
    <w:rPr>
      <w:rFonts w:ascii="宋体" w:hAnsi="宋体" w:cs="宋体"/>
      <w:sz w:val="24"/>
    </w:rPr>
  </w:style>
  <w:style w:type="paragraph" w:customStyle="1" w:styleId="212">
    <w:name w:val="11111"/>
    <w:basedOn w:val="1"/>
    <w:next w:val="1"/>
    <w:qFormat/>
    <w:uiPriority w:val="0"/>
    <w:pPr>
      <w:widowControl/>
      <w:autoSpaceDE/>
      <w:autoSpaceDN/>
      <w:spacing w:line="360" w:lineRule="auto"/>
      <w:ind w:firstLine="200" w:firstLineChars="200"/>
    </w:pPr>
    <w:rPr>
      <w:sz w:val="24"/>
      <w:szCs w:val="24"/>
      <w:lang w:val="en-US" w:bidi="ar-SA"/>
    </w:rPr>
  </w:style>
  <w:style w:type="character" w:customStyle="1" w:styleId="213">
    <w:name w:val="【表头】 Char Char"/>
    <w:link w:val="165"/>
    <w:qFormat/>
    <w:uiPriority w:val="0"/>
    <w:rPr>
      <w:rFonts w:ascii="Calibri" w:hAnsi="Calibri" w:eastAsia="黑体"/>
      <w:lang w:val="zh-CN" w:bidi="zh-CN"/>
    </w:rPr>
  </w:style>
  <w:style w:type="character" w:customStyle="1" w:styleId="214">
    <w:name w:val="【表中文字】 Char Char"/>
    <w:link w:val="169"/>
    <w:qFormat/>
    <w:uiPriority w:val="0"/>
    <w:rPr>
      <w:rFonts w:ascii="Calibri" w:hAnsi="Calibri"/>
      <w:kern w:val="2"/>
      <w:sz w:val="21"/>
      <w:szCs w:val="22"/>
      <w:lang w:val="zh-CN" w:bidi="zh-CN"/>
    </w:rPr>
  </w:style>
  <w:style w:type="paragraph" w:customStyle="1" w:styleId="215">
    <w:name w:val="【表中文字】-"/>
    <w:basedOn w:val="1"/>
    <w:qFormat/>
    <w:uiPriority w:val="0"/>
    <w:pPr>
      <w:widowControl/>
      <w:autoSpaceDE/>
      <w:autoSpaceDN/>
      <w:jc w:val="center"/>
    </w:pPr>
    <w:rPr>
      <w:sz w:val="20"/>
      <w:szCs w:val="20"/>
      <w:lang w:val="en-US" w:bidi="ar-SA"/>
    </w:rPr>
  </w:style>
  <w:style w:type="paragraph" w:customStyle="1" w:styleId="216">
    <w:name w:val="reader-word-layer reader-word-s1-13"/>
    <w:basedOn w:val="1"/>
    <w:qFormat/>
    <w:uiPriority w:val="0"/>
    <w:pPr>
      <w:widowControl/>
      <w:autoSpaceDE/>
      <w:autoSpaceDN/>
      <w:spacing w:before="100" w:beforeAutospacing="1" w:after="100" w:afterAutospacing="1"/>
    </w:pPr>
    <w:rPr>
      <w:sz w:val="24"/>
      <w:szCs w:val="24"/>
      <w:lang w:val="en-US" w:bidi="ar-SA"/>
    </w:rPr>
  </w:style>
  <w:style w:type="paragraph" w:customStyle="1" w:styleId="217">
    <w:name w:val="首行缩进"/>
    <w:basedOn w:val="1"/>
    <w:qFormat/>
    <w:uiPriority w:val="99"/>
    <w:pPr>
      <w:widowControl/>
      <w:autoSpaceDE/>
      <w:autoSpaceDN/>
      <w:spacing w:line="460" w:lineRule="atLeast"/>
      <w:jc w:val="center"/>
    </w:pPr>
    <w:rPr>
      <w:rFonts w:eastAsia="黑体"/>
      <w:color w:val="000000"/>
      <w:spacing w:val="20"/>
      <w:sz w:val="24"/>
      <w:szCs w:val="24"/>
      <w:lang w:val="en-US" w:bidi="ar-SA"/>
    </w:rPr>
  </w:style>
  <w:style w:type="paragraph" w:customStyle="1" w:styleId="218">
    <w:name w:val="正文1"/>
    <w:link w:val="219"/>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character" w:customStyle="1" w:styleId="219">
    <w:name w:val="正文1 Char"/>
    <w:link w:val="218"/>
    <w:qFormat/>
    <w:uiPriority w:val="0"/>
    <w:rPr>
      <w:rFonts w:ascii="宋体"/>
      <w:sz w:val="24"/>
    </w:rPr>
  </w:style>
  <w:style w:type="paragraph" w:customStyle="1" w:styleId="220">
    <w:name w:val="_Style 4"/>
    <w:qFormat/>
    <w:uiPriority w:val="99"/>
    <w:pPr>
      <w:widowControl w:val="0"/>
      <w:jc w:val="both"/>
    </w:pPr>
    <w:rPr>
      <w:rFonts w:ascii="Times New Roman" w:hAnsi="Times New Roman" w:eastAsia="宋体" w:cs="Times New Roman"/>
      <w:kern w:val="2"/>
      <w:sz w:val="24"/>
      <w:szCs w:val="24"/>
      <w:lang w:val="en-US" w:eastAsia="zh-CN" w:bidi="ar-SA"/>
    </w:rPr>
  </w:style>
  <w:style w:type="character" w:customStyle="1" w:styleId="221">
    <w:name w:val="font131"/>
    <w:basedOn w:val="83"/>
    <w:qFormat/>
    <w:uiPriority w:val="0"/>
    <w:rPr>
      <w:rFonts w:hint="default" w:ascii="Calibri" w:hAnsi="Calibri" w:cs="Calibri"/>
      <w:color w:val="000000"/>
      <w:sz w:val="21"/>
      <w:szCs w:val="21"/>
      <w:u w:val="none"/>
      <w:vertAlign w:val="superscript"/>
    </w:rPr>
  </w:style>
  <w:style w:type="character" w:customStyle="1" w:styleId="222">
    <w:name w:val="font81"/>
    <w:basedOn w:val="83"/>
    <w:qFormat/>
    <w:uiPriority w:val="0"/>
    <w:rPr>
      <w:rFonts w:hint="default" w:ascii="Calibri" w:hAnsi="Calibri" w:cs="Calibri"/>
      <w:color w:val="000000"/>
      <w:sz w:val="21"/>
      <w:szCs w:val="21"/>
      <w:u w:val="none"/>
    </w:rPr>
  </w:style>
  <w:style w:type="character" w:customStyle="1" w:styleId="223">
    <w:name w:val="font122"/>
    <w:basedOn w:val="83"/>
    <w:qFormat/>
    <w:uiPriority w:val="0"/>
    <w:rPr>
      <w:rFonts w:hint="default" w:ascii="Calibri" w:hAnsi="Calibri" w:cs="Calibri"/>
      <w:color w:val="000000"/>
      <w:sz w:val="21"/>
      <w:szCs w:val="21"/>
      <w:u w:val="none"/>
      <w:vertAlign w:val="subscript"/>
    </w:rPr>
  </w:style>
  <w:style w:type="character" w:customStyle="1" w:styleId="224">
    <w:name w:val="font12"/>
    <w:basedOn w:val="83"/>
    <w:qFormat/>
    <w:uiPriority w:val="99"/>
    <w:rPr>
      <w:rFonts w:ascii="宋体" w:hAnsi="宋体" w:eastAsia="宋体" w:cs="宋体"/>
      <w:color w:val="7030A0"/>
      <w:sz w:val="21"/>
      <w:szCs w:val="21"/>
      <w:u w:val="none"/>
    </w:rPr>
  </w:style>
  <w:style w:type="character" w:customStyle="1" w:styleId="225">
    <w:name w:val="font101"/>
    <w:basedOn w:val="83"/>
    <w:qFormat/>
    <w:uiPriority w:val="0"/>
    <w:rPr>
      <w:rFonts w:ascii="宋体" w:hAnsi="宋体" w:eastAsia="宋体" w:cs="宋体"/>
      <w:color w:val="7030A0"/>
      <w:sz w:val="21"/>
      <w:szCs w:val="21"/>
      <w:u w:val="none"/>
      <w:vertAlign w:val="superscript"/>
    </w:rPr>
  </w:style>
  <w:style w:type="character" w:customStyle="1" w:styleId="226">
    <w:name w:val="font91"/>
    <w:basedOn w:val="83"/>
    <w:qFormat/>
    <w:uiPriority w:val="0"/>
    <w:rPr>
      <w:rFonts w:ascii="宋体" w:hAnsi="宋体" w:eastAsia="宋体" w:cs="宋体"/>
      <w:color w:val="7030A0"/>
      <w:sz w:val="21"/>
      <w:szCs w:val="21"/>
      <w:u w:val="none"/>
      <w:vertAlign w:val="subscript"/>
    </w:rPr>
  </w:style>
  <w:style w:type="character" w:customStyle="1" w:styleId="227">
    <w:name w:val="正文 New New Char"/>
    <w:link w:val="119"/>
    <w:qFormat/>
    <w:uiPriority w:val="0"/>
    <w:rPr>
      <w:kern w:val="2"/>
      <w:sz w:val="21"/>
      <w:szCs w:val="24"/>
    </w:rPr>
  </w:style>
  <w:style w:type="character" w:customStyle="1" w:styleId="228">
    <w:name w:val="表格 Char Char"/>
    <w:qFormat/>
    <w:locked/>
    <w:uiPriority w:val="0"/>
    <w:rPr>
      <w:rFonts w:cs="宋体"/>
      <w:color w:val="000000"/>
      <w:sz w:val="21"/>
      <w:szCs w:val="21"/>
    </w:rPr>
  </w:style>
  <w:style w:type="paragraph" w:customStyle="1" w:styleId="229">
    <w:name w:val="样式 正文文字-1 + 首行缩进:  2.1 字符1"/>
    <w:basedOn w:val="230"/>
    <w:qFormat/>
    <w:uiPriority w:val="0"/>
    <w:pPr>
      <w:spacing w:line="440" w:lineRule="exact"/>
      <w:ind w:firstLine="210"/>
    </w:pPr>
    <w:rPr>
      <w:rFonts w:cs="宋体"/>
      <w:szCs w:val="20"/>
    </w:rPr>
  </w:style>
  <w:style w:type="paragraph" w:customStyle="1" w:styleId="230">
    <w:name w:val="正文文字-1 Char"/>
    <w:qFormat/>
    <w:uiPriority w:val="0"/>
    <w:pPr>
      <w:widowControl w:val="0"/>
      <w:spacing w:before="120" w:after="120" w:line="480" w:lineRule="exact"/>
      <w:ind w:firstLine="588" w:firstLineChars="210"/>
      <w:jc w:val="both"/>
    </w:pPr>
    <w:rPr>
      <w:rFonts w:ascii="Times New Roman" w:hAnsi="Times New Roman" w:eastAsia="宋体" w:cs="Times New Roman"/>
      <w:kern w:val="2"/>
      <w:sz w:val="24"/>
      <w:szCs w:val="24"/>
      <w:lang w:val="en-US" w:eastAsia="zh-CN" w:bidi="ar-SA"/>
    </w:rPr>
  </w:style>
  <w:style w:type="paragraph" w:customStyle="1" w:styleId="231">
    <w:name w:val="表格文字"/>
    <w:basedOn w:val="1"/>
    <w:link w:val="232"/>
    <w:qFormat/>
    <w:uiPriority w:val="0"/>
    <w:pPr>
      <w:widowControl/>
      <w:tabs>
        <w:tab w:val="left" w:pos="146"/>
      </w:tabs>
      <w:autoSpaceDE/>
      <w:autoSpaceDN/>
      <w:spacing w:line="240" w:lineRule="exact"/>
      <w:ind w:right="-55" w:rightChars="-55" w:firstLine="200"/>
      <w:jc w:val="center"/>
    </w:pPr>
    <w:rPr>
      <w:rFonts w:ascii="Calibri" w:hAnsi="Calibri" w:cs="Times New Roman"/>
      <w:spacing w:val="6"/>
      <w:sz w:val="24"/>
      <w:szCs w:val="20"/>
      <w:lang w:val="en-US" w:bidi="ar-SA"/>
    </w:rPr>
  </w:style>
  <w:style w:type="character" w:customStyle="1" w:styleId="232">
    <w:name w:val="表格文字 Char Char"/>
    <w:link w:val="231"/>
    <w:qFormat/>
    <w:uiPriority w:val="0"/>
    <w:rPr>
      <w:rFonts w:ascii="Calibri" w:hAnsi="Calibri"/>
      <w:spacing w:val="6"/>
      <w:sz w:val="24"/>
    </w:rPr>
  </w:style>
  <w:style w:type="character" w:customStyle="1" w:styleId="233">
    <w:name w:val="样式 样式 四号 蓝色 + 自动设置"/>
    <w:qFormat/>
    <w:uiPriority w:val="0"/>
    <w:rPr>
      <w:color w:val="auto"/>
      <w:sz w:val="24"/>
    </w:rPr>
  </w:style>
  <w:style w:type="paragraph" w:customStyle="1" w:styleId="234">
    <w:name w:val="报告表正文"/>
    <w:basedOn w:val="1"/>
    <w:qFormat/>
    <w:uiPriority w:val="99"/>
    <w:pPr>
      <w:widowControl/>
      <w:autoSpaceDE/>
      <w:autoSpaceDN/>
      <w:spacing w:line="360" w:lineRule="auto"/>
      <w:ind w:firstLine="420" w:firstLineChars="200"/>
    </w:pPr>
    <w:rPr>
      <w:rFonts w:ascii="Calibri" w:hAnsi="Calibri" w:cs="Times New Roman"/>
      <w:sz w:val="24"/>
      <w:lang w:bidi="ar-SA"/>
    </w:rPr>
  </w:style>
  <w:style w:type="character" w:customStyle="1" w:styleId="235">
    <w:name w:val="正文文本 (9)_"/>
    <w:link w:val="236"/>
    <w:qFormat/>
    <w:uiPriority w:val="99"/>
    <w:rPr>
      <w:rFonts w:ascii="MingLiU" w:eastAsia="MingLiU" w:cs="MingLiU"/>
      <w:shd w:val="clear" w:color="auto" w:fill="FFFFFF"/>
    </w:rPr>
  </w:style>
  <w:style w:type="paragraph" w:customStyle="1" w:styleId="236">
    <w:name w:val="正文文本 (9)1"/>
    <w:basedOn w:val="1"/>
    <w:link w:val="235"/>
    <w:qFormat/>
    <w:uiPriority w:val="99"/>
    <w:pPr>
      <w:shd w:val="clear" w:color="auto" w:fill="FFFFFF"/>
      <w:autoSpaceDE/>
      <w:autoSpaceDN/>
      <w:spacing w:before="2040" w:after="660" w:line="240" w:lineRule="atLeast"/>
      <w:jc w:val="center"/>
    </w:pPr>
    <w:rPr>
      <w:rFonts w:ascii="MingLiU" w:hAnsi="Times New Roman" w:eastAsia="MingLiU" w:cs="MingLiU"/>
      <w:sz w:val="20"/>
      <w:szCs w:val="20"/>
      <w:lang w:val="en-US" w:bidi="ar-SA"/>
    </w:rPr>
  </w:style>
  <w:style w:type="paragraph" w:styleId="237">
    <w:name w:val="No Spacing"/>
    <w:link w:val="238"/>
    <w:qFormat/>
    <w:uiPriority w:val="0"/>
    <w:rPr>
      <w:rFonts w:ascii="宋体" w:hAnsi="宋体" w:eastAsia="宋体" w:cs="宋体"/>
      <w:sz w:val="24"/>
      <w:szCs w:val="24"/>
      <w:lang w:val="en-US" w:eastAsia="zh-CN" w:bidi="ar-SA"/>
    </w:rPr>
  </w:style>
  <w:style w:type="character" w:customStyle="1" w:styleId="238">
    <w:name w:val="无间隔 Char"/>
    <w:link w:val="237"/>
    <w:qFormat/>
    <w:uiPriority w:val="0"/>
    <w:rPr>
      <w:rFonts w:ascii="宋体" w:hAnsi="宋体" w:cs="宋体"/>
      <w:sz w:val="24"/>
      <w:szCs w:val="24"/>
    </w:rPr>
  </w:style>
  <w:style w:type="character" w:customStyle="1" w:styleId="239">
    <w:name w:val="sort1"/>
    <w:qFormat/>
    <w:uiPriority w:val="0"/>
    <w:rPr>
      <w:color w:val="FFFFFF"/>
      <w:bdr w:val="single" w:color="auto" w:sz="24" w:space="0"/>
    </w:rPr>
  </w:style>
  <w:style w:type="character" w:customStyle="1" w:styleId="240">
    <w:name w:val="p14"/>
    <w:basedOn w:val="83"/>
    <w:qFormat/>
    <w:uiPriority w:val="0"/>
  </w:style>
  <w:style w:type="character" w:customStyle="1" w:styleId="241">
    <w:name w:val="正文样式 Char Char"/>
    <w:link w:val="242"/>
    <w:qFormat/>
    <w:uiPriority w:val="0"/>
    <w:rPr>
      <w:rFonts w:ascii="宋体" w:hAnsi="宋体"/>
      <w:sz w:val="24"/>
      <w:szCs w:val="24"/>
    </w:rPr>
  </w:style>
  <w:style w:type="paragraph" w:customStyle="1" w:styleId="242">
    <w:name w:val="正文样式"/>
    <w:basedOn w:val="1"/>
    <w:link w:val="241"/>
    <w:qFormat/>
    <w:uiPriority w:val="0"/>
    <w:pPr>
      <w:autoSpaceDE/>
      <w:autoSpaceDN/>
      <w:spacing w:line="360" w:lineRule="auto"/>
      <w:ind w:firstLine="480" w:firstLineChars="200"/>
      <w:jc w:val="both"/>
    </w:pPr>
    <w:rPr>
      <w:rFonts w:cs="Times New Roman"/>
      <w:sz w:val="24"/>
      <w:szCs w:val="24"/>
      <w:lang w:val="en-US" w:bidi="ar-SA"/>
    </w:rPr>
  </w:style>
  <w:style w:type="character" w:customStyle="1" w:styleId="243">
    <w:name w:val="正文文本 (2) + Georgia9"/>
    <w:qFormat/>
    <w:uiPriority w:val="99"/>
    <w:rPr>
      <w:rFonts w:ascii="Georgia" w:hAnsi="Georgia" w:eastAsia="MingLiU" w:cs="Georgia"/>
      <w:sz w:val="20"/>
      <w:szCs w:val="20"/>
      <w:u w:val="none"/>
      <w:shd w:val="clear" w:color="auto" w:fill="FFFFFF"/>
      <w:lang w:val="en-US" w:eastAsia="en-US"/>
    </w:rPr>
  </w:style>
  <w:style w:type="character" w:customStyle="1" w:styleId="244">
    <w:name w:val="标题2 Char Char"/>
    <w:qFormat/>
    <w:uiPriority w:val="0"/>
    <w:rPr>
      <w:rFonts w:ascii="Arial" w:hAnsi="Arial" w:eastAsia="黑体"/>
      <w:b/>
      <w:bCs/>
      <w:kern w:val="2"/>
      <w:sz w:val="32"/>
      <w:szCs w:val="32"/>
      <w:lang w:val="en-US" w:eastAsia="zh-CN" w:bidi="ar-SA"/>
    </w:rPr>
  </w:style>
  <w:style w:type="character" w:customStyle="1" w:styleId="245">
    <w:name w:val="morelink-item"/>
    <w:qFormat/>
    <w:uiPriority w:val="0"/>
  </w:style>
  <w:style w:type="character" w:customStyle="1" w:styleId="246">
    <w:name w:val="Heading 4 Char"/>
    <w:qFormat/>
    <w:uiPriority w:val="0"/>
    <w:rPr>
      <w:rFonts w:ascii="黑体" w:hAnsi="宋体" w:eastAsia="黑体" w:cs="宋体"/>
      <w:bCs/>
      <w:sz w:val="24"/>
      <w:szCs w:val="24"/>
    </w:rPr>
  </w:style>
  <w:style w:type="character" w:customStyle="1" w:styleId="247">
    <w:name w:val="正文文本: Char Char"/>
    <w:link w:val="248"/>
    <w:semiHidden/>
    <w:qFormat/>
    <w:uiPriority w:val="0"/>
    <w:rPr>
      <w:rFonts w:ascii="仿宋_GB2312" w:eastAsia="仿宋_GB2312" w:cs="宋体"/>
      <w:sz w:val="28"/>
    </w:rPr>
  </w:style>
  <w:style w:type="paragraph" w:customStyle="1" w:styleId="248">
    <w:name w:val="正文文本:"/>
    <w:basedOn w:val="1"/>
    <w:link w:val="247"/>
    <w:semiHidden/>
    <w:qFormat/>
    <w:uiPriority w:val="0"/>
    <w:pPr>
      <w:autoSpaceDE/>
      <w:autoSpaceDN/>
      <w:spacing w:line="360" w:lineRule="auto"/>
      <w:ind w:firstLine="200" w:firstLineChars="200"/>
    </w:pPr>
    <w:rPr>
      <w:rFonts w:ascii="仿宋_GB2312" w:hAnsi="Times New Roman" w:eastAsia="仿宋_GB2312"/>
      <w:sz w:val="28"/>
      <w:szCs w:val="20"/>
      <w:lang w:val="en-US" w:bidi="ar-SA"/>
    </w:rPr>
  </w:style>
  <w:style w:type="character" w:customStyle="1" w:styleId="249">
    <w:name w:val="title41"/>
    <w:qFormat/>
    <w:uiPriority w:val="0"/>
    <w:rPr>
      <w:rFonts w:hint="eastAsia" w:ascii="宋体" w:hAnsi="宋体" w:eastAsia="宋体"/>
      <w:color w:val="FF6600"/>
      <w:sz w:val="36"/>
      <w:szCs w:val="36"/>
    </w:rPr>
  </w:style>
  <w:style w:type="character" w:customStyle="1" w:styleId="250">
    <w:name w:val="polysemyexp"/>
    <w:qFormat/>
    <w:uiPriority w:val="0"/>
    <w:rPr>
      <w:color w:val="AAAAAA"/>
      <w:sz w:val="18"/>
      <w:szCs w:val="18"/>
    </w:rPr>
  </w:style>
  <w:style w:type="character" w:customStyle="1" w:styleId="251">
    <w:name w:val="表中文 Char Char"/>
    <w:link w:val="252"/>
    <w:qFormat/>
    <w:uiPriority w:val="0"/>
    <w:rPr>
      <w:snapToGrid w:val="0"/>
      <w:kern w:val="2"/>
      <w:sz w:val="21"/>
      <w:szCs w:val="21"/>
    </w:rPr>
  </w:style>
  <w:style w:type="paragraph" w:customStyle="1" w:styleId="252">
    <w:name w:val="表中文"/>
    <w:link w:val="251"/>
    <w:qFormat/>
    <w:uiPriority w:val="0"/>
    <w:pPr>
      <w:jc w:val="center"/>
    </w:pPr>
    <w:rPr>
      <w:rFonts w:ascii="Times New Roman" w:hAnsi="Times New Roman" w:eastAsia="宋体" w:cs="Times New Roman"/>
      <w:snapToGrid w:val="0"/>
      <w:kern w:val="2"/>
      <w:sz w:val="21"/>
      <w:szCs w:val="21"/>
      <w:lang w:val="en-US" w:eastAsia="zh-CN" w:bidi="ar-SA"/>
    </w:rPr>
  </w:style>
  <w:style w:type="character" w:customStyle="1" w:styleId="253">
    <w:name w:val="正文首行缩进-修改 Char Char"/>
    <w:link w:val="254"/>
    <w:qFormat/>
    <w:uiPriority w:val="0"/>
    <w:rPr>
      <w:sz w:val="24"/>
      <w:szCs w:val="24"/>
    </w:rPr>
  </w:style>
  <w:style w:type="paragraph" w:customStyle="1" w:styleId="254">
    <w:name w:val="正文首行缩进-修改"/>
    <w:basedOn w:val="1"/>
    <w:link w:val="253"/>
    <w:qFormat/>
    <w:uiPriority w:val="0"/>
    <w:pPr>
      <w:autoSpaceDE/>
      <w:autoSpaceDN/>
      <w:spacing w:line="360" w:lineRule="auto"/>
      <w:ind w:firstLine="480" w:firstLineChars="200"/>
      <w:jc w:val="both"/>
    </w:pPr>
    <w:rPr>
      <w:rFonts w:ascii="Times New Roman" w:hAnsi="Times New Roman" w:cs="Times New Roman"/>
      <w:sz w:val="24"/>
      <w:szCs w:val="24"/>
      <w:lang w:val="en-US" w:bidi="ar-SA"/>
    </w:rPr>
  </w:style>
  <w:style w:type="character" w:customStyle="1" w:styleId="255">
    <w:name w:val="标题3--------------- Char Char"/>
    <w:link w:val="256"/>
    <w:qFormat/>
    <w:uiPriority w:val="0"/>
    <w:rPr>
      <w:b/>
      <w:bCs/>
      <w:sz w:val="30"/>
    </w:rPr>
  </w:style>
  <w:style w:type="paragraph" w:customStyle="1" w:styleId="256">
    <w:name w:val="标题3---------------"/>
    <w:basedOn w:val="5"/>
    <w:link w:val="255"/>
    <w:qFormat/>
    <w:uiPriority w:val="0"/>
    <w:pPr>
      <w:keepLines/>
      <w:autoSpaceDE/>
      <w:autoSpaceDN/>
      <w:spacing w:before="160" w:after="160"/>
      <w:ind w:left="0" w:firstLine="0"/>
      <w:jc w:val="both"/>
    </w:pPr>
    <w:rPr>
      <w:rFonts w:ascii="Times New Roman" w:hAnsi="Times New Roman" w:cs="Times New Roman"/>
      <w:sz w:val="30"/>
      <w:szCs w:val="20"/>
      <w:lang w:val="en-US" w:bidi="ar-SA"/>
    </w:rPr>
  </w:style>
  <w:style w:type="character" w:customStyle="1" w:styleId="257">
    <w:name w:val="表中 Char Char"/>
    <w:link w:val="258"/>
    <w:qFormat/>
    <w:uiPriority w:val="0"/>
    <w:rPr>
      <w:rFonts w:ascii="宋体" w:hAnsi="宋体"/>
      <w:color w:val="000000"/>
      <w:sz w:val="24"/>
    </w:rPr>
  </w:style>
  <w:style w:type="paragraph" w:customStyle="1" w:styleId="258">
    <w:name w:val="表中"/>
    <w:basedOn w:val="1"/>
    <w:link w:val="257"/>
    <w:qFormat/>
    <w:uiPriority w:val="0"/>
    <w:pPr>
      <w:widowControl/>
      <w:tabs>
        <w:tab w:val="left" w:pos="425"/>
      </w:tabs>
      <w:autoSpaceDE/>
      <w:autoSpaceDN/>
      <w:snapToGrid w:val="0"/>
      <w:spacing w:beforeLines="20" w:afterLines="20" w:line="240" w:lineRule="exact"/>
      <w:ind w:hanging="425"/>
      <w:jc w:val="center"/>
    </w:pPr>
    <w:rPr>
      <w:rFonts w:cs="Times New Roman"/>
      <w:color w:val="000000"/>
      <w:sz w:val="24"/>
      <w:szCs w:val="20"/>
      <w:lang w:val="en-US" w:bidi="ar-SA"/>
    </w:rPr>
  </w:style>
  <w:style w:type="character" w:customStyle="1" w:styleId="259">
    <w:name w:val="lemmatitleh12"/>
    <w:basedOn w:val="83"/>
    <w:qFormat/>
    <w:uiPriority w:val="0"/>
  </w:style>
  <w:style w:type="character" w:customStyle="1" w:styleId="260">
    <w:name w:val="德胜空行 Char Char"/>
    <w:link w:val="261"/>
    <w:qFormat/>
    <w:uiPriority w:val="0"/>
    <w:rPr>
      <w:snapToGrid w:val="0"/>
      <w:color w:val="0000FF"/>
      <w:szCs w:val="21"/>
    </w:rPr>
  </w:style>
  <w:style w:type="paragraph" w:customStyle="1" w:styleId="261">
    <w:name w:val="德胜空行"/>
    <w:basedOn w:val="1"/>
    <w:link w:val="260"/>
    <w:qFormat/>
    <w:uiPriority w:val="0"/>
    <w:pPr>
      <w:autoSpaceDE/>
      <w:autoSpaceDN/>
      <w:adjustRightInd w:val="0"/>
      <w:snapToGrid w:val="0"/>
    </w:pPr>
    <w:rPr>
      <w:rFonts w:ascii="Times New Roman" w:hAnsi="Times New Roman" w:cs="Times New Roman"/>
      <w:snapToGrid w:val="0"/>
      <w:color w:val="0000FF"/>
      <w:sz w:val="20"/>
      <w:szCs w:val="21"/>
      <w:lang w:val="en-US" w:bidi="ar-SA"/>
    </w:rPr>
  </w:style>
  <w:style w:type="character" w:customStyle="1" w:styleId="262">
    <w:name w:val="Char Char3"/>
    <w:qFormat/>
    <w:uiPriority w:val="0"/>
    <w:rPr>
      <w:rFonts w:ascii="黑体" w:hAnsi="Arial" w:eastAsia="黑体"/>
      <w:b/>
      <w:bCs/>
      <w:kern w:val="2"/>
      <w:sz w:val="28"/>
      <w:szCs w:val="28"/>
      <w:lang w:val="sq-AL" w:eastAsia="zh-CN" w:bidi="ar-SA"/>
    </w:rPr>
  </w:style>
  <w:style w:type="character" w:customStyle="1" w:styleId="263">
    <w:name w:val="正文文本 (2) + 10 pt11"/>
    <w:qFormat/>
    <w:uiPriority w:val="99"/>
    <w:rPr>
      <w:rFonts w:ascii="MingLiU" w:eastAsia="MingLiU" w:cs="MingLiU"/>
      <w:spacing w:val="10"/>
      <w:sz w:val="20"/>
      <w:szCs w:val="20"/>
      <w:u w:val="none"/>
      <w:shd w:val="clear" w:color="auto" w:fill="FFFFFF"/>
    </w:rPr>
  </w:style>
  <w:style w:type="character" w:customStyle="1" w:styleId="264">
    <w:name w:val="段落1 Char1"/>
    <w:link w:val="265"/>
    <w:qFormat/>
    <w:uiPriority w:val="0"/>
    <w:rPr>
      <w:bCs/>
      <w:spacing w:val="6"/>
      <w:sz w:val="24"/>
      <w:szCs w:val="24"/>
    </w:rPr>
  </w:style>
  <w:style w:type="paragraph" w:customStyle="1" w:styleId="265">
    <w:name w:val="段落1"/>
    <w:basedOn w:val="1"/>
    <w:link w:val="264"/>
    <w:qFormat/>
    <w:uiPriority w:val="0"/>
    <w:pPr>
      <w:autoSpaceDE/>
      <w:autoSpaceDN/>
      <w:adjustRightInd w:val="0"/>
      <w:spacing w:before="120" w:after="120" w:line="360" w:lineRule="auto"/>
      <w:ind w:firstLine="504" w:firstLineChars="200"/>
      <w:jc w:val="both"/>
      <w:textAlignment w:val="baseline"/>
    </w:pPr>
    <w:rPr>
      <w:rFonts w:ascii="Times New Roman" w:hAnsi="Times New Roman" w:cs="Times New Roman"/>
      <w:bCs/>
      <w:spacing w:val="6"/>
      <w:sz w:val="24"/>
      <w:szCs w:val="24"/>
      <w:lang w:val="en-US" w:bidi="ar-SA"/>
    </w:rPr>
  </w:style>
  <w:style w:type="character" w:customStyle="1" w:styleId="266">
    <w:name w:val="h2 Char1"/>
    <w:qFormat/>
    <w:uiPriority w:val="0"/>
    <w:rPr>
      <w:rFonts w:ascii="Times New Roman" w:hAnsi="Times New Roman" w:eastAsia="黑体"/>
      <w:bCs/>
      <w:kern w:val="2"/>
      <w:sz w:val="30"/>
      <w:szCs w:val="32"/>
    </w:rPr>
  </w:style>
  <w:style w:type="character" w:customStyle="1" w:styleId="267">
    <w:name w:val="章节标题 Char3"/>
    <w:qFormat/>
    <w:uiPriority w:val="0"/>
    <w:rPr>
      <w:rFonts w:ascii="Times New Roman" w:hAnsi="Times New Roman" w:eastAsia="黑体" w:cs="Times New Roman"/>
      <w:b/>
      <w:kern w:val="44"/>
      <w:sz w:val="44"/>
      <w:szCs w:val="20"/>
    </w:rPr>
  </w:style>
  <w:style w:type="character" w:customStyle="1" w:styleId="268">
    <w:name w:val="表格内容1 Char Char1 Char Char Char"/>
    <w:link w:val="269"/>
    <w:semiHidden/>
    <w:qFormat/>
    <w:uiPriority w:val="0"/>
    <w:rPr>
      <w:rFonts w:eastAsia="仿宋_GB2312"/>
      <w:kern w:val="24"/>
      <w:szCs w:val="24"/>
    </w:rPr>
  </w:style>
  <w:style w:type="paragraph" w:customStyle="1" w:styleId="269">
    <w:name w:val="表格内容1 Char Char1 Char"/>
    <w:basedOn w:val="1"/>
    <w:link w:val="268"/>
    <w:semiHidden/>
    <w:qFormat/>
    <w:uiPriority w:val="0"/>
    <w:pPr>
      <w:autoSpaceDE/>
      <w:autoSpaceDN/>
      <w:spacing w:line="240" w:lineRule="atLeast"/>
      <w:jc w:val="center"/>
    </w:pPr>
    <w:rPr>
      <w:rFonts w:ascii="Times New Roman" w:hAnsi="Times New Roman" w:eastAsia="仿宋_GB2312" w:cs="Times New Roman"/>
      <w:kern w:val="24"/>
      <w:sz w:val="20"/>
      <w:szCs w:val="24"/>
      <w:lang w:val="en-US" w:bidi="ar-SA"/>
    </w:rPr>
  </w:style>
  <w:style w:type="character" w:customStyle="1" w:styleId="270">
    <w:name w:val="表头 Char Char Char"/>
    <w:qFormat/>
    <w:uiPriority w:val="0"/>
    <w:rPr>
      <w:rFonts w:ascii="仿宋_GB2312" w:eastAsia="黑体" w:cs="宋体"/>
      <w:spacing w:val="-2"/>
      <w:kern w:val="2"/>
      <w:sz w:val="28"/>
      <w:szCs w:val="28"/>
      <w:lang w:val="en-US" w:eastAsia="zh-CN" w:bidi="ar-SA"/>
    </w:rPr>
  </w:style>
  <w:style w:type="character" w:customStyle="1" w:styleId="271">
    <w:name w:val="zhengwen Char Char"/>
    <w:link w:val="272"/>
    <w:qFormat/>
    <w:uiPriority w:val="0"/>
    <w:rPr>
      <w:snapToGrid w:val="0"/>
      <w:color w:val="000000"/>
      <w:kern w:val="2"/>
      <w:sz w:val="24"/>
      <w:szCs w:val="24"/>
    </w:rPr>
  </w:style>
  <w:style w:type="paragraph" w:customStyle="1" w:styleId="272">
    <w:name w:val="zhengwen"/>
    <w:basedOn w:val="273"/>
    <w:link w:val="271"/>
    <w:qFormat/>
    <w:uiPriority w:val="0"/>
    <w:pPr>
      <w:tabs>
        <w:tab w:val="left" w:pos="567"/>
      </w:tabs>
      <w:spacing w:line="360" w:lineRule="auto"/>
      <w:ind w:left="0" w:firstLine="476"/>
    </w:pPr>
    <w:rPr>
      <w:rFonts w:ascii="Times New Roman"/>
      <w:snapToGrid w:val="0"/>
      <w:color w:val="000000"/>
      <w:szCs w:val="24"/>
    </w:rPr>
  </w:style>
  <w:style w:type="paragraph" w:customStyle="1" w:styleId="273">
    <w:name w:val="正文11"/>
    <w:link w:val="274"/>
    <w:qFormat/>
    <w:uiPriority w:val="0"/>
    <w:pPr>
      <w:widowControl w:val="0"/>
      <w:tabs>
        <w:tab w:val="left" w:pos="567"/>
      </w:tabs>
      <w:adjustRightInd w:val="0"/>
      <w:spacing w:line="360" w:lineRule="atLeast"/>
      <w:ind w:left="567" w:hanging="567"/>
      <w:textAlignment w:val="baseline"/>
    </w:pPr>
    <w:rPr>
      <w:rFonts w:ascii="宋体" w:hAnsi="Times New Roman" w:eastAsia="宋体" w:cs="Times New Roman"/>
      <w:kern w:val="2"/>
      <w:sz w:val="24"/>
      <w:szCs w:val="22"/>
      <w:lang w:val="en-US" w:eastAsia="zh-CN" w:bidi="ar-SA"/>
    </w:rPr>
  </w:style>
  <w:style w:type="character" w:customStyle="1" w:styleId="274">
    <w:name w:val="正文11 Char Char Char Char"/>
    <w:link w:val="273"/>
    <w:qFormat/>
    <w:uiPriority w:val="0"/>
    <w:rPr>
      <w:rFonts w:ascii="宋体"/>
      <w:kern w:val="2"/>
      <w:sz w:val="24"/>
      <w:szCs w:val="22"/>
    </w:rPr>
  </w:style>
  <w:style w:type="character" w:customStyle="1" w:styleId="275">
    <w:name w:val="小表左 Char Char"/>
    <w:link w:val="276"/>
    <w:qFormat/>
    <w:uiPriority w:val="0"/>
    <w:rPr>
      <w:sz w:val="18"/>
      <w:szCs w:val="18"/>
    </w:rPr>
  </w:style>
  <w:style w:type="paragraph" w:customStyle="1" w:styleId="276">
    <w:name w:val="小表左"/>
    <w:basedOn w:val="1"/>
    <w:link w:val="275"/>
    <w:qFormat/>
    <w:uiPriority w:val="0"/>
    <w:pPr>
      <w:keepNext/>
      <w:tabs>
        <w:tab w:val="left" w:pos="2190"/>
      </w:tabs>
      <w:autoSpaceDE/>
      <w:autoSpaceDN/>
      <w:adjustRightInd w:val="0"/>
      <w:snapToGrid w:val="0"/>
      <w:jc w:val="both"/>
    </w:pPr>
    <w:rPr>
      <w:rFonts w:ascii="Times New Roman" w:hAnsi="Times New Roman" w:cs="Times New Roman"/>
      <w:sz w:val="18"/>
      <w:szCs w:val="18"/>
      <w:lang w:val="en-US" w:bidi="ar-SA"/>
    </w:rPr>
  </w:style>
  <w:style w:type="character" w:customStyle="1" w:styleId="277">
    <w:name w:val="表格文字居中 Char Char"/>
    <w:qFormat/>
    <w:uiPriority w:val="0"/>
    <w:rPr>
      <w:rFonts w:ascii="宋体" w:hAnsi="宋体" w:eastAsia="宋体" w:cs="宋体"/>
      <w:kern w:val="2"/>
      <w:sz w:val="24"/>
      <w:szCs w:val="24"/>
      <w:lang w:val="en-US" w:eastAsia="zh-CN"/>
    </w:rPr>
  </w:style>
  <w:style w:type="character" w:customStyle="1" w:styleId="278">
    <w:name w:val="nota"/>
    <w:qFormat/>
    <w:uiPriority w:val="0"/>
    <w:rPr>
      <w:i/>
      <w:iCs/>
      <w:sz w:val="20"/>
    </w:rPr>
  </w:style>
  <w:style w:type="character" w:customStyle="1" w:styleId="279">
    <w:name w:val="段落 Char1"/>
    <w:link w:val="280"/>
    <w:qFormat/>
    <w:uiPriority w:val="0"/>
    <w:rPr>
      <w:rFonts w:ascii="仿宋_GB2312" w:hAnsi="宋体" w:eastAsia="仿宋_GB2312"/>
      <w:bCs/>
      <w:snapToGrid w:val="0"/>
      <w:color w:val="3366FF"/>
      <w:sz w:val="24"/>
      <w:szCs w:val="24"/>
    </w:rPr>
  </w:style>
  <w:style w:type="paragraph" w:customStyle="1" w:styleId="280">
    <w:name w:val="段落"/>
    <w:link w:val="279"/>
    <w:qFormat/>
    <w:uiPriority w:val="0"/>
    <w:pPr>
      <w:spacing w:line="360" w:lineRule="auto"/>
      <w:ind w:firstLine="540" w:firstLineChars="225"/>
      <w:jc w:val="both"/>
    </w:pPr>
    <w:rPr>
      <w:rFonts w:ascii="仿宋_GB2312" w:hAnsi="宋体" w:eastAsia="仿宋_GB2312" w:cs="Times New Roman"/>
      <w:bCs/>
      <w:snapToGrid w:val="0"/>
      <w:color w:val="3366FF"/>
      <w:sz w:val="24"/>
      <w:szCs w:val="24"/>
      <w:lang w:val="en-US" w:eastAsia="zh-CN" w:bidi="ar-SA"/>
    </w:rPr>
  </w:style>
  <w:style w:type="character" w:customStyle="1" w:styleId="281">
    <w:name w:val="Char Char13"/>
    <w:qFormat/>
    <w:uiPriority w:val="0"/>
    <w:rPr>
      <w:rFonts w:eastAsia="楷体_GB2312"/>
      <w:snapToGrid w:val="0"/>
      <w:sz w:val="21"/>
      <w:szCs w:val="22"/>
      <w:lang w:val="en-US" w:eastAsia="zh-CN" w:bidi="ar-SA"/>
    </w:rPr>
  </w:style>
  <w:style w:type="character" w:customStyle="1" w:styleId="282">
    <w:name w:val="表号 Char Char"/>
    <w:qFormat/>
    <w:uiPriority w:val="0"/>
    <w:rPr>
      <w:rFonts w:ascii="黑体" w:eastAsia="黑体"/>
      <w:sz w:val="21"/>
      <w:lang w:val="en-US" w:eastAsia="zh-CN" w:bidi="ar-SA"/>
    </w:rPr>
  </w:style>
  <w:style w:type="character" w:customStyle="1" w:styleId="283">
    <w:name w:val="图表 Char Char"/>
    <w:link w:val="284"/>
    <w:qFormat/>
    <w:uiPriority w:val="0"/>
    <w:rPr>
      <w:rFonts w:eastAsia="Times New Roman"/>
      <w:color w:val="800000"/>
      <w:spacing w:val="20"/>
      <w:kern w:val="2"/>
      <w:sz w:val="21"/>
      <w:szCs w:val="24"/>
    </w:rPr>
  </w:style>
  <w:style w:type="paragraph" w:customStyle="1" w:styleId="284">
    <w:name w:val="图表"/>
    <w:link w:val="283"/>
    <w:qFormat/>
    <w:uiPriority w:val="0"/>
    <w:pPr>
      <w:jc w:val="center"/>
    </w:pPr>
    <w:rPr>
      <w:rFonts w:ascii="Times New Roman" w:hAnsi="Times New Roman" w:eastAsia="Times New Roman" w:cs="Times New Roman"/>
      <w:color w:val="800000"/>
      <w:spacing w:val="20"/>
      <w:kern w:val="2"/>
      <w:sz w:val="21"/>
      <w:szCs w:val="24"/>
      <w:lang w:val="en-US" w:eastAsia="zh-CN" w:bidi="ar-SA"/>
    </w:rPr>
  </w:style>
  <w:style w:type="character" w:customStyle="1" w:styleId="285">
    <w:name w:val="title_tab"/>
    <w:basedOn w:val="83"/>
    <w:qFormat/>
    <w:uiPriority w:val="0"/>
  </w:style>
  <w:style w:type="character" w:customStyle="1" w:styleId="286">
    <w:name w:val="正文文本 (2) + 10 pt6"/>
    <w:qFormat/>
    <w:uiPriority w:val="99"/>
    <w:rPr>
      <w:rFonts w:ascii="MingLiU" w:eastAsia="MingLiU" w:cs="MingLiU"/>
      <w:spacing w:val="150"/>
      <w:sz w:val="20"/>
      <w:szCs w:val="20"/>
      <w:u w:val="none"/>
      <w:shd w:val="clear" w:color="auto" w:fill="FFFFFF"/>
    </w:rPr>
  </w:style>
  <w:style w:type="character" w:customStyle="1" w:styleId="287">
    <w:name w:val="编制日期 Char Char"/>
    <w:link w:val="288"/>
    <w:qFormat/>
    <w:uiPriority w:val="0"/>
    <w:rPr>
      <w:rFonts w:ascii="宋体" w:hAnsi="宋体"/>
      <w:sz w:val="32"/>
      <w:szCs w:val="28"/>
    </w:rPr>
  </w:style>
  <w:style w:type="paragraph" w:customStyle="1" w:styleId="288">
    <w:name w:val="编制日期"/>
    <w:basedOn w:val="1"/>
    <w:link w:val="287"/>
    <w:qFormat/>
    <w:uiPriority w:val="0"/>
    <w:pPr>
      <w:keepNext/>
      <w:tabs>
        <w:tab w:val="left" w:pos="2190"/>
      </w:tabs>
      <w:autoSpaceDE/>
      <w:autoSpaceDN/>
      <w:adjustRightInd w:val="0"/>
      <w:snapToGrid w:val="0"/>
      <w:spacing w:line="360" w:lineRule="auto"/>
      <w:jc w:val="center"/>
    </w:pPr>
    <w:rPr>
      <w:rFonts w:cs="Times New Roman"/>
      <w:sz w:val="32"/>
      <w:szCs w:val="28"/>
      <w:lang w:val="en-US" w:bidi="ar-SA"/>
    </w:rPr>
  </w:style>
  <w:style w:type="character" w:customStyle="1" w:styleId="289">
    <w:name w:val="正文文本 (2) + Georgia8"/>
    <w:qFormat/>
    <w:uiPriority w:val="99"/>
    <w:rPr>
      <w:rFonts w:ascii="Georgia" w:hAnsi="Georgia" w:eastAsia="MingLiU" w:cs="Georgia"/>
      <w:sz w:val="20"/>
      <w:szCs w:val="20"/>
      <w:u w:val="none"/>
      <w:shd w:val="clear" w:color="auto" w:fill="FFFFFF"/>
      <w:lang w:val="en-US" w:eastAsia="en-US"/>
    </w:rPr>
  </w:style>
  <w:style w:type="character" w:customStyle="1" w:styleId="290">
    <w:name w:val="环评正文 Char"/>
    <w:qFormat/>
    <w:uiPriority w:val="0"/>
    <w:rPr>
      <w:rFonts w:ascii="仿宋_GB2312" w:hAnsi="Times New Roman" w:eastAsia="仿宋_GB2312" w:cs="宋体"/>
      <w:sz w:val="28"/>
      <w:szCs w:val="20"/>
    </w:rPr>
  </w:style>
  <w:style w:type="character" w:customStyle="1" w:styleId="291">
    <w:name w:val="正文文本 (2) + 10 pt16"/>
    <w:qFormat/>
    <w:uiPriority w:val="99"/>
    <w:rPr>
      <w:rFonts w:ascii="MingLiU" w:eastAsia="MingLiU" w:cs="MingLiU"/>
      <w:spacing w:val="120"/>
      <w:sz w:val="20"/>
      <w:szCs w:val="20"/>
      <w:u w:val="none"/>
      <w:shd w:val="clear" w:color="auto" w:fill="FFFFFF"/>
    </w:rPr>
  </w:style>
  <w:style w:type="character" w:customStyle="1" w:styleId="292">
    <w:name w:val="干标题(a) Char Char"/>
    <w:qFormat/>
    <w:uiPriority w:val="0"/>
    <w:rPr>
      <w:rFonts w:ascii="Arial" w:hAnsi="Arial" w:eastAsia="黑体"/>
      <w:kern w:val="2"/>
      <w:sz w:val="21"/>
      <w:szCs w:val="21"/>
    </w:rPr>
  </w:style>
  <w:style w:type="character" w:customStyle="1" w:styleId="293">
    <w:name w:val="样式 样式 标题 3条标题头标题3H3h33rd level第二层条标题 3 Char小标题小节标题标题 3 C...3 + 自... Char"/>
    <w:link w:val="294"/>
    <w:qFormat/>
    <w:uiPriority w:val="0"/>
    <w:rPr>
      <w:rFonts w:ascii="黑体" w:eastAsia="黑体"/>
      <w:sz w:val="24"/>
      <w:szCs w:val="24"/>
    </w:rPr>
  </w:style>
  <w:style w:type="paragraph" w:customStyle="1" w:styleId="294">
    <w:name w:val="样式 样式 标题 3条标题头标题3H3h33rd level第二层条标题 3 Char小标题小节标题标题 3 C...3 + 自..."/>
    <w:basedOn w:val="295"/>
    <w:link w:val="293"/>
    <w:qFormat/>
    <w:uiPriority w:val="0"/>
    <w:rPr>
      <w:rFonts w:ascii="黑体"/>
      <w:color w:val="auto"/>
    </w:rPr>
  </w:style>
  <w:style w:type="paragraph" w:customStyle="1" w:styleId="295">
    <w:name w:val="样式 标题 3条标题头标题3H3h33rd level第二层条标题 3 Char小标题小节标题标题 3 C...3"/>
    <w:basedOn w:val="5"/>
    <w:next w:val="1"/>
    <w:qFormat/>
    <w:uiPriority w:val="0"/>
    <w:pPr>
      <w:keepNext/>
      <w:keepLines/>
      <w:autoSpaceDE/>
      <w:autoSpaceDN/>
      <w:spacing w:line="720" w:lineRule="auto"/>
      <w:ind w:left="0" w:firstLine="0"/>
      <w:jc w:val="both"/>
    </w:pPr>
    <w:rPr>
      <w:rFonts w:ascii="Times New Roman" w:hAnsi="Times New Roman" w:eastAsia="黑体" w:cs="Times New Roman"/>
      <w:b w:val="0"/>
      <w:bCs w:val="0"/>
      <w:color w:val="000000"/>
      <w:lang w:val="en-US" w:bidi="ar-SA"/>
    </w:rPr>
  </w:style>
  <w:style w:type="character" w:customStyle="1" w:styleId="296">
    <w:name w:val="yyp Char Char"/>
    <w:link w:val="297"/>
    <w:qFormat/>
    <w:uiPriority w:val="0"/>
    <w:rPr>
      <w:sz w:val="24"/>
      <w:szCs w:val="24"/>
    </w:rPr>
  </w:style>
  <w:style w:type="paragraph" w:customStyle="1" w:styleId="297">
    <w:name w:val="yyp"/>
    <w:basedOn w:val="78"/>
    <w:link w:val="296"/>
    <w:qFormat/>
    <w:uiPriority w:val="0"/>
    <w:pPr>
      <w:widowControl w:val="0"/>
      <w:spacing w:line="360" w:lineRule="auto"/>
      <w:ind w:firstLine="480" w:firstLineChars="200"/>
    </w:pPr>
    <w:rPr>
      <w:rFonts w:ascii="Times New Roman" w:hAnsi="Times New Roman" w:cs="Times New Roman"/>
      <w:sz w:val="24"/>
      <w:szCs w:val="24"/>
    </w:rPr>
  </w:style>
  <w:style w:type="character" w:customStyle="1" w:styleId="298">
    <w:name w:val="Char Char22"/>
    <w:qFormat/>
    <w:uiPriority w:val="0"/>
    <w:rPr>
      <w:rFonts w:eastAsia="宋体"/>
      <w:kern w:val="2"/>
      <w:sz w:val="24"/>
      <w:szCs w:val="24"/>
      <w:lang w:val="en-US" w:eastAsia="zh-CN" w:bidi="ar-SA"/>
    </w:rPr>
  </w:style>
  <w:style w:type="character" w:customStyle="1" w:styleId="299">
    <w:name w:val="正文1 Char Char"/>
    <w:link w:val="300"/>
    <w:qFormat/>
    <w:uiPriority w:val="0"/>
    <w:rPr>
      <w:rFonts w:ascii="宋体" w:eastAsia="Times New Roman"/>
      <w:kern w:val="2"/>
      <w:sz w:val="24"/>
      <w:szCs w:val="22"/>
    </w:rPr>
  </w:style>
  <w:style w:type="paragraph" w:customStyle="1" w:styleId="300">
    <w:name w:val="正文12"/>
    <w:link w:val="299"/>
    <w:qFormat/>
    <w:uiPriority w:val="0"/>
    <w:pPr>
      <w:widowControl w:val="0"/>
      <w:adjustRightInd w:val="0"/>
      <w:spacing w:line="360" w:lineRule="atLeast"/>
      <w:textAlignment w:val="baseline"/>
    </w:pPr>
    <w:rPr>
      <w:rFonts w:ascii="宋体" w:hAnsi="Times New Roman" w:eastAsia="Times New Roman" w:cs="Times New Roman"/>
      <w:kern w:val="2"/>
      <w:sz w:val="24"/>
      <w:szCs w:val="22"/>
      <w:lang w:val="en-US" w:eastAsia="zh-CN" w:bidi="ar-SA"/>
    </w:rPr>
  </w:style>
  <w:style w:type="character" w:customStyle="1" w:styleId="301">
    <w:name w:val="正文11 Char Char Char Char Char"/>
    <w:qFormat/>
    <w:uiPriority w:val="0"/>
    <w:rPr>
      <w:rFonts w:ascii="宋体" w:hAnsi="宋体" w:eastAsia="宋体"/>
      <w:snapToGrid w:val="0"/>
      <w:sz w:val="24"/>
      <w:szCs w:val="24"/>
      <w:lang w:val="en-US" w:eastAsia="zh-CN" w:bidi="ar-SA"/>
    </w:rPr>
  </w:style>
  <w:style w:type="character" w:customStyle="1" w:styleId="302">
    <w:name w:val="表文字 Char1"/>
    <w:qFormat/>
    <w:locked/>
    <w:uiPriority w:val="0"/>
    <w:rPr>
      <w:szCs w:val="21"/>
      <w:lang w:val="en-US" w:eastAsia="zh-CN" w:bidi="ar-SA"/>
    </w:rPr>
  </w:style>
  <w:style w:type="character" w:customStyle="1" w:styleId="303">
    <w:name w:val="正文00 Char"/>
    <w:link w:val="304"/>
    <w:qFormat/>
    <w:uiPriority w:val="0"/>
    <w:rPr>
      <w:rFonts w:cs="宋体"/>
      <w:kern w:val="2"/>
      <w:sz w:val="24"/>
      <w:szCs w:val="24"/>
    </w:rPr>
  </w:style>
  <w:style w:type="paragraph" w:customStyle="1" w:styleId="304">
    <w:name w:val="正文00"/>
    <w:basedOn w:val="1"/>
    <w:next w:val="305"/>
    <w:link w:val="303"/>
    <w:qFormat/>
    <w:uiPriority w:val="0"/>
    <w:pPr>
      <w:autoSpaceDE/>
      <w:autoSpaceDN/>
      <w:spacing w:line="360" w:lineRule="auto"/>
      <w:ind w:firstLine="480" w:firstLineChars="200"/>
    </w:pPr>
    <w:rPr>
      <w:rFonts w:ascii="Times New Roman" w:hAnsi="Times New Roman"/>
      <w:kern w:val="2"/>
      <w:sz w:val="24"/>
      <w:szCs w:val="24"/>
      <w:lang w:val="en-US" w:bidi="ar-SA"/>
    </w:rPr>
  </w:style>
  <w:style w:type="paragraph" w:customStyle="1" w:styleId="305">
    <w:name w:val="样式 Times New Roman 五号 居中1"/>
    <w:basedOn w:val="1"/>
    <w:qFormat/>
    <w:uiPriority w:val="0"/>
    <w:pPr>
      <w:autoSpaceDE/>
      <w:autoSpaceDN/>
      <w:jc w:val="center"/>
    </w:pPr>
    <w:rPr>
      <w:rFonts w:ascii="Times New Roman" w:hAnsi="Times New Roman"/>
      <w:kern w:val="2"/>
      <w:sz w:val="21"/>
      <w:szCs w:val="20"/>
      <w:lang w:val="en-US" w:bidi="ar-SA"/>
    </w:rPr>
  </w:style>
  <w:style w:type="character" w:customStyle="1" w:styleId="306">
    <w:name w:val="小小标题 Char Char"/>
    <w:link w:val="307"/>
    <w:qFormat/>
    <w:uiPriority w:val="0"/>
    <w:rPr>
      <w:rFonts w:ascii="仿宋_GB2312" w:eastAsia="黑体"/>
      <w:b/>
      <w:sz w:val="24"/>
      <w:szCs w:val="32"/>
      <w:lang w:val="zh-CN"/>
    </w:rPr>
  </w:style>
  <w:style w:type="paragraph" w:customStyle="1" w:styleId="307">
    <w:name w:val="小小标题"/>
    <w:basedOn w:val="1"/>
    <w:link w:val="306"/>
    <w:qFormat/>
    <w:uiPriority w:val="0"/>
    <w:pPr>
      <w:widowControl/>
      <w:topLinePunct/>
      <w:autoSpaceDE/>
      <w:autoSpaceDN/>
      <w:spacing w:line="360" w:lineRule="auto"/>
      <w:ind w:firstLine="482"/>
    </w:pPr>
    <w:rPr>
      <w:rFonts w:ascii="仿宋_GB2312" w:hAnsi="Times New Roman" w:eastAsia="黑体" w:cs="Times New Roman"/>
      <w:b/>
      <w:sz w:val="24"/>
      <w:szCs w:val="32"/>
      <w:lang w:bidi="ar-SA"/>
    </w:rPr>
  </w:style>
  <w:style w:type="character" w:customStyle="1" w:styleId="308">
    <w:name w:val="sort"/>
    <w:basedOn w:val="83"/>
    <w:qFormat/>
    <w:uiPriority w:val="0"/>
  </w:style>
  <w:style w:type="character" w:customStyle="1" w:styleId="309">
    <w:name w:val="正文文本 (2) + 10 pt15"/>
    <w:qFormat/>
    <w:uiPriority w:val="99"/>
    <w:rPr>
      <w:rFonts w:ascii="MingLiU" w:eastAsia="MingLiU" w:cs="MingLiU"/>
      <w:sz w:val="20"/>
      <w:szCs w:val="20"/>
      <w:u w:val="none"/>
      <w:shd w:val="clear" w:color="auto" w:fill="FFFFFF"/>
    </w:rPr>
  </w:style>
  <w:style w:type="character" w:customStyle="1" w:styleId="310">
    <w:name w:val="bds_nopic1"/>
    <w:basedOn w:val="83"/>
    <w:qFormat/>
    <w:uiPriority w:val="0"/>
  </w:style>
  <w:style w:type="character" w:customStyle="1" w:styleId="311">
    <w:name w:val="纯文本2"/>
    <w:qFormat/>
    <w:uiPriority w:val="0"/>
    <w:rPr>
      <w:rFonts w:ascii="宋体" w:hAnsi="Courier New" w:eastAsia="宋体"/>
      <w:kern w:val="2"/>
      <w:sz w:val="21"/>
      <w:lang w:val="en-US" w:eastAsia="zh-CN" w:bidi="ar-SA"/>
    </w:rPr>
  </w:style>
  <w:style w:type="character" w:customStyle="1" w:styleId="312">
    <w:name w:val="Char Char23"/>
    <w:qFormat/>
    <w:uiPriority w:val="0"/>
    <w:rPr>
      <w:sz w:val="18"/>
    </w:rPr>
  </w:style>
  <w:style w:type="character" w:customStyle="1" w:styleId="313">
    <w:name w:val="正文文字缩进 2 Char Char Char"/>
    <w:qFormat/>
    <w:uiPriority w:val="0"/>
    <w:rPr>
      <w:rFonts w:ascii="宋体" w:eastAsia="宋体"/>
      <w:kern w:val="2"/>
      <w:sz w:val="28"/>
      <w:lang w:val="en-US" w:eastAsia="zh-CN" w:bidi="ar-SA"/>
    </w:rPr>
  </w:style>
  <w:style w:type="character" w:customStyle="1" w:styleId="314">
    <w:name w:val="样式 样式 段前: 0.5 行 + 首行缩进:  2 字符 段前: 0.5 行 Char Char"/>
    <w:link w:val="315"/>
    <w:qFormat/>
    <w:uiPriority w:val="0"/>
    <w:rPr>
      <w:color w:val="000000"/>
      <w:sz w:val="24"/>
    </w:rPr>
  </w:style>
  <w:style w:type="paragraph" w:customStyle="1" w:styleId="315">
    <w:name w:val="样式 样式 段前: 0.5 行 + 首行缩进:  2 字符 段前: 0.5 行"/>
    <w:basedOn w:val="1"/>
    <w:link w:val="314"/>
    <w:qFormat/>
    <w:uiPriority w:val="0"/>
    <w:pPr>
      <w:widowControl/>
      <w:spacing w:beforeLines="50" w:line="360" w:lineRule="auto"/>
      <w:ind w:firstLine="480" w:firstLineChars="200"/>
      <w:jc w:val="both"/>
    </w:pPr>
    <w:rPr>
      <w:rFonts w:ascii="Times New Roman" w:hAnsi="Times New Roman" w:cs="Times New Roman"/>
      <w:color w:val="000000"/>
      <w:sz w:val="24"/>
      <w:szCs w:val="20"/>
      <w:lang w:val="en-US" w:bidi="ar-SA"/>
    </w:rPr>
  </w:style>
  <w:style w:type="character" w:customStyle="1" w:styleId="316">
    <w:name w:val="图1-1 Char Char"/>
    <w:qFormat/>
    <w:uiPriority w:val="0"/>
    <w:rPr>
      <w:rFonts w:eastAsia="宋体"/>
      <w:b/>
      <w:spacing w:val="12"/>
      <w:w w:val="90"/>
      <w:kern w:val="2"/>
      <w:sz w:val="21"/>
      <w:szCs w:val="24"/>
      <w:lang w:val="en-US" w:eastAsia="zh-CN" w:bidi="ar-SA"/>
    </w:rPr>
  </w:style>
  <w:style w:type="character" w:customStyle="1" w:styleId="317">
    <w:name w:val="正文文本 (2) + 10 pt5"/>
    <w:qFormat/>
    <w:uiPriority w:val="99"/>
    <w:rPr>
      <w:rFonts w:ascii="MingLiU" w:eastAsia="MingLiU" w:cs="MingLiU"/>
      <w:spacing w:val="50"/>
      <w:sz w:val="20"/>
      <w:szCs w:val="20"/>
      <w:u w:val="none"/>
      <w:shd w:val="clear" w:color="auto" w:fill="FFFFFF"/>
    </w:rPr>
  </w:style>
  <w:style w:type="character" w:customStyle="1" w:styleId="318">
    <w:name w:val="电子邮件签名 Char1"/>
    <w:qFormat/>
    <w:uiPriority w:val="0"/>
    <w:rPr>
      <w:rFonts w:ascii="Calibri" w:hAnsi="Calibri" w:eastAsia="宋体" w:cs="Times New Roman"/>
    </w:rPr>
  </w:style>
  <w:style w:type="character" w:customStyle="1" w:styleId="319">
    <w:name w:val="标题 Char4"/>
    <w:qFormat/>
    <w:locked/>
    <w:uiPriority w:val="0"/>
    <w:rPr>
      <w:rFonts w:ascii="Arial" w:hAnsi="Arial"/>
      <w:b/>
      <w:sz w:val="32"/>
    </w:rPr>
  </w:style>
  <w:style w:type="character" w:customStyle="1" w:styleId="320">
    <w:name w:val="样式 表4.1 + 黑色 Char Char"/>
    <w:link w:val="321"/>
    <w:qFormat/>
    <w:uiPriority w:val="99"/>
    <w:rPr>
      <w:rFonts w:ascii="黑体" w:eastAsia="黑体"/>
      <w:b/>
      <w:bCs/>
      <w:color w:val="000000"/>
      <w:kern w:val="2"/>
      <w:sz w:val="24"/>
      <w:szCs w:val="26"/>
    </w:rPr>
  </w:style>
  <w:style w:type="paragraph" w:customStyle="1" w:styleId="321">
    <w:name w:val="样式 表4.1 + 黑色"/>
    <w:basedOn w:val="1"/>
    <w:link w:val="320"/>
    <w:qFormat/>
    <w:uiPriority w:val="99"/>
    <w:pPr>
      <w:tabs>
        <w:tab w:val="left" w:pos="726"/>
        <w:tab w:val="center" w:pos="4060"/>
        <w:tab w:val="right" w:pos="8261"/>
      </w:tabs>
      <w:suppressAutoHyphens/>
      <w:autoSpaceDE/>
      <w:autoSpaceDN/>
      <w:adjustRightInd w:val="0"/>
      <w:spacing w:before="240" w:line="0" w:lineRule="atLeast"/>
      <w:ind w:left="2" w:firstLine="4"/>
      <w:jc w:val="both"/>
    </w:pPr>
    <w:rPr>
      <w:rFonts w:ascii="黑体" w:hAnsi="Times New Roman" w:eastAsia="黑体" w:cs="Times New Roman"/>
      <w:b/>
      <w:bCs/>
      <w:color w:val="000000"/>
      <w:kern w:val="2"/>
      <w:sz w:val="24"/>
      <w:szCs w:val="26"/>
      <w:lang w:val="en-US" w:bidi="ar-SA"/>
    </w:rPr>
  </w:style>
  <w:style w:type="character" w:customStyle="1" w:styleId="322">
    <w:name w:val="Char Char18"/>
    <w:qFormat/>
    <w:uiPriority w:val="0"/>
    <w:rPr>
      <w:rFonts w:eastAsia="宋体"/>
      <w:kern w:val="2"/>
      <w:sz w:val="24"/>
      <w:szCs w:val="24"/>
      <w:lang w:val="en-US" w:eastAsia="zh-CN" w:bidi="ar-SA"/>
    </w:rPr>
  </w:style>
  <w:style w:type="character" w:customStyle="1" w:styleId="323">
    <w:name w:val="description"/>
    <w:basedOn w:val="83"/>
    <w:qFormat/>
    <w:uiPriority w:val="0"/>
  </w:style>
  <w:style w:type="character" w:customStyle="1" w:styleId="324">
    <w:name w:val="Char Char28"/>
    <w:qFormat/>
    <w:uiPriority w:val="0"/>
    <w:rPr>
      <w:rFonts w:hint="default" w:ascii="Times New Roman" w:hAnsi="Times New Roman" w:eastAsia="黑体" w:cs="Times New Roman"/>
      <w:sz w:val="24"/>
      <w:szCs w:val="24"/>
    </w:rPr>
  </w:style>
  <w:style w:type="character" w:customStyle="1" w:styleId="325">
    <w:name w:val="样式 样式 方正宋三简体 14 磅 行距: 1.5 倍行距1 + 首行缩进:  2 字符 Char Char"/>
    <w:link w:val="326"/>
    <w:qFormat/>
    <w:uiPriority w:val="0"/>
    <w:rPr>
      <w:rFonts w:ascii="宋体" w:hAnsi="方正宋三简体"/>
      <w:sz w:val="27"/>
      <w:szCs w:val="27"/>
    </w:rPr>
  </w:style>
  <w:style w:type="paragraph" w:customStyle="1" w:styleId="326">
    <w:name w:val="样式 样式 方正宋三简体 14 磅 行距: 1.5 倍行距1 + 首行缩进:  2 字符"/>
    <w:basedOn w:val="1"/>
    <w:link w:val="325"/>
    <w:qFormat/>
    <w:uiPriority w:val="0"/>
    <w:pPr>
      <w:autoSpaceDE/>
      <w:autoSpaceDN/>
      <w:ind w:firstLine="200" w:firstLineChars="200"/>
      <w:jc w:val="both"/>
    </w:pPr>
    <w:rPr>
      <w:rFonts w:hAnsi="方正宋三简体" w:cs="Times New Roman"/>
      <w:sz w:val="27"/>
      <w:szCs w:val="27"/>
      <w:lang w:val="en-US" w:bidi="ar-SA"/>
    </w:rPr>
  </w:style>
  <w:style w:type="character" w:customStyle="1" w:styleId="327">
    <w:name w:val="Char Char Char Char11"/>
    <w:qFormat/>
    <w:uiPriority w:val="0"/>
    <w:rPr>
      <w:rFonts w:hint="eastAsia" w:ascii="宋体" w:hAnsi="Courier New" w:eastAsia="宋体" w:cs="Courier New"/>
      <w:sz w:val="21"/>
      <w:szCs w:val="21"/>
      <w:lang w:val="en-US" w:eastAsia="zh-CN" w:bidi="ar-SA"/>
    </w:rPr>
  </w:style>
  <w:style w:type="character" w:customStyle="1" w:styleId="328">
    <w:name w:val="body text 1 Char Char Char"/>
    <w:link w:val="329"/>
    <w:qFormat/>
    <w:uiPriority w:val="0"/>
    <w:rPr>
      <w:snapToGrid w:val="0"/>
      <w:kern w:val="2"/>
      <w:sz w:val="24"/>
      <w:szCs w:val="24"/>
    </w:rPr>
  </w:style>
  <w:style w:type="paragraph" w:customStyle="1" w:styleId="329">
    <w:name w:val="body text 1"/>
    <w:basedOn w:val="273"/>
    <w:link w:val="328"/>
    <w:qFormat/>
    <w:uiPriority w:val="0"/>
    <w:pPr>
      <w:tabs>
        <w:tab w:val="clear" w:pos="567"/>
      </w:tabs>
      <w:spacing w:line="360" w:lineRule="auto"/>
      <w:ind w:left="0" w:firstLine="475"/>
    </w:pPr>
    <w:rPr>
      <w:rFonts w:ascii="Times New Roman"/>
      <w:snapToGrid w:val="0"/>
      <w:szCs w:val="24"/>
    </w:rPr>
  </w:style>
  <w:style w:type="character" w:customStyle="1" w:styleId="330">
    <w:name w:val="bt Char1"/>
    <w:qFormat/>
    <w:uiPriority w:val="0"/>
    <w:rPr>
      <w:kern w:val="2"/>
      <w:sz w:val="21"/>
      <w:szCs w:val="22"/>
    </w:rPr>
  </w:style>
  <w:style w:type="character" w:customStyle="1" w:styleId="331">
    <w:name w:val="bds_more2"/>
    <w:basedOn w:val="83"/>
    <w:qFormat/>
    <w:uiPriority w:val="0"/>
  </w:style>
  <w:style w:type="character" w:customStyle="1" w:styleId="332">
    <w:name w:val="font191"/>
    <w:qFormat/>
    <w:uiPriority w:val="0"/>
    <w:rPr>
      <w:rFonts w:hint="default" w:ascii="Times New Roman" w:hAnsi="Times New Roman" w:cs="Times New Roman"/>
      <w:b/>
      <w:bCs/>
      <w:color w:val="000000"/>
      <w:sz w:val="22"/>
      <w:szCs w:val="22"/>
      <w:u w:val="none"/>
    </w:rPr>
  </w:style>
  <w:style w:type="character" w:customStyle="1" w:styleId="333">
    <w:name w:val="样式 德胜表格内容 + 紧缩量  0.6 磅 Char Char"/>
    <w:basedOn w:val="334"/>
    <w:link w:val="336"/>
    <w:qFormat/>
    <w:uiPriority w:val="0"/>
    <w:rPr>
      <w:snapToGrid w:val="0"/>
      <w:color w:val="0000FF"/>
      <w:szCs w:val="21"/>
    </w:rPr>
  </w:style>
  <w:style w:type="character" w:customStyle="1" w:styleId="334">
    <w:name w:val="德胜表格内容 Char Char"/>
    <w:link w:val="335"/>
    <w:qFormat/>
    <w:uiPriority w:val="0"/>
    <w:rPr>
      <w:snapToGrid w:val="0"/>
      <w:color w:val="0000FF"/>
      <w:szCs w:val="21"/>
    </w:rPr>
  </w:style>
  <w:style w:type="paragraph" w:customStyle="1" w:styleId="335">
    <w:name w:val="德胜表格内容"/>
    <w:basedOn w:val="1"/>
    <w:link w:val="334"/>
    <w:qFormat/>
    <w:uiPriority w:val="0"/>
    <w:pPr>
      <w:autoSpaceDE/>
      <w:autoSpaceDN/>
      <w:adjustRightInd w:val="0"/>
      <w:snapToGrid w:val="0"/>
      <w:jc w:val="center"/>
    </w:pPr>
    <w:rPr>
      <w:rFonts w:ascii="Times New Roman" w:hAnsi="Times New Roman" w:cs="Times New Roman"/>
      <w:snapToGrid w:val="0"/>
      <w:color w:val="0000FF"/>
      <w:sz w:val="20"/>
      <w:szCs w:val="21"/>
      <w:lang w:val="en-US" w:bidi="ar-SA"/>
    </w:rPr>
  </w:style>
  <w:style w:type="paragraph" w:customStyle="1" w:styleId="336">
    <w:name w:val="样式 德胜表格内容 + 紧缩量  0.6 磅"/>
    <w:basedOn w:val="335"/>
    <w:link w:val="333"/>
    <w:qFormat/>
    <w:uiPriority w:val="0"/>
  </w:style>
  <w:style w:type="character" w:customStyle="1" w:styleId="337">
    <w:name w:val="sidecatalog-index1"/>
    <w:qFormat/>
    <w:uiPriority w:val="0"/>
    <w:rPr>
      <w:rFonts w:ascii="Arial" w:hAnsi="Arial" w:cs="Arial"/>
      <w:b/>
      <w:color w:val="999999"/>
      <w:sz w:val="21"/>
      <w:szCs w:val="21"/>
    </w:rPr>
  </w:style>
  <w:style w:type="character" w:customStyle="1" w:styleId="338">
    <w:name w:val="font-family:times"/>
    <w:basedOn w:val="83"/>
    <w:qFormat/>
    <w:uiPriority w:val="0"/>
  </w:style>
  <w:style w:type="character" w:customStyle="1" w:styleId="339">
    <w:name w:val="bds_more1"/>
    <w:basedOn w:val="83"/>
    <w:qFormat/>
    <w:uiPriority w:val="0"/>
  </w:style>
  <w:style w:type="character" w:customStyle="1" w:styleId="340">
    <w:name w:val="Table Head Char Char"/>
    <w:link w:val="341"/>
    <w:qFormat/>
    <w:uiPriority w:val="0"/>
    <w:rPr>
      <w:rFonts w:ascii="Arial" w:hAnsi="Arial" w:eastAsia="仿宋_GB2312"/>
      <w:b/>
      <w:sz w:val="18"/>
      <w:szCs w:val="24"/>
    </w:rPr>
  </w:style>
  <w:style w:type="paragraph" w:customStyle="1" w:styleId="341">
    <w:name w:val="Table Head"/>
    <w:basedOn w:val="1"/>
    <w:next w:val="1"/>
    <w:link w:val="340"/>
    <w:qFormat/>
    <w:uiPriority w:val="0"/>
    <w:pPr>
      <w:autoSpaceDE/>
      <w:autoSpaceDN/>
      <w:spacing w:before="80" w:after="80"/>
      <w:jc w:val="center"/>
    </w:pPr>
    <w:rPr>
      <w:rFonts w:ascii="Arial" w:hAnsi="Arial" w:eastAsia="仿宋_GB2312" w:cs="Times New Roman"/>
      <w:b/>
      <w:sz w:val="18"/>
      <w:szCs w:val="24"/>
      <w:lang w:val="en-US" w:bidi="ar-SA"/>
    </w:rPr>
  </w:style>
  <w:style w:type="character" w:customStyle="1" w:styleId="342">
    <w:name w:val="css-text3"/>
    <w:basedOn w:val="83"/>
    <w:qFormat/>
    <w:uiPriority w:val="0"/>
  </w:style>
  <w:style w:type="character" w:customStyle="1" w:styleId="343">
    <w:name w:val="正文11 Char Char1"/>
    <w:qFormat/>
    <w:uiPriority w:val="0"/>
    <w:rPr>
      <w:rFonts w:ascii="宋体" w:hAnsi="宋体" w:eastAsia="宋体"/>
      <w:snapToGrid w:val="0"/>
      <w:sz w:val="24"/>
      <w:szCs w:val="24"/>
      <w:lang w:val="en-US" w:eastAsia="zh-CN" w:bidi="ar-SA"/>
    </w:rPr>
  </w:style>
  <w:style w:type="character" w:customStyle="1" w:styleId="344">
    <w:name w:val="Normal Char Char"/>
    <w:link w:val="345"/>
    <w:qFormat/>
    <w:uiPriority w:val="0"/>
    <w:rPr>
      <w:rFonts w:ascii="宋体"/>
      <w:kern w:val="2"/>
      <w:sz w:val="34"/>
      <w:szCs w:val="22"/>
    </w:rPr>
  </w:style>
  <w:style w:type="paragraph" w:customStyle="1" w:styleId="345">
    <w:name w:val="正文2"/>
    <w:link w:val="344"/>
    <w:qFormat/>
    <w:uiPriority w:val="0"/>
    <w:pPr>
      <w:widowControl w:val="0"/>
      <w:adjustRightInd w:val="0"/>
      <w:spacing w:line="360" w:lineRule="atLeast"/>
      <w:textAlignment w:val="baseline"/>
    </w:pPr>
    <w:rPr>
      <w:rFonts w:ascii="宋体" w:hAnsi="Times New Roman" w:eastAsia="宋体" w:cs="Times New Roman"/>
      <w:kern w:val="2"/>
      <w:sz w:val="34"/>
      <w:szCs w:val="22"/>
      <w:lang w:val="en-US" w:eastAsia="zh-CN" w:bidi="ar-SA"/>
    </w:rPr>
  </w:style>
  <w:style w:type="character" w:customStyle="1" w:styleId="346">
    <w:name w:val="Char Char131"/>
    <w:qFormat/>
    <w:uiPriority w:val="0"/>
    <w:rPr>
      <w:sz w:val="18"/>
      <w:szCs w:val="18"/>
    </w:rPr>
  </w:style>
  <w:style w:type="character" w:customStyle="1" w:styleId="347">
    <w:name w:val="标题 1 Char1 Char"/>
    <w:qFormat/>
    <w:uiPriority w:val="0"/>
    <w:rPr>
      <w:rFonts w:ascii="宋体" w:hAnsi="宋体"/>
      <w:b/>
      <w:kern w:val="44"/>
      <w:sz w:val="44"/>
      <w:szCs w:val="30"/>
    </w:rPr>
  </w:style>
  <w:style w:type="character" w:customStyle="1" w:styleId="348">
    <w:name w:val="表13.9 Char Char"/>
    <w:link w:val="349"/>
    <w:qFormat/>
    <w:uiPriority w:val="0"/>
    <w:rPr>
      <w:rFonts w:ascii="黑体" w:eastAsia="黑体"/>
      <w:b/>
      <w:sz w:val="24"/>
      <w:szCs w:val="24"/>
    </w:rPr>
  </w:style>
  <w:style w:type="paragraph" w:customStyle="1" w:styleId="349">
    <w:name w:val="表13.9"/>
    <w:basedOn w:val="1"/>
    <w:link w:val="348"/>
    <w:qFormat/>
    <w:uiPriority w:val="0"/>
    <w:pPr>
      <w:tabs>
        <w:tab w:val="left" w:pos="4080"/>
        <w:tab w:val="right" w:pos="8261"/>
      </w:tabs>
      <w:suppressAutoHyphens/>
      <w:autoSpaceDE/>
      <w:autoSpaceDN/>
      <w:adjustRightInd w:val="0"/>
      <w:spacing w:before="240" w:line="0" w:lineRule="atLeast"/>
      <w:ind w:left="3420" w:hanging="420"/>
      <w:jc w:val="both"/>
    </w:pPr>
    <w:rPr>
      <w:rFonts w:ascii="黑体" w:hAnsi="Times New Roman" w:eastAsia="黑体" w:cs="Times New Roman"/>
      <w:b/>
      <w:sz w:val="24"/>
      <w:szCs w:val="24"/>
      <w:lang w:val="en-US" w:bidi="ar-SA"/>
    </w:rPr>
  </w:style>
  <w:style w:type="character" w:customStyle="1" w:styleId="350">
    <w:name w:val="question-title2"/>
    <w:basedOn w:val="83"/>
    <w:qFormat/>
    <w:uiPriority w:val="0"/>
  </w:style>
  <w:style w:type="character" w:customStyle="1" w:styleId="351">
    <w:name w:val="表格内容1 Char"/>
    <w:qFormat/>
    <w:uiPriority w:val="0"/>
    <w:rPr>
      <w:rFonts w:ascii="仿宋" w:hAnsi="仿宋" w:eastAsia="仿宋"/>
      <w:kern w:val="2"/>
      <w:sz w:val="21"/>
      <w:szCs w:val="21"/>
    </w:rPr>
  </w:style>
  <w:style w:type="character" w:customStyle="1" w:styleId="352">
    <w:name w:val="Char Char19"/>
    <w:qFormat/>
    <w:uiPriority w:val="0"/>
    <w:rPr>
      <w:rFonts w:eastAsia="黑体"/>
      <w:kern w:val="2"/>
      <w:sz w:val="24"/>
      <w:szCs w:val="24"/>
      <w:lang w:val="en-US" w:eastAsia="zh-CN" w:bidi="ar-SA"/>
    </w:rPr>
  </w:style>
  <w:style w:type="character" w:customStyle="1" w:styleId="353">
    <w:name w:val="Char Char251"/>
    <w:qFormat/>
    <w:uiPriority w:val="0"/>
    <w:rPr>
      <w:rFonts w:ascii="宋体" w:eastAsia="宋体"/>
      <w:color w:val="000000"/>
      <w:sz w:val="36"/>
      <w:lang w:val="en-US" w:eastAsia="zh-CN" w:bidi="ar-SA"/>
    </w:rPr>
  </w:style>
  <w:style w:type="character" w:customStyle="1" w:styleId="354">
    <w:name w:val="批注框文本 Char Char"/>
    <w:qFormat/>
    <w:uiPriority w:val="0"/>
    <w:rPr>
      <w:rFonts w:ascii="Times New Roman" w:hAnsi="Times New Roman" w:eastAsia="宋体" w:cs="Times New Roman"/>
      <w:sz w:val="18"/>
      <w:szCs w:val="18"/>
    </w:rPr>
  </w:style>
  <w:style w:type="paragraph" w:customStyle="1" w:styleId="355">
    <w:name w:val="正文文本缩进1"/>
    <w:basedOn w:val="1"/>
    <w:qFormat/>
    <w:uiPriority w:val="0"/>
    <w:pPr>
      <w:autoSpaceDE/>
      <w:autoSpaceDN/>
      <w:ind w:firstLine="574"/>
      <w:jc w:val="both"/>
    </w:pPr>
    <w:rPr>
      <w:rFonts w:ascii="Times New Roman" w:hAnsi="Times New Roman" w:cs="Times New Roman"/>
      <w:sz w:val="20"/>
      <w:szCs w:val="24"/>
      <w:lang w:val="en-US" w:bidi="ar-SA"/>
    </w:rPr>
  </w:style>
  <w:style w:type="character" w:customStyle="1" w:styleId="356">
    <w:name w:val="签名 Char1"/>
    <w:semiHidden/>
    <w:qFormat/>
    <w:uiPriority w:val="99"/>
    <w:rPr>
      <w:rFonts w:ascii="Calibri" w:hAnsi="Calibri" w:eastAsia="宋体" w:cs="Times New Roman"/>
    </w:rPr>
  </w:style>
  <w:style w:type="character" w:customStyle="1" w:styleId="357">
    <w:name w:val="标题3.5 Char Char"/>
    <w:link w:val="358"/>
    <w:qFormat/>
    <w:uiPriority w:val="0"/>
    <w:rPr>
      <w:rFonts w:ascii="仿宋_GB2312" w:eastAsia="黑体"/>
      <w:b/>
      <w:sz w:val="28"/>
      <w:szCs w:val="32"/>
    </w:rPr>
  </w:style>
  <w:style w:type="paragraph" w:customStyle="1" w:styleId="358">
    <w:name w:val="标题3.5"/>
    <w:basedOn w:val="359"/>
    <w:next w:val="360"/>
    <w:link w:val="357"/>
    <w:qFormat/>
    <w:uiPriority w:val="0"/>
    <w:pPr>
      <w:spacing w:beforeLines="100"/>
    </w:pPr>
    <w:rPr>
      <w:rFonts w:hAnsi="Times New Roman"/>
    </w:rPr>
  </w:style>
  <w:style w:type="paragraph" w:customStyle="1" w:styleId="359">
    <w:name w:val="标题3"/>
    <w:basedOn w:val="1"/>
    <w:next w:val="1"/>
    <w:link w:val="361"/>
    <w:qFormat/>
    <w:uiPriority w:val="0"/>
    <w:pPr>
      <w:topLinePunct/>
      <w:autoSpaceDE/>
      <w:autoSpaceDN/>
      <w:spacing w:line="360" w:lineRule="auto"/>
      <w:outlineLvl w:val="2"/>
    </w:pPr>
    <w:rPr>
      <w:rFonts w:ascii="仿宋_GB2312" w:hAnsi="Calibri" w:eastAsia="黑体" w:cs="Times New Roman"/>
      <w:b/>
      <w:sz w:val="28"/>
      <w:szCs w:val="32"/>
      <w:lang w:val="en-US" w:bidi="ar-SA"/>
    </w:rPr>
  </w:style>
  <w:style w:type="paragraph" w:customStyle="1" w:styleId="360">
    <w:name w:val="环评正文"/>
    <w:basedOn w:val="1"/>
    <w:next w:val="1"/>
    <w:link w:val="362"/>
    <w:qFormat/>
    <w:uiPriority w:val="0"/>
    <w:pPr>
      <w:widowControl/>
      <w:autoSpaceDE/>
      <w:autoSpaceDN/>
      <w:spacing w:line="360" w:lineRule="auto"/>
      <w:ind w:firstLine="200" w:firstLineChars="200"/>
    </w:pPr>
    <w:rPr>
      <w:rFonts w:ascii="仿宋_GB2312" w:hAnsi="Times New Roman" w:eastAsia="仿宋_GB2312"/>
      <w:sz w:val="28"/>
      <w:szCs w:val="20"/>
      <w:lang w:val="en-US" w:bidi="ar-SA"/>
    </w:rPr>
  </w:style>
  <w:style w:type="character" w:customStyle="1" w:styleId="361">
    <w:name w:val="标题3 Char Char"/>
    <w:link w:val="359"/>
    <w:qFormat/>
    <w:uiPriority w:val="0"/>
    <w:rPr>
      <w:rFonts w:ascii="仿宋_GB2312" w:hAnsi="Calibri" w:eastAsia="黑体"/>
      <w:b/>
      <w:sz w:val="28"/>
      <w:szCs w:val="32"/>
    </w:rPr>
  </w:style>
  <w:style w:type="character" w:customStyle="1" w:styleId="362">
    <w:name w:val="环评正文 Char Char"/>
    <w:link w:val="360"/>
    <w:qFormat/>
    <w:uiPriority w:val="0"/>
    <w:rPr>
      <w:rFonts w:ascii="仿宋_GB2312" w:eastAsia="仿宋_GB2312" w:cs="宋体"/>
      <w:sz w:val="28"/>
    </w:rPr>
  </w:style>
  <w:style w:type="character" w:customStyle="1" w:styleId="363">
    <w:name w:val="正文文本缩进 3 Char1"/>
    <w:qFormat/>
    <w:uiPriority w:val="0"/>
    <w:rPr>
      <w:rFonts w:ascii="Calibri" w:hAnsi="Calibri" w:eastAsia="宋体" w:cs="Times New Roman"/>
      <w:sz w:val="16"/>
      <w:szCs w:val="16"/>
    </w:rPr>
  </w:style>
  <w:style w:type="character" w:customStyle="1" w:styleId="364">
    <w:name w:val="span1"/>
    <w:basedOn w:val="83"/>
    <w:qFormat/>
    <w:uiPriority w:val="0"/>
  </w:style>
  <w:style w:type="character" w:customStyle="1" w:styleId="365">
    <w:name w:val="Char Char21"/>
    <w:qFormat/>
    <w:uiPriority w:val="0"/>
    <w:rPr>
      <w:rFonts w:eastAsia="宋体"/>
      <w:kern w:val="2"/>
      <w:sz w:val="21"/>
      <w:szCs w:val="24"/>
      <w:lang w:val="en-US" w:eastAsia="zh-CN" w:bidi="ar-SA"/>
    </w:rPr>
  </w:style>
  <w:style w:type="character" w:customStyle="1" w:styleId="366">
    <w:name w:val="表4.10 Char Char"/>
    <w:link w:val="367"/>
    <w:qFormat/>
    <w:uiPriority w:val="99"/>
    <w:rPr>
      <w:rFonts w:ascii="黑体" w:eastAsia="黑体" w:cs="宋体"/>
      <w:b/>
      <w:bCs/>
      <w:color w:val="000000"/>
      <w:spacing w:val="6"/>
      <w:kern w:val="2"/>
      <w:sz w:val="24"/>
      <w:szCs w:val="24"/>
    </w:rPr>
  </w:style>
  <w:style w:type="paragraph" w:customStyle="1" w:styleId="367">
    <w:name w:val="表4.10"/>
    <w:basedOn w:val="1"/>
    <w:link w:val="366"/>
    <w:qFormat/>
    <w:uiPriority w:val="99"/>
    <w:pPr>
      <w:tabs>
        <w:tab w:val="left" w:pos="726"/>
        <w:tab w:val="center" w:pos="4060"/>
        <w:tab w:val="right" w:pos="8261"/>
      </w:tabs>
      <w:suppressAutoHyphens/>
      <w:autoSpaceDE/>
      <w:autoSpaceDN/>
      <w:adjustRightInd w:val="0"/>
      <w:spacing w:beforeLines="100" w:line="0" w:lineRule="atLeast"/>
      <w:ind w:left="2" w:firstLine="4"/>
      <w:jc w:val="center"/>
    </w:pPr>
    <w:rPr>
      <w:rFonts w:ascii="黑体" w:hAnsi="Times New Roman" w:eastAsia="黑体"/>
      <w:b/>
      <w:bCs/>
      <w:color w:val="000000"/>
      <w:spacing w:val="6"/>
      <w:kern w:val="2"/>
      <w:sz w:val="24"/>
      <w:szCs w:val="24"/>
      <w:lang w:val="en-US" w:bidi="ar-SA"/>
    </w:rPr>
  </w:style>
  <w:style w:type="character" w:customStyle="1" w:styleId="368">
    <w:name w:val="样式 尾注引用"/>
    <w:qFormat/>
    <w:uiPriority w:val="0"/>
    <w:rPr>
      <w:rFonts w:ascii="Times New Roman" w:hAnsi="Times New Roman" w:eastAsia="宋体"/>
      <w:sz w:val="24"/>
      <w:szCs w:val="28"/>
      <w:vertAlign w:val="superscript"/>
    </w:rPr>
  </w:style>
  <w:style w:type="character" w:customStyle="1" w:styleId="369">
    <w:name w:val="表格备注 Char"/>
    <w:link w:val="370"/>
    <w:qFormat/>
    <w:uiPriority w:val="0"/>
    <w:rPr>
      <w:rFonts w:eastAsia="仿宋_GB2312"/>
    </w:rPr>
  </w:style>
  <w:style w:type="paragraph" w:customStyle="1" w:styleId="370">
    <w:name w:val="表格备注"/>
    <w:basedOn w:val="1"/>
    <w:link w:val="369"/>
    <w:qFormat/>
    <w:uiPriority w:val="0"/>
    <w:pPr>
      <w:autoSpaceDE/>
      <w:autoSpaceDN/>
      <w:adjustRightInd w:val="0"/>
      <w:snapToGrid w:val="0"/>
      <w:ind w:firstLine="200" w:firstLineChars="200"/>
      <w:jc w:val="both"/>
    </w:pPr>
    <w:rPr>
      <w:rFonts w:ascii="Times New Roman" w:hAnsi="Times New Roman" w:eastAsia="仿宋_GB2312" w:cs="Times New Roman"/>
      <w:sz w:val="20"/>
      <w:szCs w:val="20"/>
      <w:lang w:val="en-US" w:bidi="ar-SA"/>
    </w:rPr>
  </w:style>
  <w:style w:type="character" w:customStyle="1" w:styleId="371">
    <w:name w:val="表题 Char1"/>
    <w:link w:val="372"/>
    <w:qFormat/>
    <w:uiPriority w:val="0"/>
    <w:rPr>
      <w:rFonts w:ascii="仿宋_GB2312"/>
      <w:b/>
      <w:sz w:val="24"/>
      <w:szCs w:val="28"/>
    </w:rPr>
  </w:style>
  <w:style w:type="paragraph" w:customStyle="1" w:styleId="372">
    <w:name w:val="表题"/>
    <w:basedOn w:val="1"/>
    <w:link w:val="371"/>
    <w:qFormat/>
    <w:uiPriority w:val="0"/>
    <w:pPr>
      <w:tabs>
        <w:tab w:val="left" w:pos="0"/>
      </w:tabs>
      <w:autoSpaceDE/>
      <w:autoSpaceDN/>
      <w:spacing w:line="300" w:lineRule="exact"/>
      <w:ind w:firstLine="300" w:firstLineChars="300"/>
      <w:jc w:val="both"/>
    </w:pPr>
    <w:rPr>
      <w:rFonts w:ascii="仿宋_GB2312" w:hAnsi="Times New Roman" w:cs="Times New Roman"/>
      <w:b/>
      <w:sz w:val="24"/>
      <w:szCs w:val="28"/>
      <w:lang w:val="en-US" w:bidi="ar-SA"/>
    </w:rPr>
  </w:style>
  <w:style w:type="character" w:customStyle="1" w:styleId="373">
    <w:name w:val="Char Char2"/>
    <w:qFormat/>
    <w:uiPriority w:val="0"/>
    <w:rPr>
      <w:rFonts w:hint="eastAsia" w:ascii="宋体" w:hAnsi="宋体" w:eastAsia="宋体"/>
      <w:kern w:val="2"/>
      <w:sz w:val="36"/>
      <w:lang w:val="en-US" w:eastAsia="zh-CN" w:bidi="ar-SA"/>
    </w:rPr>
  </w:style>
  <w:style w:type="character" w:customStyle="1" w:styleId="374">
    <w:name w:val="正文 + 首行缩进:  2 字符 Char Char"/>
    <w:qFormat/>
    <w:uiPriority w:val="0"/>
    <w:rPr>
      <w:rFonts w:eastAsia="宋体"/>
      <w:spacing w:val="12"/>
      <w:kern w:val="2"/>
      <w:sz w:val="24"/>
      <w:lang w:val="en-US" w:eastAsia="zh-CN" w:bidi="ar-SA"/>
    </w:rPr>
  </w:style>
  <w:style w:type="character" w:customStyle="1" w:styleId="375">
    <w:name w:val="style131"/>
    <w:qFormat/>
    <w:uiPriority w:val="0"/>
    <w:rPr>
      <w:rFonts w:hint="default" w:ascii="Arial" w:hAnsi="Arial" w:cs="Arial"/>
      <w:sz w:val="18"/>
      <w:szCs w:val="18"/>
    </w:rPr>
  </w:style>
  <w:style w:type="character" w:customStyle="1" w:styleId="376">
    <w:name w:val="bgbt Char Char"/>
    <w:link w:val="377"/>
    <w:semiHidden/>
    <w:qFormat/>
    <w:uiPriority w:val="0"/>
    <w:rPr>
      <w:rFonts w:ascii="黑体" w:eastAsia="黑体"/>
      <w:sz w:val="24"/>
    </w:rPr>
  </w:style>
  <w:style w:type="paragraph" w:customStyle="1" w:styleId="377">
    <w:name w:val="bgbt"/>
    <w:basedOn w:val="1"/>
    <w:link w:val="376"/>
    <w:semiHidden/>
    <w:qFormat/>
    <w:uiPriority w:val="0"/>
    <w:pPr>
      <w:autoSpaceDE/>
      <w:autoSpaceDN/>
      <w:jc w:val="center"/>
    </w:pPr>
    <w:rPr>
      <w:rFonts w:ascii="黑体" w:hAnsi="Times New Roman" w:eastAsia="黑体" w:cs="Times New Roman"/>
      <w:sz w:val="24"/>
      <w:szCs w:val="20"/>
      <w:lang w:val="en-US" w:bidi="ar-SA"/>
    </w:rPr>
  </w:style>
  <w:style w:type="character" w:customStyle="1" w:styleId="378">
    <w:name w:val="st"/>
    <w:basedOn w:val="83"/>
    <w:qFormat/>
    <w:uiPriority w:val="0"/>
  </w:style>
  <w:style w:type="character" w:customStyle="1" w:styleId="379">
    <w:name w:val="标题1.1.1.1.1 Char"/>
    <w:qFormat/>
    <w:uiPriority w:val="0"/>
    <w:rPr>
      <w:b/>
      <w:bCs/>
      <w:kern w:val="2"/>
      <w:sz w:val="28"/>
      <w:szCs w:val="28"/>
    </w:rPr>
  </w:style>
  <w:style w:type="character" w:customStyle="1" w:styleId="380">
    <w:name w:val="表格文字 Char Char Char"/>
    <w:qFormat/>
    <w:uiPriority w:val="0"/>
    <w:rPr>
      <w:rFonts w:eastAsia="宋体"/>
      <w:kern w:val="2"/>
      <w:sz w:val="21"/>
      <w:lang w:val="en-US" w:eastAsia="zh-CN" w:bidi="ar-SA"/>
    </w:rPr>
  </w:style>
  <w:style w:type="character" w:customStyle="1" w:styleId="381">
    <w:name w:val="11 Char Char"/>
    <w:link w:val="382"/>
    <w:qFormat/>
    <w:uiPriority w:val="0"/>
    <w:rPr>
      <w:rFonts w:ascii="仿宋_GB2312" w:eastAsia="仿宋_GB2312"/>
      <w:color w:val="0000FF"/>
      <w:sz w:val="24"/>
      <w:szCs w:val="24"/>
    </w:rPr>
  </w:style>
  <w:style w:type="paragraph" w:customStyle="1" w:styleId="382">
    <w:name w:val="11"/>
    <w:basedOn w:val="31"/>
    <w:link w:val="381"/>
    <w:qFormat/>
    <w:uiPriority w:val="0"/>
    <w:pPr>
      <w:adjustRightInd w:val="0"/>
      <w:spacing w:line="360" w:lineRule="auto"/>
      <w:ind w:firstLine="480" w:firstLineChars="200"/>
      <w:textAlignment w:val="baseline"/>
    </w:pPr>
    <w:rPr>
      <w:rFonts w:ascii="仿宋_GB2312" w:hAnsi="Times New Roman" w:eastAsia="仿宋_GB2312" w:cs="Times New Roman"/>
      <w:color w:val="0000FF"/>
      <w:sz w:val="24"/>
      <w:szCs w:val="24"/>
      <w:lang w:val="en-US" w:bidi="ar-SA"/>
    </w:rPr>
  </w:style>
  <w:style w:type="character" w:customStyle="1" w:styleId="383">
    <w:name w:val="Char21"/>
    <w:qFormat/>
    <w:uiPriority w:val="0"/>
    <w:rPr>
      <w:rFonts w:hint="eastAsia" w:ascii="宋体" w:hAnsi="宋体" w:eastAsia="宋体"/>
      <w:b/>
      <w:bCs/>
      <w:kern w:val="44"/>
      <w:sz w:val="44"/>
      <w:szCs w:val="44"/>
      <w:lang w:val="en-US" w:eastAsia="zh-CN" w:bidi="ar-SA"/>
    </w:rPr>
  </w:style>
  <w:style w:type="character" w:customStyle="1" w:styleId="384">
    <w:name w:val="样式 首行缩进:  2 字符 Char Char"/>
    <w:link w:val="385"/>
    <w:qFormat/>
    <w:uiPriority w:val="0"/>
    <w:rPr>
      <w:rFonts w:ascii="宋体" w:cs="宋体"/>
      <w:sz w:val="28"/>
      <w:szCs w:val="28"/>
    </w:rPr>
  </w:style>
  <w:style w:type="paragraph" w:customStyle="1" w:styleId="385">
    <w:name w:val="样式 首行缩进:  2 字符"/>
    <w:basedOn w:val="1"/>
    <w:link w:val="384"/>
    <w:qFormat/>
    <w:uiPriority w:val="0"/>
    <w:pPr>
      <w:autoSpaceDE/>
      <w:autoSpaceDN/>
      <w:spacing w:line="440" w:lineRule="exact"/>
      <w:ind w:firstLine="200" w:firstLineChars="200"/>
      <w:jc w:val="both"/>
    </w:pPr>
    <w:rPr>
      <w:rFonts w:hAnsi="Times New Roman"/>
      <w:sz w:val="28"/>
      <w:szCs w:val="28"/>
      <w:lang w:val="en-US" w:bidi="ar-SA"/>
    </w:rPr>
  </w:style>
  <w:style w:type="character" w:customStyle="1" w:styleId="386">
    <w:name w:val="标题 3 Char"/>
    <w:qFormat/>
    <w:uiPriority w:val="9"/>
    <w:rPr>
      <w:rFonts w:ascii="Calibri" w:hAnsi="Calibri" w:eastAsia="宋体" w:cs="Times New Roman"/>
      <w:b/>
      <w:bCs/>
      <w:sz w:val="32"/>
      <w:szCs w:val="32"/>
    </w:rPr>
  </w:style>
  <w:style w:type="character" w:customStyle="1" w:styleId="387">
    <w:name w:val="款 Char Char"/>
    <w:qFormat/>
    <w:uiPriority w:val="0"/>
    <w:rPr>
      <w:rFonts w:ascii="Arial" w:hAnsi="Arial" w:eastAsia="宋体" w:cs="Times New Roman"/>
      <w:b/>
      <w:bCs/>
      <w:sz w:val="24"/>
      <w:szCs w:val="28"/>
    </w:rPr>
  </w:style>
  <w:style w:type="character" w:customStyle="1" w:styleId="388">
    <w:name w:val="批注框文本 Char1"/>
    <w:qFormat/>
    <w:uiPriority w:val="0"/>
    <w:rPr>
      <w:rFonts w:ascii="Calibri" w:hAnsi="Calibri" w:eastAsia="宋体" w:cs="Times New Roman"/>
      <w:sz w:val="18"/>
      <w:szCs w:val="18"/>
    </w:rPr>
  </w:style>
  <w:style w:type="character" w:customStyle="1" w:styleId="389">
    <w:name w:val="赵一级标题 Char Char"/>
    <w:link w:val="390"/>
    <w:qFormat/>
    <w:uiPriority w:val="0"/>
    <w:rPr>
      <w:b/>
      <w:bCs/>
      <w:kern w:val="2"/>
      <w:sz w:val="24"/>
      <w:szCs w:val="24"/>
    </w:rPr>
  </w:style>
  <w:style w:type="paragraph" w:customStyle="1" w:styleId="390">
    <w:name w:val="赵一级标题"/>
    <w:basedOn w:val="1"/>
    <w:link w:val="389"/>
    <w:qFormat/>
    <w:uiPriority w:val="0"/>
    <w:pPr>
      <w:autoSpaceDE/>
      <w:autoSpaceDN/>
      <w:jc w:val="both"/>
    </w:pPr>
    <w:rPr>
      <w:rFonts w:ascii="Times New Roman" w:hAnsi="Times New Roman" w:cs="Times New Roman"/>
      <w:b/>
      <w:bCs/>
      <w:kern w:val="2"/>
      <w:sz w:val="24"/>
      <w:szCs w:val="24"/>
      <w:lang w:val="en-US" w:bidi="ar-SA"/>
    </w:rPr>
  </w:style>
  <w:style w:type="character" w:customStyle="1" w:styleId="391">
    <w:name w:val="BG Char Char"/>
    <w:link w:val="392"/>
    <w:semiHidden/>
    <w:qFormat/>
    <w:uiPriority w:val="0"/>
  </w:style>
  <w:style w:type="paragraph" w:customStyle="1" w:styleId="392">
    <w:name w:val="BG"/>
    <w:basedOn w:val="1"/>
    <w:link w:val="391"/>
    <w:semiHidden/>
    <w:qFormat/>
    <w:uiPriority w:val="0"/>
    <w:pPr>
      <w:autoSpaceDE/>
      <w:autoSpaceDN/>
      <w:adjustRightInd w:val="0"/>
      <w:snapToGrid w:val="0"/>
      <w:jc w:val="center"/>
    </w:pPr>
    <w:rPr>
      <w:rFonts w:ascii="Times New Roman" w:hAnsi="Times New Roman" w:cs="Times New Roman"/>
      <w:sz w:val="20"/>
      <w:szCs w:val="20"/>
      <w:lang w:val="en-US" w:bidi="ar-SA"/>
    </w:rPr>
  </w:style>
  <w:style w:type="character" w:customStyle="1" w:styleId="393">
    <w:name w:val="grame"/>
    <w:basedOn w:val="83"/>
    <w:qFormat/>
    <w:uiPriority w:val="0"/>
  </w:style>
  <w:style w:type="character" w:customStyle="1" w:styleId="394">
    <w:name w:val="Char Char181"/>
    <w:qFormat/>
    <w:uiPriority w:val="0"/>
    <w:rPr>
      <w:rFonts w:eastAsia="宋体"/>
      <w:kern w:val="2"/>
      <w:sz w:val="24"/>
      <w:szCs w:val="24"/>
      <w:lang w:val="en-US" w:eastAsia="zh-CN" w:bidi="ar-SA"/>
    </w:rPr>
  </w:style>
  <w:style w:type="character" w:customStyle="1" w:styleId="395">
    <w:name w:val="正文1 Char Char Char"/>
    <w:qFormat/>
    <w:locked/>
    <w:uiPriority w:val="0"/>
    <w:rPr>
      <w:rFonts w:ascii="仿宋_GB2312" w:hAnsi="Times New Roman" w:eastAsia="仿宋_GB2312"/>
      <w:kern w:val="2"/>
      <w:sz w:val="28"/>
      <w:szCs w:val="28"/>
    </w:rPr>
  </w:style>
  <w:style w:type="character" w:customStyle="1" w:styleId="396">
    <w:name w:val="1.1.1标题 3 Char"/>
    <w:qFormat/>
    <w:uiPriority w:val="0"/>
    <w:rPr>
      <w:rFonts w:eastAsia="宋体"/>
      <w:spacing w:val="8"/>
      <w:kern w:val="2"/>
      <w:sz w:val="24"/>
      <w:lang w:bidi="ar-SA"/>
    </w:rPr>
  </w:style>
  <w:style w:type="character" w:customStyle="1" w:styleId="397">
    <w:name w:val="环评正文2 Char Char"/>
    <w:link w:val="398"/>
    <w:qFormat/>
    <w:uiPriority w:val="0"/>
    <w:rPr>
      <w:rFonts w:ascii="宋体" w:hAnsi="宋体" w:eastAsia="仿宋_GB2312"/>
      <w:color w:val="000000"/>
      <w:kern w:val="16"/>
      <w:sz w:val="24"/>
      <w:szCs w:val="24"/>
    </w:rPr>
  </w:style>
  <w:style w:type="paragraph" w:customStyle="1" w:styleId="398">
    <w:name w:val="环评正文2"/>
    <w:basedOn w:val="1"/>
    <w:link w:val="397"/>
    <w:qFormat/>
    <w:uiPriority w:val="0"/>
    <w:pPr>
      <w:autoSpaceDE/>
      <w:autoSpaceDN/>
      <w:spacing w:line="360" w:lineRule="auto"/>
      <w:ind w:firstLine="200" w:firstLineChars="200"/>
      <w:jc w:val="both"/>
    </w:pPr>
    <w:rPr>
      <w:rFonts w:eastAsia="仿宋_GB2312" w:cs="Times New Roman"/>
      <w:color w:val="000000"/>
      <w:kern w:val="16"/>
      <w:sz w:val="24"/>
      <w:szCs w:val="24"/>
      <w:lang w:val="en-US" w:bidi="ar-SA"/>
    </w:rPr>
  </w:style>
  <w:style w:type="character" w:customStyle="1" w:styleId="399">
    <w:name w:val="content"/>
    <w:basedOn w:val="83"/>
    <w:qFormat/>
    <w:uiPriority w:val="0"/>
  </w:style>
  <w:style w:type="character" w:customStyle="1" w:styleId="400">
    <w:name w:val="图表标题 Char"/>
    <w:qFormat/>
    <w:uiPriority w:val="0"/>
    <w:rPr>
      <w:rFonts w:ascii="Times New Roman" w:hAnsi="Times New Roman" w:eastAsia="仿宋_GB2312" w:cs="Times New Roman"/>
      <w:color w:val="000000"/>
      <w:kern w:val="0"/>
      <w:sz w:val="24"/>
      <w:szCs w:val="21"/>
    </w:rPr>
  </w:style>
  <w:style w:type="character" w:customStyle="1" w:styleId="401">
    <w:name w:val="123YJ Char"/>
    <w:qFormat/>
    <w:uiPriority w:val="0"/>
    <w:rPr>
      <w:rFonts w:eastAsia="宋体"/>
      <w:kern w:val="2"/>
      <w:sz w:val="18"/>
      <w:szCs w:val="18"/>
      <w:lang w:val="en-US" w:eastAsia="zh-CN" w:bidi="ar-SA"/>
    </w:rPr>
  </w:style>
  <w:style w:type="character" w:customStyle="1" w:styleId="402">
    <w:name w:val="表格-题注（OPCC宋体） Char Char"/>
    <w:link w:val="403"/>
    <w:qFormat/>
    <w:uiPriority w:val="0"/>
    <w:rPr>
      <w:rFonts w:ascii="楷体_GB2312" w:eastAsia="楷体_GB2312" w:cs="宋体"/>
      <w:snapToGrid w:val="0"/>
      <w:szCs w:val="21"/>
    </w:rPr>
  </w:style>
  <w:style w:type="paragraph" w:customStyle="1" w:styleId="403">
    <w:name w:val="表格-题注（OPCC宋体）"/>
    <w:basedOn w:val="1"/>
    <w:link w:val="402"/>
    <w:qFormat/>
    <w:uiPriority w:val="0"/>
    <w:pPr>
      <w:autoSpaceDE/>
      <w:autoSpaceDN/>
      <w:spacing w:line="336" w:lineRule="auto"/>
      <w:ind w:firstLine="420" w:firstLineChars="200"/>
      <w:jc w:val="center"/>
    </w:pPr>
    <w:rPr>
      <w:rFonts w:ascii="楷体_GB2312" w:hAnsi="Times New Roman" w:eastAsia="楷体_GB2312"/>
      <w:snapToGrid w:val="0"/>
      <w:sz w:val="20"/>
      <w:szCs w:val="21"/>
      <w:lang w:val="en-US" w:bidi="ar-SA"/>
    </w:rPr>
  </w:style>
  <w:style w:type="character" w:customStyle="1" w:styleId="404">
    <w:name w:val="表内字 Char Char"/>
    <w:link w:val="405"/>
    <w:qFormat/>
    <w:uiPriority w:val="0"/>
    <w:rPr>
      <w:color w:val="000000"/>
      <w:kern w:val="2"/>
      <w:sz w:val="21"/>
      <w:szCs w:val="22"/>
    </w:rPr>
  </w:style>
  <w:style w:type="paragraph" w:customStyle="1" w:styleId="405">
    <w:name w:val="表内字"/>
    <w:link w:val="404"/>
    <w:qFormat/>
    <w:uiPriority w:val="0"/>
    <w:pPr>
      <w:spacing w:line="312" w:lineRule="auto"/>
      <w:jc w:val="center"/>
    </w:pPr>
    <w:rPr>
      <w:rFonts w:ascii="Times New Roman" w:hAnsi="Times New Roman" w:eastAsia="宋体" w:cs="Times New Roman"/>
      <w:color w:val="000000"/>
      <w:kern w:val="2"/>
      <w:sz w:val="21"/>
      <w:szCs w:val="22"/>
      <w:lang w:val="en-US" w:eastAsia="zh-CN" w:bidi="ar-SA"/>
    </w:rPr>
  </w:style>
  <w:style w:type="character" w:customStyle="1" w:styleId="406">
    <w:name w:val="st1"/>
    <w:basedOn w:val="83"/>
    <w:qFormat/>
    <w:uiPriority w:val="0"/>
  </w:style>
  <w:style w:type="character" w:customStyle="1" w:styleId="407">
    <w:name w:val="apple-style-span"/>
    <w:basedOn w:val="83"/>
    <w:qFormat/>
    <w:uiPriority w:val="0"/>
  </w:style>
  <w:style w:type="character" w:customStyle="1" w:styleId="408">
    <w:name w:val="样式 正文首行缩进 + 隶书 Char Char"/>
    <w:link w:val="409"/>
    <w:qFormat/>
    <w:uiPriority w:val="0"/>
    <w:rPr>
      <w:rFonts w:ascii="宋体" w:hAnsi="隶书"/>
      <w:color w:val="000000"/>
      <w:sz w:val="24"/>
      <w:szCs w:val="24"/>
    </w:rPr>
  </w:style>
  <w:style w:type="paragraph" w:customStyle="1" w:styleId="409">
    <w:name w:val="样式 正文首行缩进 + 隶书"/>
    <w:basedOn w:val="31"/>
    <w:link w:val="408"/>
    <w:qFormat/>
    <w:uiPriority w:val="0"/>
    <w:pPr>
      <w:autoSpaceDE/>
      <w:autoSpaceDN/>
      <w:spacing w:after="120"/>
      <w:jc w:val="both"/>
    </w:pPr>
    <w:rPr>
      <w:rFonts w:hAnsi="隶书" w:cs="Times New Roman"/>
      <w:color w:val="000000"/>
      <w:sz w:val="24"/>
      <w:szCs w:val="24"/>
      <w:lang w:val="en-US" w:bidi="ar-SA"/>
    </w:rPr>
  </w:style>
  <w:style w:type="character" w:customStyle="1" w:styleId="410">
    <w:name w:val="Char Char151"/>
    <w:qFormat/>
    <w:uiPriority w:val="0"/>
    <w:rPr>
      <w:kern w:val="2"/>
      <w:sz w:val="24"/>
      <w:lang w:bidi="ar-SA"/>
    </w:rPr>
  </w:style>
  <w:style w:type="character" w:customStyle="1" w:styleId="411">
    <w:name w:val="正文文本缩进 3 Char Char"/>
    <w:qFormat/>
    <w:uiPriority w:val="0"/>
    <w:rPr>
      <w:rFonts w:ascii="Times New Roman" w:hAnsi="Times New Roman" w:eastAsia="宋体" w:cs="Times New Roman"/>
      <w:sz w:val="24"/>
      <w:szCs w:val="20"/>
    </w:rPr>
  </w:style>
  <w:style w:type="character" w:customStyle="1" w:styleId="412">
    <w:name w:val="报告正文-连续目录 Char Char"/>
    <w:link w:val="413"/>
    <w:qFormat/>
    <w:uiPriority w:val="0"/>
    <w:rPr>
      <w:rFonts w:ascii="Arial" w:hAnsi="Arial"/>
      <w:snapToGrid w:val="0"/>
      <w:sz w:val="24"/>
      <w:szCs w:val="24"/>
    </w:rPr>
  </w:style>
  <w:style w:type="paragraph" w:customStyle="1" w:styleId="413">
    <w:name w:val="报告正文-连续目录"/>
    <w:basedOn w:val="1"/>
    <w:link w:val="412"/>
    <w:qFormat/>
    <w:uiPriority w:val="0"/>
    <w:pPr>
      <w:autoSpaceDE/>
      <w:autoSpaceDN/>
      <w:spacing w:line="440" w:lineRule="exact"/>
      <w:ind w:firstLine="200" w:firstLineChars="200"/>
      <w:jc w:val="both"/>
    </w:pPr>
    <w:rPr>
      <w:rFonts w:ascii="Arial" w:hAnsi="Arial" w:cs="Times New Roman"/>
      <w:snapToGrid w:val="0"/>
      <w:sz w:val="24"/>
      <w:szCs w:val="24"/>
      <w:lang w:val="en-US" w:bidi="ar-SA"/>
    </w:rPr>
  </w:style>
  <w:style w:type="character" w:customStyle="1" w:styleId="414">
    <w:name w:val="font41"/>
    <w:qFormat/>
    <w:uiPriority w:val="99"/>
    <w:rPr>
      <w:rFonts w:hint="default" w:ascii="Times New Roman" w:hAnsi="Times New Roman" w:cs="Times New Roman"/>
      <w:color w:val="000000"/>
      <w:sz w:val="21"/>
      <w:szCs w:val="21"/>
      <w:u w:val="none"/>
      <w:vertAlign w:val="superscript"/>
    </w:rPr>
  </w:style>
  <w:style w:type="character" w:customStyle="1" w:styleId="415">
    <w:name w:val="正文文本缩进 2 Char1"/>
    <w:qFormat/>
    <w:uiPriority w:val="0"/>
    <w:rPr>
      <w:rFonts w:ascii="Times New Roman" w:hAnsi="Times New Roman" w:eastAsia="宋体" w:cs="Times New Roman"/>
      <w:szCs w:val="24"/>
    </w:rPr>
  </w:style>
  <w:style w:type="character" w:customStyle="1" w:styleId="416">
    <w:name w:val="font-family:宋体"/>
    <w:basedOn w:val="83"/>
    <w:qFormat/>
    <w:uiPriority w:val="0"/>
  </w:style>
  <w:style w:type="character" w:customStyle="1" w:styleId="417">
    <w:name w:val="称呼 Char1"/>
    <w:semiHidden/>
    <w:qFormat/>
    <w:uiPriority w:val="99"/>
    <w:rPr>
      <w:rFonts w:ascii="Calibri" w:hAnsi="Calibri" w:eastAsia="宋体" w:cs="Times New Roman"/>
    </w:rPr>
  </w:style>
  <w:style w:type="character" w:customStyle="1" w:styleId="418">
    <w:name w:val="表格1 Char Char"/>
    <w:qFormat/>
    <w:uiPriority w:val="0"/>
    <w:rPr>
      <w:rFonts w:ascii="宋体" w:hAnsi="宋体" w:eastAsia="宋体"/>
      <w:snapToGrid w:val="0"/>
      <w:sz w:val="24"/>
      <w:szCs w:val="28"/>
      <w:lang w:bidi="ar-SA"/>
    </w:rPr>
  </w:style>
  <w:style w:type="character" w:customStyle="1" w:styleId="419">
    <w:name w:val="表格小四 Char Char"/>
    <w:link w:val="420"/>
    <w:qFormat/>
    <w:uiPriority w:val="0"/>
    <w:rPr>
      <w:rFonts w:ascii="宋体" w:hAnsi="宋体"/>
      <w:snapToGrid w:val="0"/>
      <w:sz w:val="24"/>
      <w:szCs w:val="28"/>
    </w:rPr>
  </w:style>
  <w:style w:type="paragraph" w:customStyle="1" w:styleId="420">
    <w:name w:val="表格小四"/>
    <w:basedOn w:val="1"/>
    <w:link w:val="419"/>
    <w:qFormat/>
    <w:uiPriority w:val="0"/>
    <w:pPr>
      <w:autoSpaceDE/>
      <w:autoSpaceDN/>
      <w:adjustRightInd w:val="0"/>
      <w:snapToGrid w:val="0"/>
      <w:jc w:val="center"/>
    </w:pPr>
    <w:rPr>
      <w:rFonts w:cs="Times New Roman"/>
      <w:snapToGrid w:val="0"/>
      <w:sz w:val="24"/>
      <w:szCs w:val="28"/>
      <w:lang w:val="en-US" w:bidi="ar-SA"/>
    </w:rPr>
  </w:style>
  <w:style w:type="character" w:customStyle="1" w:styleId="421">
    <w:name w:val="表中正文 Char Char Char Char Char Char Char Char Char Char Char Char Char Char Char Char Char Char Char Char Char Char Char Char Char Char Char Char Char Char Char Char Char Char Char Char Char Char Char Char Char Char"/>
    <w:link w:val="422"/>
    <w:qFormat/>
    <w:uiPriority w:val="0"/>
    <w:rPr>
      <w:rFonts w:ascii="宋体" w:hAnsi="Arial" w:eastAsia="仿宋_GB2312"/>
      <w:szCs w:val="24"/>
    </w:rPr>
  </w:style>
  <w:style w:type="paragraph" w:customStyle="1" w:styleId="422">
    <w:name w:val="表中正文 Char Char Char Char Char Char Char Char Char Char Char Char Char Char Char Char Char Char Char Char Char Char Char Char Char Char Char Char Char Char Char Char Char Char Char Char Char Char Char Char"/>
    <w:basedOn w:val="1"/>
    <w:link w:val="421"/>
    <w:qFormat/>
    <w:uiPriority w:val="0"/>
    <w:pPr>
      <w:adjustRightInd w:val="0"/>
      <w:snapToGrid w:val="0"/>
      <w:jc w:val="center"/>
      <w:textAlignment w:val="baseline"/>
    </w:pPr>
    <w:rPr>
      <w:rFonts w:hAnsi="Arial" w:eastAsia="仿宋_GB2312" w:cs="Times New Roman"/>
      <w:sz w:val="20"/>
      <w:szCs w:val="24"/>
      <w:lang w:val="en-US" w:bidi="ar-SA"/>
    </w:rPr>
  </w:style>
  <w:style w:type="character" w:customStyle="1" w:styleId="423">
    <w:name w:val="bds_more4"/>
    <w:basedOn w:val="83"/>
    <w:qFormat/>
    <w:uiPriority w:val="0"/>
  </w:style>
  <w:style w:type="character" w:customStyle="1" w:styleId="424">
    <w:name w:val="标题 5 Char1"/>
    <w:qFormat/>
    <w:uiPriority w:val="0"/>
    <w:rPr>
      <w:rFonts w:ascii="Times New Roman" w:hAnsi="Times New Roman" w:eastAsia="宋体" w:cs="Times New Roman"/>
      <w:b/>
      <w:bCs/>
      <w:sz w:val="28"/>
      <w:szCs w:val="28"/>
    </w:rPr>
  </w:style>
  <w:style w:type="character" w:customStyle="1" w:styleId="425">
    <w:name w:val="Char Char9"/>
    <w:qFormat/>
    <w:uiPriority w:val="0"/>
    <w:rPr>
      <w:rFonts w:hint="eastAsia" w:ascii="宋体" w:hAnsi="宋体" w:eastAsia="宋体"/>
      <w:color w:val="000000"/>
      <w:sz w:val="36"/>
      <w:lang w:val="en-US" w:eastAsia="zh-CN" w:bidi="ar-SA"/>
    </w:rPr>
  </w:style>
  <w:style w:type="character" w:customStyle="1" w:styleId="426">
    <w:name w:val="style16 style57"/>
    <w:basedOn w:val="83"/>
    <w:qFormat/>
    <w:uiPriority w:val="0"/>
  </w:style>
  <w:style w:type="character" w:customStyle="1" w:styleId="427">
    <w:name w:val="正文文本 (2) + AngsanaUPC10"/>
    <w:qFormat/>
    <w:uiPriority w:val="99"/>
    <w:rPr>
      <w:rFonts w:ascii="AngsanaUPC" w:hAnsi="AngsanaUPC" w:eastAsia="MingLiU" w:cs="AngsanaUPC"/>
      <w:sz w:val="22"/>
      <w:szCs w:val="22"/>
      <w:u w:val="none"/>
      <w:shd w:val="clear" w:color="auto" w:fill="FFFFFF"/>
      <w:lang w:val="en-US" w:eastAsia="en-US"/>
    </w:rPr>
  </w:style>
  <w:style w:type="character" w:customStyle="1" w:styleId="428">
    <w:name w:val="样式 样式 1.1标题2 Char + 小三 加粗 +"/>
    <w:basedOn w:val="429"/>
    <w:qFormat/>
    <w:uiPriority w:val="0"/>
    <w:rPr>
      <w:rFonts w:ascii="Arial" w:hAnsi="Arial" w:eastAsia="黑体"/>
      <w:kern w:val="2"/>
      <w:sz w:val="30"/>
      <w:szCs w:val="32"/>
      <w:lang w:val="en-US" w:eastAsia="zh-CN" w:bidi="ar-SA"/>
    </w:rPr>
  </w:style>
  <w:style w:type="character" w:customStyle="1" w:styleId="429">
    <w:name w:val="样式 1.1标题2 Char + 小三 加粗"/>
    <w:qFormat/>
    <w:uiPriority w:val="0"/>
    <w:rPr>
      <w:rFonts w:ascii="Arial" w:hAnsi="Arial" w:eastAsia="黑体"/>
      <w:bCs/>
      <w:kern w:val="2"/>
      <w:sz w:val="30"/>
      <w:szCs w:val="32"/>
      <w:lang w:val="en-US" w:eastAsia="zh-CN" w:bidi="ar-SA"/>
    </w:rPr>
  </w:style>
  <w:style w:type="character" w:customStyle="1" w:styleId="430">
    <w:name w:val="正文文本 (9) + 间距 1 pt2"/>
    <w:qFormat/>
    <w:uiPriority w:val="99"/>
    <w:rPr>
      <w:rFonts w:ascii="MingLiU" w:eastAsia="MingLiU" w:cs="MingLiU"/>
      <w:spacing w:val="20"/>
      <w:shd w:val="clear" w:color="auto" w:fill="FFFFFF"/>
    </w:rPr>
  </w:style>
  <w:style w:type="character" w:customStyle="1" w:styleId="431">
    <w:name w:val="textjianju21"/>
    <w:qFormat/>
    <w:uiPriority w:val="0"/>
    <w:rPr>
      <w:color w:val="000000"/>
    </w:rPr>
  </w:style>
  <w:style w:type="character" w:customStyle="1" w:styleId="432">
    <w:name w:val="Page Number1"/>
    <w:basedOn w:val="83"/>
    <w:qFormat/>
    <w:uiPriority w:val="0"/>
  </w:style>
  <w:style w:type="character" w:customStyle="1" w:styleId="433">
    <w:name w:val="style12"/>
    <w:basedOn w:val="83"/>
    <w:qFormat/>
    <w:uiPriority w:val="0"/>
  </w:style>
  <w:style w:type="character" w:customStyle="1" w:styleId="434">
    <w:name w:val="正文文本最新 Char Char Char1 Char Char Char Char Char Char Char Char Char"/>
    <w:qFormat/>
    <w:uiPriority w:val="0"/>
    <w:rPr>
      <w:rFonts w:eastAsia="宋体"/>
      <w:b/>
      <w:bCs/>
      <w:kern w:val="2"/>
      <w:sz w:val="28"/>
      <w:szCs w:val="24"/>
      <w:lang w:val="en-US" w:eastAsia="zh-CN" w:bidi="ar-SA"/>
    </w:rPr>
  </w:style>
  <w:style w:type="character" w:customStyle="1" w:styleId="435">
    <w:name w:val="Char Char1 Char Char Char Char Char Char Char Char Char Char Char Char Char Char"/>
    <w:link w:val="436"/>
    <w:qFormat/>
    <w:uiPriority w:val="0"/>
  </w:style>
  <w:style w:type="paragraph" w:customStyle="1" w:styleId="436">
    <w:name w:val="Char Char1 Char Char Char Char Char Char Char Char Char Char Char Char1"/>
    <w:basedOn w:val="1"/>
    <w:link w:val="435"/>
    <w:qFormat/>
    <w:uiPriority w:val="0"/>
    <w:pPr>
      <w:autoSpaceDE/>
      <w:autoSpaceDN/>
    </w:pPr>
    <w:rPr>
      <w:rFonts w:ascii="Times New Roman" w:hAnsi="Times New Roman" w:cs="Times New Roman"/>
      <w:sz w:val="20"/>
      <w:szCs w:val="20"/>
      <w:lang w:val="en-US" w:bidi="ar-SA"/>
    </w:rPr>
  </w:style>
  <w:style w:type="character" w:customStyle="1" w:styleId="437">
    <w:name w:val="Char Char8"/>
    <w:qFormat/>
    <w:uiPriority w:val="0"/>
    <w:rPr>
      <w:rFonts w:hint="eastAsia" w:ascii="黑体" w:eastAsia="黑体"/>
      <w:kern w:val="2"/>
      <w:sz w:val="24"/>
      <w:szCs w:val="24"/>
      <w:lang w:val="en-US" w:eastAsia="zh-CN" w:bidi="ar-SA"/>
    </w:rPr>
  </w:style>
  <w:style w:type="character" w:customStyle="1" w:styleId="438">
    <w:name w:val="表内正文 Char Char"/>
    <w:qFormat/>
    <w:uiPriority w:val="0"/>
    <w:rPr>
      <w:rFonts w:ascii="仿宋_GB2312" w:eastAsia="仿宋_GB2312"/>
      <w:kern w:val="2"/>
      <w:sz w:val="21"/>
      <w:szCs w:val="24"/>
      <w:lang w:val="en-US" w:eastAsia="zh-CN" w:bidi="ar-SA"/>
    </w:rPr>
  </w:style>
  <w:style w:type="character" w:customStyle="1" w:styleId="439">
    <w:name w:val="正文 Char"/>
    <w:qFormat/>
    <w:uiPriority w:val="0"/>
    <w:rPr>
      <w:rFonts w:ascii="Times New Roman" w:hAnsi="Times New Roman" w:eastAsia="宋体" w:cs="Times New Roman"/>
      <w:snapToGrid w:val="0"/>
      <w:kern w:val="0"/>
      <w:sz w:val="24"/>
      <w:szCs w:val="24"/>
    </w:rPr>
  </w:style>
  <w:style w:type="character" w:customStyle="1" w:styleId="440">
    <w:name w:val="样式1 Char Char Char Char Char Char Char"/>
    <w:link w:val="441"/>
    <w:semiHidden/>
    <w:qFormat/>
    <w:uiPriority w:val="0"/>
    <w:rPr>
      <w:rFonts w:eastAsia="仿宋_GB2312"/>
      <w:spacing w:val="-20"/>
      <w:sz w:val="18"/>
      <w:szCs w:val="24"/>
    </w:rPr>
  </w:style>
  <w:style w:type="paragraph" w:customStyle="1" w:styleId="441">
    <w:name w:val="样式1 Char Char Char Char Char"/>
    <w:basedOn w:val="1"/>
    <w:link w:val="440"/>
    <w:semiHidden/>
    <w:qFormat/>
    <w:uiPriority w:val="0"/>
    <w:pPr>
      <w:autoSpaceDE/>
      <w:autoSpaceDN/>
      <w:jc w:val="center"/>
    </w:pPr>
    <w:rPr>
      <w:rFonts w:ascii="Times New Roman" w:hAnsi="Times New Roman" w:eastAsia="仿宋_GB2312" w:cs="Times New Roman"/>
      <w:spacing w:val="-20"/>
      <w:sz w:val="18"/>
      <w:szCs w:val="24"/>
      <w:lang w:val="en-US" w:bidi="ar-SA"/>
    </w:rPr>
  </w:style>
  <w:style w:type="character" w:customStyle="1" w:styleId="442">
    <w:name w:val="目标题 1) Char1"/>
    <w:qFormat/>
    <w:uiPriority w:val="0"/>
    <w:rPr>
      <w:rFonts w:ascii="Arial" w:hAnsi="Arial" w:eastAsia="黑体"/>
      <w:color w:val="000000"/>
      <w:kern w:val="28"/>
      <w:sz w:val="24"/>
    </w:rPr>
  </w:style>
  <w:style w:type="character" w:customStyle="1" w:styleId="443">
    <w:name w:val="图表标题 Char Char"/>
    <w:link w:val="444"/>
    <w:qFormat/>
    <w:uiPriority w:val="0"/>
    <w:rPr>
      <w:rFonts w:ascii="黑体" w:eastAsia="黑体"/>
      <w:b/>
      <w:color w:val="000000"/>
      <w:sz w:val="24"/>
      <w:szCs w:val="21"/>
    </w:rPr>
  </w:style>
  <w:style w:type="paragraph" w:customStyle="1" w:styleId="444">
    <w:name w:val="图表标题"/>
    <w:basedOn w:val="1"/>
    <w:link w:val="443"/>
    <w:qFormat/>
    <w:uiPriority w:val="0"/>
    <w:pPr>
      <w:autoSpaceDE/>
      <w:autoSpaceDN/>
      <w:adjustRightInd w:val="0"/>
      <w:snapToGrid w:val="0"/>
      <w:spacing w:line="360" w:lineRule="auto"/>
      <w:jc w:val="center"/>
    </w:pPr>
    <w:rPr>
      <w:rFonts w:ascii="黑体" w:hAnsi="Times New Roman" w:eastAsia="黑体" w:cs="Times New Roman"/>
      <w:b/>
      <w:color w:val="000000"/>
      <w:sz w:val="24"/>
      <w:szCs w:val="21"/>
      <w:lang w:val="en-US" w:bidi="ar-SA"/>
    </w:rPr>
  </w:style>
  <w:style w:type="character" w:customStyle="1" w:styleId="445">
    <w:name w:val="正文文本 2 Char2"/>
    <w:semiHidden/>
    <w:qFormat/>
    <w:uiPriority w:val="99"/>
    <w:rPr>
      <w:rFonts w:ascii="Calibri" w:hAnsi="Calibri" w:eastAsia="宋体" w:cs="Times New Roman"/>
    </w:rPr>
  </w:style>
  <w:style w:type="character" w:customStyle="1" w:styleId="446">
    <w:name w:val="规划正文样式 Char Char"/>
    <w:qFormat/>
    <w:uiPriority w:val="0"/>
    <w:rPr>
      <w:rFonts w:eastAsia="宋体"/>
      <w:kern w:val="2"/>
      <w:sz w:val="24"/>
      <w:szCs w:val="24"/>
      <w:lang w:val="en-US" w:eastAsia="zh-CN" w:bidi="ar-SA"/>
    </w:rPr>
  </w:style>
  <w:style w:type="character" w:customStyle="1" w:styleId="447">
    <w:name w:val="注释标题 Char Char"/>
    <w:qFormat/>
    <w:uiPriority w:val="0"/>
    <w:rPr>
      <w:rFonts w:ascii="Times New Roman" w:hAnsi="Times New Roman" w:eastAsia="宋体" w:cs="Times New Roman"/>
      <w:szCs w:val="20"/>
    </w:rPr>
  </w:style>
  <w:style w:type="character" w:customStyle="1" w:styleId="448">
    <w:name w:val="航标 Char Char"/>
    <w:link w:val="449"/>
    <w:qFormat/>
    <w:uiPriority w:val="0"/>
    <w:rPr>
      <w:rFonts w:ascii="仿宋_GB2312" w:eastAsia="仿宋_GB2312"/>
      <w:b/>
      <w:color w:val="000000"/>
      <w:sz w:val="28"/>
    </w:rPr>
  </w:style>
  <w:style w:type="paragraph" w:customStyle="1" w:styleId="449">
    <w:name w:val="航标"/>
    <w:basedOn w:val="1"/>
    <w:next w:val="1"/>
    <w:link w:val="448"/>
    <w:qFormat/>
    <w:uiPriority w:val="0"/>
    <w:pPr>
      <w:topLinePunct/>
      <w:autoSpaceDE/>
      <w:autoSpaceDN/>
      <w:spacing w:line="486" w:lineRule="exact"/>
      <w:ind w:firstLine="200" w:firstLineChars="200"/>
    </w:pPr>
    <w:rPr>
      <w:rFonts w:ascii="仿宋_GB2312" w:hAnsi="Times New Roman" w:eastAsia="仿宋_GB2312" w:cs="Times New Roman"/>
      <w:b/>
      <w:color w:val="000000"/>
      <w:sz w:val="28"/>
      <w:szCs w:val="20"/>
      <w:lang w:val="en-US" w:bidi="ar-SA"/>
    </w:rPr>
  </w:style>
  <w:style w:type="character" w:customStyle="1" w:styleId="450">
    <w:name w:val="表格内容1 Char Char1"/>
    <w:qFormat/>
    <w:uiPriority w:val="0"/>
    <w:rPr>
      <w:rFonts w:eastAsia="宋体"/>
      <w:kern w:val="24"/>
      <w:sz w:val="21"/>
      <w:szCs w:val="24"/>
      <w:lang w:val="en-US" w:eastAsia="zh-CN" w:bidi="ar-SA"/>
    </w:rPr>
  </w:style>
  <w:style w:type="character" w:customStyle="1" w:styleId="451">
    <w:name w:val="000 Char Char"/>
    <w:link w:val="452"/>
    <w:qFormat/>
    <w:uiPriority w:val="0"/>
    <w:rPr>
      <w:sz w:val="24"/>
      <w:szCs w:val="24"/>
    </w:rPr>
  </w:style>
  <w:style w:type="paragraph" w:customStyle="1" w:styleId="452">
    <w:name w:val="000"/>
    <w:basedOn w:val="1"/>
    <w:link w:val="451"/>
    <w:qFormat/>
    <w:uiPriority w:val="0"/>
    <w:pPr>
      <w:autoSpaceDE/>
      <w:autoSpaceDN/>
      <w:spacing w:line="360" w:lineRule="auto"/>
      <w:ind w:firstLine="200" w:firstLineChars="200"/>
      <w:jc w:val="both"/>
    </w:pPr>
    <w:rPr>
      <w:rFonts w:ascii="Times New Roman" w:hAnsi="Times New Roman" w:cs="Times New Roman"/>
      <w:sz w:val="24"/>
      <w:szCs w:val="24"/>
      <w:lang w:val="en-US" w:bidi="ar-SA"/>
    </w:rPr>
  </w:style>
  <w:style w:type="character" w:customStyle="1" w:styleId="453">
    <w:name w:val="正文首行缩进 Char2"/>
    <w:qFormat/>
    <w:uiPriority w:val="0"/>
    <w:rPr>
      <w:rFonts w:ascii="Times New Roman" w:hAnsi="Times New Roman" w:eastAsia="宋体" w:cs="Times New Roman"/>
      <w:kern w:val="0"/>
      <w:sz w:val="28"/>
      <w:szCs w:val="20"/>
    </w:rPr>
  </w:style>
  <w:style w:type="character" w:customStyle="1" w:styleId="454">
    <w:name w:val="Char Char"/>
    <w:qFormat/>
    <w:uiPriority w:val="0"/>
    <w:rPr>
      <w:rFonts w:eastAsia="黑体"/>
      <w:b/>
      <w:snapToGrid w:val="0"/>
      <w:sz w:val="24"/>
      <w:szCs w:val="32"/>
      <w:lang w:val="en-US" w:eastAsia="zh-CN" w:bidi="ar-SA"/>
    </w:rPr>
  </w:style>
  <w:style w:type="character" w:customStyle="1" w:styleId="455">
    <w:name w:val="公式说明 Char"/>
    <w:link w:val="456"/>
    <w:qFormat/>
    <w:uiPriority w:val="0"/>
    <w:rPr>
      <w:rFonts w:eastAsia="仿宋_GB2312"/>
      <w:sz w:val="32"/>
    </w:rPr>
  </w:style>
  <w:style w:type="paragraph" w:customStyle="1" w:styleId="456">
    <w:name w:val="公式说明"/>
    <w:basedOn w:val="1"/>
    <w:link w:val="455"/>
    <w:qFormat/>
    <w:uiPriority w:val="0"/>
    <w:pPr>
      <w:tabs>
        <w:tab w:val="left" w:pos="1920"/>
      </w:tabs>
      <w:autoSpaceDE/>
      <w:autoSpaceDN/>
      <w:adjustRightInd w:val="0"/>
      <w:snapToGrid w:val="0"/>
      <w:spacing w:line="620" w:lineRule="exact"/>
      <w:ind w:firstLine="200" w:firstLineChars="200"/>
      <w:jc w:val="both"/>
    </w:pPr>
    <w:rPr>
      <w:rFonts w:ascii="Times New Roman" w:hAnsi="Times New Roman" w:eastAsia="仿宋_GB2312" w:cs="Times New Roman"/>
      <w:sz w:val="32"/>
      <w:szCs w:val="20"/>
      <w:lang w:val="en-US" w:bidi="ar-SA"/>
    </w:rPr>
  </w:style>
  <w:style w:type="character" w:customStyle="1" w:styleId="457">
    <w:name w:val="正文文字缩进 31 Char Char"/>
    <w:qFormat/>
    <w:uiPriority w:val="0"/>
    <w:rPr>
      <w:rFonts w:eastAsia="宋体"/>
      <w:kern w:val="2"/>
      <w:sz w:val="16"/>
      <w:szCs w:val="16"/>
      <w:lang w:val="en-US" w:eastAsia="zh-CN" w:bidi="ar-SA"/>
    </w:rPr>
  </w:style>
  <w:style w:type="character" w:customStyle="1" w:styleId="458">
    <w:name w:val="正文1 Char Char Char Char"/>
    <w:qFormat/>
    <w:uiPriority w:val="0"/>
    <w:rPr>
      <w:rFonts w:ascii="仿宋_GB2312" w:hAnsi="Times New Roman" w:eastAsia="仿宋_GB2312" w:cs="Times New Roman"/>
      <w:sz w:val="28"/>
      <w:szCs w:val="28"/>
    </w:rPr>
  </w:style>
  <w:style w:type="character" w:customStyle="1" w:styleId="459">
    <w:name w:val="sidecatalog-index2"/>
    <w:qFormat/>
    <w:uiPriority w:val="0"/>
    <w:rPr>
      <w:rFonts w:ascii="Arail" w:hAnsi="Arail" w:eastAsia="Arail" w:cs="Arail"/>
      <w:color w:val="999999"/>
      <w:sz w:val="21"/>
      <w:szCs w:val="21"/>
    </w:rPr>
  </w:style>
  <w:style w:type="character" w:customStyle="1" w:styleId="460">
    <w:name w:val="style51"/>
    <w:qFormat/>
    <w:uiPriority w:val="0"/>
    <w:rPr>
      <w:b/>
      <w:bCs/>
      <w:color w:val="990000"/>
      <w:sz w:val="21"/>
      <w:szCs w:val="21"/>
    </w:rPr>
  </w:style>
  <w:style w:type="character" w:customStyle="1" w:styleId="461">
    <w:name w:val="A4"/>
    <w:qFormat/>
    <w:uiPriority w:val="0"/>
    <w:rPr>
      <w:rFonts w:ascii="新宋体" w:eastAsia="新宋体" w:cs="新宋体"/>
      <w:color w:val="000000"/>
      <w:sz w:val="28"/>
      <w:szCs w:val="28"/>
    </w:rPr>
  </w:style>
  <w:style w:type="character" w:customStyle="1" w:styleId="462">
    <w:name w:val="脚注文本 Char1"/>
    <w:qFormat/>
    <w:uiPriority w:val="0"/>
    <w:rPr>
      <w:rFonts w:ascii="Calibri" w:hAnsi="Calibri" w:eastAsia="宋体" w:cs="Times New Roman"/>
      <w:sz w:val="18"/>
      <w:szCs w:val="18"/>
    </w:rPr>
  </w:style>
  <w:style w:type="character" w:customStyle="1" w:styleId="463">
    <w:name w:val="正文-------- Char Char"/>
    <w:link w:val="464"/>
    <w:qFormat/>
    <w:uiPriority w:val="0"/>
    <w:rPr>
      <w:sz w:val="24"/>
    </w:rPr>
  </w:style>
  <w:style w:type="paragraph" w:customStyle="1" w:styleId="464">
    <w:name w:val="正文--------"/>
    <w:basedOn w:val="1"/>
    <w:link w:val="463"/>
    <w:qFormat/>
    <w:uiPriority w:val="0"/>
    <w:pPr>
      <w:autoSpaceDE/>
      <w:autoSpaceDN/>
      <w:spacing w:line="460" w:lineRule="exact"/>
      <w:ind w:firstLine="480" w:firstLineChars="200"/>
    </w:pPr>
    <w:rPr>
      <w:rFonts w:ascii="Times New Roman" w:hAnsi="Times New Roman" w:cs="Times New Roman"/>
      <w:sz w:val="24"/>
      <w:szCs w:val="20"/>
      <w:lang w:val="en-US" w:bidi="ar-SA"/>
    </w:rPr>
  </w:style>
  <w:style w:type="character" w:customStyle="1" w:styleId="465">
    <w:name w:val="正文 + 宋体 Char"/>
    <w:link w:val="466"/>
    <w:qFormat/>
    <w:uiPriority w:val="0"/>
    <w:rPr>
      <w:rFonts w:ascii="宋体" w:hAnsi="宋体" w:cs="宋体"/>
      <w:b/>
      <w:szCs w:val="24"/>
    </w:rPr>
  </w:style>
  <w:style w:type="paragraph" w:customStyle="1" w:styleId="466">
    <w:name w:val="正文 + 宋体"/>
    <w:basedOn w:val="78"/>
    <w:link w:val="465"/>
    <w:qFormat/>
    <w:uiPriority w:val="0"/>
    <w:pPr>
      <w:widowControl w:val="0"/>
      <w:spacing w:after="0" w:line="360" w:lineRule="auto"/>
      <w:ind w:firstLine="200" w:firstLineChars="200"/>
    </w:pPr>
    <w:rPr>
      <w:b/>
      <w:szCs w:val="24"/>
    </w:rPr>
  </w:style>
  <w:style w:type="character" w:customStyle="1" w:styleId="467">
    <w:name w:val="headline-content2"/>
    <w:basedOn w:val="83"/>
    <w:qFormat/>
    <w:uiPriority w:val="0"/>
  </w:style>
  <w:style w:type="character" w:customStyle="1" w:styleId="468">
    <w:name w:val="3级标题 Char"/>
    <w:link w:val="469"/>
    <w:qFormat/>
    <w:locked/>
    <w:uiPriority w:val="0"/>
    <w:rPr>
      <w:rFonts w:ascii="黑体" w:hAnsi="宋体" w:eastAsia="黑体" w:cs="Arial"/>
      <w:bCs/>
      <w:color w:val="000000"/>
      <w:sz w:val="24"/>
    </w:rPr>
  </w:style>
  <w:style w:type="paragraph" w:customStyle="1" w:styleId="469">
    <w:name w:val="3级标题"/>
    <w:basedOn w:val="5"/>
    <w:next w:val="218"/>
    <w:link w:val="468"/>
    <w:qFormat/>
    <w:uiPriority w:val="0"/>
    <w:pPr>
      <w:keepNext/>
      <w:keepLines/>
      <w:widowControl/>
      <w:tabs>
        <w:tab w:val="left" w:pos="1021"/>
      </w:tabs>
      <w:autoSpaceDE/>
      <w:autoSpaceDN/>
      <w:spacing w:line="500" w:lineRule="exact"/>
      <w:ind w:left="0" w:firstLine="0"/>
    </w:pPr>
    <w:rPr>
      <w:rFonts w:ascii="黑体" w:eastAsia="黑体" w:cs="Arial"/>
      <w:b w:val="0"/>
      <w:color w:val="000000"/>
      <w:szCs w:val="20"/>
      <w:lang w:val="en-US" w:bidi="ar-SA"/>
    </w:rPr>
  </w:style>
  <w:style w:type="character" w:customStyle="1" w:styleId="470">
    <w:name w:val="style9 style60"/>
    <w:basedOn w:val="83"/>
    <w:qFormat/>
    <w:uiPriority w:val="0"/>
  </w:style>
  <w:style w:type="character" w:customStyle="1" w:styleId="471">
    <w:name w:val="style621"/>
    <w:qFormat/>
    <w:uiPriority w:val="0"/>
    <w:rPr>
      <w:color w:val="335150"/>
    </w:rPr>
  </w:style>
  <w:style w:type="character" w:customStyle="1" w:styleId="472">
    <w:name w:val="标题 Char3"/>
    <w:qFormat/>
    <w:locked/>
    <w:uiPriority w:val="99"/>
    <w:rPr>
      <w:rFonts w:ascii="Arial" w:hAnsi="Arial"/>
      <w:b/>
      <w:sz w:val="32"/>
    </w:rPr>
  </w:style>
  <w:style w:type="character" w:customStyle="1" w:styleId="473">
    <w:name w:val="正文文本 (2) + 10 pt7"/>
    <w:qFormat/>
    <w:uiPriority w:val="99"/>
    <w:rPr>
      <w:rFonts w:ascii="MingLiU" w:eastAsia="MingLiU" w:cs="MingLiU"/>
      <w:spacing w:val="110"/>
      <w:sz w:val="20"/>
      <w:szCs w:val="20"/>
      <w:u w:val="none"/>
      <w:shd w:val="clear" w:color="auto" w:fill="FFFFFF"/>
    </w:rPr>
  </w:style>
  <w:style w:type="character" w:customStyle="1" w:styleId="474">
    <w:name w:val="表格1 Char Char Char"/>
    <w:link w:val="475"/>
    <w:qFormat/>
    <w:uiPriority w:val="0"/>
    <w:rPr>
      <w:rFonts w:ascii="宋体" w:hAnsi="宋体" w:eastAsia="仿宋_GB2312"/>
      <w:szCs w:val="24"/>
    </w:rPr>
  </w:style>
  <w:style w:type="paragraph" w:customStyle="1" w:styleId="475">
    <w:name w:val="表格1"/>
    <w:basedOn w:val="1"/>
    <w:next w:val="31"/>
    <w:link w:val="474"/>
    <w:qFormat/>
    <w:uiPriority w:val="0"/>
    <w:pPr>
      <w:topLinePunct/>
      <w:autoSpaceDE/>
      <w:autoSpaceDN/>
      <w:jc w:val="center"/>
    </w:pPr>
    <w:rPr>
      <w:rFonts w:eastAsia="仿宋_GB2312" w:cs="Times New Roman"/>
      <w:sz w:val="20"/>
      <w:szCs w:val="24"/>
      <w:lang w:val="en-US" w:bidi="ar-SA"/>
    </w:rPr>
  </w:style>
  <w:style w:type="character" w:customStyle="1" w:styleId="476">
    <w:name w:val="报告表格内容 Char Char"/>
    <w:link w:val="477"/>
    <w:qFormat/>
    <w:uiPriority w:val="0"/>
  </w:style>
  <w:style w:type="paragraph" w:customStyle="1" w:styleId="477">
    <w:name w:val="报告表格内容"/>
    <w:basedOn w:val="1"/>
    <w:next w:val="1"/>
    <w:link w:val="476"/>
    <w:qFormat/>
    <w:uiPriority w:val="0"/>
    <w:pPr>
      <w:autoSpaceDE/>
      <w:autoSpaceDN/>
      <w:adjustRightInd w:val="0"/>
      <w:snapToGrid w:val="0"/>
      <w:jc w:val="center"/>
    </w:pPr>
    <w:rPr>
      <w:rFonts w:ascii="Times New Roman" w:hAnsi="Times New Roman" w:cs="Times New Roman"/>
      <w:sz w:val="20"/>
      <w:szCs w:val="20"/>
      <w:lang w:val="en-US" w:bidi="ar-SA"/>
    </w:rPr>
  </w:style>
  <w:style w:type="character" w:customStyle="1" w:styleId="478">
    <w:name w:val="newbody1"/>
    <w:qFormat/>
    <w:uiPriority w:val="0"/>
    <w:rPr>
      <w:sz w:val="21"/>
      <w:szCs w:val="21"/>
    </w:rPr>
  </w:style>
  <w:style w:type="character" w:customStyle="1" w:styleId="479">
    <w:name w:val="正文 Char1 Char Char"/>
    <w:link w:val="480"/>
    <w:qFormat/>
    <w:uiPriority w:val="0"/>
    <w:rPr>
      <w:bCs/>
      <w:color w:val="000000"/>
      <w:sz w:val="24"/>
      <w:szCs w:val="21"/>
    </w:rPr>
  </w:style>
  <w:style w:type="paragraph" w:customStyle="1" w:styleId="480">
    <w:name w:val="正文 Char1"/>
    <w:basedOn w:val="1"/>
    <w:link w:val="479"/>
    <w:qFormat/>
    <w:uiPriority w:val="0"/>
    <w:pPr>
      <w:tabs>
        <w:tab w:val="left" w:pos="1834"/>
      </w:tabs>
      <w:autoSpaceDE/>
      <w:autoSpaceDN/>
      <w:adjustRightInd w:val="0"/>
      <w:snapToGrid w:val="0"/>
      <w:spacing w:beforeLines="50" w:afterLines="50" w:line="360" w:lineRule="exact"/>
      <w:ind w:firstLine="480"/>
      <w:jc w:val="both"/>
      <w:textAlignment w:val="baseline"/>
    </w:pPr>
    <w:rPr>
      <w:rFonts w:ascii="Times New Roman" w:hAnsi="Times New Roman" w:cs="Times New Roman"/>
      <w:bCs/>
      <w:color w:val="000000"/>
      <w:sz w:val="24"/>
      <w:szCs w:val="21"/>
      <w:lang w:val="en-US" w:bidi="ar-SA"/>
    </w:rPr>
  </w:style>
  <w:style w:type="character" w:customStyle="1" w:styleId="481">
    <w:name w:val="正文文本 (2)_"/>
    <w:link w:val="482"/>
    <w:qFormat/>
    <w:uiPriority w:val="99"/>
    <w:rPr>
      <w:rFonts w:ascii="MingLiU" w:eastAsia="MingLiU" w:cs="MingLiU"/>
      <w:sz w:val="26"/>
      <w:szCs w:val="26"/>
      <w:shd w:val="clear" w:color="auto" w:fill="FFFFFF"/>
    </w:rPr>
  </w:style>
  <w:style w:type="paragraph" w:customStyle="1" w:styleId="482">
    <w:name w:val="正文文本 (2)1"/>
    <w:basedOn w:val="1"/>
    <w:link w:val="481"/>
    <w:qFormat/>
    <w:uiPriority w:val="99"/>
    <w:pPr>
      <w:shd w:val="clear" w:color="auto" w:fill="FFFFFF"/>
      <w:autoSpaceDE/>
      <w:autoSpaceDN/>
      <w:spacing w:line="240" w:lineRule="atLeast"/>
      <w:ind w:hanging="160"/>
    </w:pPr>
    <w:rPr>
      <w:rFonts w:ascii="MingLiU" w:hAnsi="Times New Roman" w:eastAsia="MingLiU" w:cs="MingLiU"/>
      <w:sz w:val="26"/>
      <w:szCs w:val="26"/>
      <w:lang w:val="en-US" w:bidi="ar-SA"/>
    </w:rPr>
  </w:style>
  <w:style w:type="character" w:customStyle="1" w:styleId="483">
    <w:name w:val="德胜正文 Char Char"/>
    <w:link w:val="484"/>
    <w:qFormat/>
    <w:uiPriority w:val="0"/>
    <w:rPr>
      <w:snapToGrid w:val="0"/>
      <w:color w:val="0000FF"/>
      <w:sz w:val="24"/>
      <w:szCs w:val="24"/>
    </w:rPr>
  </w:style>
  <w:style w:type="paragraph" w:customStyle="1" w:styleId="484">
    <w:name w:val="德胜正文"/>
    <w:basedOn w:val="1"/>
    <w:link w:val="483"/>
    <w:qFormat/>
    <w:uiPriority w:val="0"/>
    <w:pPr>
      <w:autoSpaceDE/>
      <w:autoSpaceDN/>
      <w:adjustRightInd w:val="0"/>
      <w:snapToGrid w:val="0"/>
      <w:spacing w:line="360" w:lineRule="auto"/>
      <w:ind w:firstLine="200" w:firstLineChars="200"/>
      <w:jc w:val="both"/>
    </w:pPr>
    <w:rPr>
      <w:rFonts w:ascii="Times New Roman" w:hAnsi="Times New Roman" w:cs="Times New Roman"/>
      <w:snapToGrid w:val="0"/>
      <w:color w:val="0000FF"/>
      <w:sz w:val="24"/>
      <w:szCs w:val="24"/>
      <w:lang w:val="en-US" w:bidi="ar-SA"/>
    </w:rPr>
  </w:style>
  <w:style w:type="character" w:customStyle="1" w:styleId="485">
    <w:name w:val="正文文本 Char2"/>
    <w:semiHidden/>
    <w:qFormat/>
    <w:uiPriority w:val="0"/>
    <w:rPr>
      <w:rFonts w:ascii="Times New Roman" w:hAnsi="Times New Roman" w:eastAsia="宋体" w:cs="Times New Roman"/>
      <w:szCs w:val="24"/>
    </w:rPr>
  </w:style>
  <w:style w:type="character" w:customStyle="1" w:styleId="486">
    <w:name w:val="标题1"/>
    <w:basedOn w:val="83"/>
    <w:qFormat/>
    <w:uiPriority w:val="0"/>
  </w:style>
  <w:style w:type="character" w:customStyle="1" w:styleId="487">
    <w:name w:val="副标题 Char2"/>
    <w:qFormat/>
    <w:locked/>
    <w:uiPriority w:val="11"/>
    <w:rPr>
      <w:rFonts w:ascii="Arial" w:hAnsi="Arial" w:eastAsia="仿宋_GB2312"/>
      <w:b/>
      <w:bCs/>
      <w:kern w:val="28"/>
      <w:sz w:val="32"/>
      <w:szCs w:val="32"/>
    </w:rPr>
  </w:style>
  <w:style w:type="character" w:customStyle="1" w:styleId="488">
    <w:name w:val="文章正文 Char Char"/>
    <w:link w:val="489"/>
    <w:qFormat/>
    <w:uiPriority w:val="0"/>
    <w:rPr>
      <w:rFonts w:hAnsi="宋体"/>
      <w:kern w:val="2"/>
      <w:sz w:val="24"/>
      <w:szCs w:val="24"/>
    </w:rPr>
  </w:style>
  <w:style w:type="paragraph" w:customStyle="1" w:styleId="489">
    <w:name w:val="文章正文"/>
    <w:basedOn w:val="1"/>
    <w:link w:val="488"/>
    <w:qFormat/>
    <w:uiPriority w:val="0"/>
    <w:pPr>
      <w:autoSpaceDE/>
      <w:autoSpaceDN/>
      <w:spacing w:line="360" w:lineRule="auto"/>
      <w:jc w:val="both"/>
    </w:pPr>
    <w:rPr>
      <w:rFonts w:ascii="Times New Roman" w:cs="Times New Roman"/>
      <w:kern w:val="2"/>
      <w:sz w:val="24"/>
      <w:szCs w:val="24"/>
      <w:lang w:val="en-US" w:bidi="ar-SA"/>
    </w:rPr>
  </w:style>
  <w:style w:type="character" w:customStyle="1" w:styleId="490">
    <w:name w:val="表格 Char2"/>
    <w:qFormat/>
    <w:uiPriority w:val="0"/>
    <w:rPr>
      <w:kern w:val="2"/>
      <w:sz w:val="21"/>
      <w:szCs w:val="21"/>
    </w:rPr>
  </w:style>
  <w:style w:type="character" w:customStyle="1" w:styleId="491">
    <w:name w:val="Char Char241"/>
    <w:qFormat/>
    <w:uiPriority w:val="0"/>
    <w:rPr>
      <w:b/>
      <w:kern w:val="44"/>
      <w:sz w:val="44"/>
    </w:rPr>
  </w:style>
  <w:style w:type="character" w:customStyle="1" w:styleId="492">
    <w:name w:val="正文(首行缩进) Char Char"/>
    <w:link w:val="493"/>
    <w:qFormat/>
    <w:uiPriority w:val="0"/>
    <w:rPr>
      <w:snapToGrid w:val="0"/>
      <w:sz w:val="24"/>
      <w:szCs w:val="24"/>
    </w:rPr>
  </w:style>
  <w:style w:type="paragraph" w:customStyle="1" w:styleId="493">
    <w:name w:val="正文(首行缩进)"/>
    <w:basedOn w:val="1"/>
    <w:link w:val="492"/>
    <w:qFormat/>
    <w:uiPriority w:val="0"/>
    <w:pPr>
      <w:tabs>
        <w:tab w:val="left" w:pos="4584"/>
      </w:tabs>
      <w:autoSpaceDE/>
      <w:autoSpaceDN/>
      <w:adjustRightInd w:val="0"/>
      <w:snapToGrid w:val="0"/>
      <w:jc w:val="center"/>
    </w:pPr>
    <w:rPr>
      <w:rFonts w:ascii="Times New Roman" w:hAnsi="Times New Roman" w:cs="Times New Roman"/>
      <w:snapToGrid w:val="0"/>
      <w:sz w:val="24"/>
      <w:szCs w:val="24"/>
      <w:lang w:val="en-US" w:bidi="ar-SA"/>
    </w:rPr>
  </w:style>
  <w:style w:type="character" w:customStyle="1" w:styleId="494">
    <w:name w:val="页脚 Char1"/>
    <w:qFormat/>
    <w:uiPriority w:val="0"/>
    <w:rPr>
      <w:rFonts w:ascii="Calibri" w:hAnsi="Calibri" w:eastAsia="宋体" w:cs="Times New Roman"/>
      <w:sz w:val="18"/>
      <w:szCs w:val="18"/>
    </w:rPr>
  </w:style>
  <w:style w:type="character" w:customStyle="1" w:styleId="495">
    <w:name w:val="样式 表格内容1 + Char"/>
    <w:qFormat/>
    <w:uiPriority w:val="0"/>
    <w:rPr>
      <w:rFonts w:ascii="仿宋" w:hAnsi="仿宋" w:eastAsia="仿宋"/>
      <w:kern w:val="2"/>
      <w:sz w:val="21"/>
      <w:szCs w:val="24"/>
      <w:lang w:val="en-US" w:eastAsia="zh-CN"/>
    </w:rPr>
  </w:style>
  <w:style w:type="character" w:customStyle="1" w:styleId="496">
    <w:name w:val="sidecatalog-dot"/>
    <w:basedOn w:val="83"/>
    <w:qFormat/>
    <w:uiPriority w:val="0"/>
  </w:style>
  <w:style w:type="character" w:customStyle="1" w:styleId="497">
    <w:name w:val="sidecatalog-dot5"/>
    <w:basedOn w:val="83"/>
    <w:qFormat/>
    <w:uiPriority w:val="0"/>
  </w:style>
  <w:style w:type="character" w:customStyle="1" w:styleId="498">
    <w:name w:val="z-窗体底端 Char1"/>
    <w:semiHidden/>
    <w:qFormat/>
    <w:uiPriority w:val="99"/>
    <w:rPr>
      <w:rFonts w:ascii="Arial" w:hAnsi="Arial" w:eastAsia="宋体" w:cs="Arial"/>
      <w:vanish/>
      <w:sz w:val="16"/>
      <w:szCs w:val="16"/>
    </w:rPr>
  </w:style>
  <w:style w:type="character" w:customStyle="1" w:styleId="499">
    <w:name w:val="Char Char6"/>
    <w:qFormat/>
    <w:uiPriority w:val="0"/>
    <w:rPr>
      <w:rFonts w:hint="default" w:ascii="Times New Roman" w:hAnsi="Times New Roman" w:eastAsia="宋体" w:cs="Times New Roman"/>
      <w:szCs w:val="20"/>
      <w:shd w:val="clear" w:color="auto" w:fill="000080"/>
    </w:rPr>
  </w:style>
  <w:style w:type="character" w:customStyle="1" w:styleId="500">
    <w:name w:val="正文小四首缩1.3行距 Char Char"/>
    <w:link w:val="501"/>
    <w:qFormat/>
    <w:uiPriority w:val="0"/>
    <w:rPr>
      <w:sz w:val="24"/>
      <w:szCs w:val="24"/>
    </w:rPr>
  </w:style>
  <w:style w:type="paragraph" w:customStyle="1" w:styleId="501">
    <w:name w:val="正文小四首缩1.3行距"/>
    <w:basedOn w:val="1"/>
    <w:link w:val="500"/>
    <w:qFormat/>
    <w:uiPriority w:val="0"/>
    <w:pPr>
      <w:autoSpaceDE/>
      <w:autoSpaceDN/>
      <w:spacing w:line="312" w:lineRule="auto"/>
      <w:ind w:firstLine="420" w:firstLineChars="200"/>
      <w:jc w:val="both"/>
    </w:pPr>
    <w:rPr>
      <w:rFonts w:ascii="Times New Roman" w:hAnsi="Times New Roman" w:cs="Times New Roman"/>
      <w:sz w:val="24"/>
      <w:szCs w:val="24"/>
      <w:lang w:val="en-US" w:bidi="ar-SA"/>
    </w:rPr>
  </w:style>
  <w:style w:type="character" w:customStyle="1" w:styleId="502">
    <w:name w:val="表格内容-小五（OPCC宋体） Char Char"/>
    <w:link w:val="503"/>
    <w:qFormat/>
    <w:uiPriority w:val="0"/>
    <w:rPr>
      <w:rFonts w:eastAsia="仿宋_GB2312" w:cs="宋体"/>
      <w:sz w:val="18"/>
      <w:szCs w:val="18"/>
    </w:rPr>
  </w:style>
  <w:style w:type="paragraph" w:customStyle="1" w:styleId="503">
    <w:name w:val="表格内容-小五（OPCC宋体）"/>
    <w:basedOn w:val="1"/>
    <w:link w:val="502"/>
    <w:qFormat/>
    <w:uiPriority w:val="0"/>
    <w:pPr>
      <w:autoSpaceDE/>
      <w:autoSpaceDN/>
      <w:jc w:val="center"/>
    </w:pPr>
    <w:rPr>
      <w:rFonts w:ascii="Times New Roman" w:hAnsi="Times New Roman" w:eastAsia="仿宋_GB2312"/>
      <w:sz w:val="18"/>
      <w:szCs w:val="18"/>
      <w:lang w:val="en-US" w:bidi="ar-SA"/>
    </w:rPr>
  </w:style>
  <w:style w:type="character" w:customStyle="1" w:styleId="504">
    <w:name w:val="desc"/>
    <w:qFormat/>
    <w:uiPriority w:val="0"/>
    <w:rPr>
      <w:color w:val="000000"/>
      <w:sz w:val="18"/>
      <w:szCs w:val="18"/>
    </w:rPr>
  </w:style>
  <w:style w:type="character" w:customStyle="1" w:styleId="505">
    <w:name w:val="样式3 Char Char"/>
    <w:link w:val="506"/>
    <w:qFormat/>
    <w:uiPriority w:val="0"/>
    <w:rPr>
      <w:sz w:val="24"/>
    </w:rPr>
  </w:style>
  <w:style w:type="paragraph" w:customStyle="1" w:styleId="506">
    <w:name w:val="样式3"/>
    <w:basedOn w:val="20"/>
    <w:link w:val="505"/>
    <w:qFormat/>
    <w:uiPriority w:val="0"/>
    <w:pPr>
      <w:autoSpaceDE/>
      <w:autoSpaceDN/>
      <w:adjustRightInd w:val="0"/>
      <w:snapToGrid w:val="0"/>
      <w:spacing w:line="360" w:lineRule="auto"/>
      <w:ind w:firstLine="420"/>
      <w:textAlignment w:val="baseline"/>
    </w:pPr>
    <w:rPr>
      <w:rFonts w:ascii="Times New Roman" w:hAnsi="Times New Roman" w:cs="Times New Roman"/>
      <w:sz w:val="24"/>
      <w:szCs w:val="20"/>
      <w:lang w:val="en-US" w:bidi="ar-SA"/>
    </w:rPr>
  </w:style>
  <w:style w:type="character" w:customStyle="1" w:styleId="507">
    <w:name w:val="bb1"/>
    <w:qFormat/>
    <w:uiPriority w:val="0"/>
    <w:rPr>
      <w:sz w:val="23"/>
      <w:szCs w:val="23"/>
    </w:rPr>
  </w:style>
  <w:style w:type="character" w:customStyle="1" w:styleId="508">
    <w:name w:val="表正文 Char1 Char Char"/>
    <w:qFormat/>
    <w:uiPriority w:val="0"/>
    <w:rPr>
      <w:rFonts w:eastAsia="宋体"/>
      <w:sz w:val="28"/>
      <w:lang w:val="en-US" w:eastAsia="zh-CN" w:bidi="ar-SA"/>
    </w:rPr>
  </w:style>
  <w:style w:type="character" w:customStyle="1" w:styleId="509">
    <w:name w:val="图表标题wj Char Char"/>
    <w:link w:val="510"/>
    <w:qFormat/>
    <w:uiPriority w:val="0"/>
    <w:rPr>
      <w:rFonts w:ascii="黑体"/>
      <w:b/>
      <w:kern w:val="2"/>
      <w:sz w:val="24"/>
      <w:szCs w:val="24"/>
    </w:rPr>
  </w:style>
  <w:style w:type="paragraph" w:customStyle="1" w:styleId="510">
    <w:name w:val="图表标题wj"/>
    <w:link w:val="509"/>
    <w:qFormat/>
    <w:uiPriority w:val="0"/>
    <w:pPr>
      <w:adjustRightInd w:val="0"/>
      <w:snapToGrid w:val="0"/>
      <w:jc w:val="center"/>
    </w:pPr>
    <w:rPr>
      <w:rFonts w:ascii="黑体" w:hAnsi="Times New Roman" w:eastAsia="宋体" w:cs="Times New Roman"/>
      <w:b/>
      <w:kern w:val="2"/>
      <w:sz w:val="24"/>
      <w:szCs w:val="24"/>
      <w:lang w:val="en-US" w:eastAsia="zh-CN" w:bidi="ar-SA"/>
    </w:rPr>
  </w:style>
  <w:style w:type="character" w:customStyle="1" w:styleId="511">
    <w:name w:val="文档结构图 Char Char"/>
    <w:link w:val="512"/>
    <w:qFormat/>
    <w:uiPriority w:val="0"/>
  </w:style>
  <w:style w:type="paragraph" w:customStyle="1" w:styleId="512">
    <w:name w:val="文档结构图1"/>
    <w:basedOn w:val="1"/>
    <w:link w:val="511"/>
    <w:qFormat/>
    <w:uiPriority w:val="0"/>
    <w:pPr>
      <w:autoSpaceDE/>
      <w:autoSpaceDN/>
      <w:jc w:val="both"/>
    </w:pPr>
    <w:rPr>
      <w:rFonts w:ascii="Times New Roman" w:hAnsi="Times New Roman" w:cs="Times New Roman"/>
      <w:sz w:val="20"/>
      <w:szCs w:val="20"/>
      <w:lang w:val="en-US" w:bidi="ar-SA"/>
    </w:rPr>
  </w:style>
  <w:style w:type="character" w:customStyle="1" w:styleId="513">
    <w:name w:val="正文文本缩进 Char1"/>
    <w:qFormat/>
    <w:uiPriority w:val="0"/>
    <w:rPr>
      <w:rFonts w:ascii="Times New Roman" w:hAnsi="Times New Roman" w:eastAsia="宋体" w:cs="Times New Roman"/>
      <w:szCs w:val="24"/>
    </w:rPr>
  </w:style>
  <w:style w:type="character" w:customStyle="1" w:styleId="514">
    <w:name w:val="批注主题 Char1"/>
    <w:qFormat/>
    <w:uiPriority w:val="0"/>
    <w:rPr>
      <w:rFonts w:ascii="Times New Roman" w:hAnsi="Times New Roman" w:eastAsia="宋体" w:cs="Times New Roman"/>
      <w:b/>
      <w:bCs/>
      <w:szCs w:val="24"/>
    </w:rPr>
  </w:style>
  <w:style w:type="character" w:customStyle="1" w:styleId="515">
    <w:name w:val="f241"/>
    <w:qFormat/>
    <w:uiPriority w:val="0"/>
    <w:rPr>
      <w:sz w:val="36"/>
      <w:szCs w:val="36"/>
    </w:rPr>
  </w:style>
  <w:style w:type="character" w:customStyle="1" w:styleId="516">
    <w:name w:val="unnamed11"/>
    <w:qFormat/>
    <w:uiPriority w:val="0"/>
    <w:rPr>
      <w:color w:val="000000"/>
      <w:spacing w:val="450"/>
      <w:sz w:val="18"/>
      <w:szCs w:val="18"/>
    </w:rPr>
  </w:style>
  <w:style w:type="character" w:customStyle="1" w:styleId="517">
    <w:name w:val="项 Char Char"/>
    <w:qFormat/>
    <w:uiPriority w:val="0"/>
    <w:rPr>
      <w:rFonts w:ascii="Times New Roman" w:hAnsi="Times New Roman" w:eastAsia="宋体" w:cs="Times New Roman"/>
      <w:sz w:val="28"/>
      <w:szCs w:val="20"/>
    </w:rPr>
  </w:style>
  <w:style w:type="character" w:customStyle="1" w:styleId="518">
    <w:name w:val="德胜表头 Char Char"/>
    <w:link w:val="519"/>
    <w:qFormat/>
    <w:uiPriority w:val="0"/>
    <w:rPr>
      <w:b/>
      <w:snapToGrid w:val="0"/>
      <w:color w:val="0000FF"/>
      <w:sz w:val="24"/>
      <w:szCs w:val="24"/>
    </w:rPr>
  </w:style>
  <w:style w:type="paragraph" w:customStyle="1" w:styleId="519">
    <w:name w:val="德胜表头"/>
    <w:basedOn w:val="484"/>
    <w:link w:val="518"/>
    <w:qFormat/>
    <w:uiPriority w:val="0"/>
    <w:pPr>
      <w:spacing w:line="240" w:lineRule="auto"/>
      <w:ind w:firstLine="0" w:firstLineChars="0"/>
      <w:jc w:val="center"/>
    </w:pPr>
    <w:rPr>
      <w:b/>
    </w:rPr>
  </w:style>
  <w:style w:type="character" w:customStyle="1" w:styleId="520">
    <w:name w:val="p21"/>
    <w:qFormat/>
    <w:uiPriority w:val="0"/>
    <w:rPr>
      <w:rFonts w:hint="default"/>
      <w:color w:val="0000A0"/>
    </w:rPr>
  </w:style>
  <w:style w:type="character" w:customStyle="1" w:styleId="521">
    <w:name w:val="Char Char221"/>
    <w:qFormat/>
    <w:uiPriority w:val="0"/>
    <w:rPr>
      <w:rFonts w:eastAsia="宋体"/>
      <w:kern w:val="2"/>
      <w:sz w:val="24"/>
      <w:szCs w:val="24"/>
      <w:lang w:val="en-US" w:eastAsia="zh-CN" w:bidi="ar-SA"/>
    </w:rPr>
  </w:style>
  <w:style w:type="character" w:customStyle="1" w:styleId="522">
    <w:name w:val="标题 2 Char"/>
    <w:qFormat/>
    <w:uiPriority w:val="0"/>
    <w:rPr>
      <w:rFonts w:ascii="Cambria" w:hAnsi="Cambria" w:eastAsia="宋体" w:cs="Times New Roman"/>
      <w:b/>
      <w:bCs/>
      <w:sz w:val="32"/>
      <w:szCs w:val="32"/>
    </w:rPr>
  </w:style>
  <w:style w:type="character" w:customStyle="1" w:styleId="523">
    <w:name w:val="large1"/>
    <w:qFormat/>
    <w:uiPriority w:val="0"/>
    <w:rPr>
      <w:sz w:val="28"/>
    </w:rPr>
  </w:style>
  <w:style w:type="character" w:customStyle="1" w:styleId="524">
    <w:name w:val="样式 表格内容1 + Char Char"/>
    <w:link w:val="525"/>
    <w:qFormat/>
    <w:uiPriority w:val="0"/>
    <w:rPr>
      <w:kern w:val="24"/>
      <w:szCs w:val="24"/>
    </w:rPr>
  </w:style>
  <w:style w:type="paragraph" w:customStyle="1" w:styleId="525">
    <w:name w:val="样式 表格内容1 +"/>
    <w:basedOn w:val="526"/>
    <w:link w:val="524"/>
    <w:qFormat/>
    <w:uiPriority w:val="0"/>
    <w:rPr>
      <w:rFonts w:ascii="Times New Roman" w:hAnsi="Times New Roman"/>
    </w:rPr>
  </w:style>
  <w:style w:type="paragraph" w:customStyle="1" w:styleId="526">
    <w:name w:val="表格内容1"/>
    <w:basedOn w:val="1"/>
    <w:link w:val="527"/>
    <w:qFormat/>
    <w:uiPriority w:val="0"/>
    <w:pPr>
      <w:autoSpaceDE/>
      <w:autoSpaceDN/>
      <w:jc w:val="center"/>
    </w:pPr>
    <w:rPr>
      <w:rFonts w:ascii="Calibri" w:hAnsi="Calibri" w:cs="Times New Roman"/>
      <w:kern w:val="24"/>
      <w:sz w:val="20"/>
      <w:szCs w:val="24"/>
      <w:lang w:val="en-US" w:bidi="ar-SA"/>
    </w:rPr>
  </w:style>
  <w:style w:type="character" w:customStyle="1" w:styleId="527">
    <w:name w:val="表格内容1 Char Char"/>
    <w:link w:val="526"/>
    <w:qFormat/>
    <w:uiPriority w:val="0"/>
    <w:rPr>
      <w:rFonts w:ascii="Calibri" w:hAnsi="Calibri"/>
      <w:kern w:val="24"/>
      <w:szCs w:val="24"/>
    </w:rPr>
  </w:style>
  <w:style w:type="character" w:customStyle="1" w:styleId="528">
    <w:name w:val="bititle"/>
    <w:basedOn w:val="83"/>
    <w:qFormat/>
    <w:uiPriority w:val="0"/>
  </w:style>
  <w:style w:type="character" w:customStyle="1" w:styleId="529">
    <w:name w:val="【表格注释】"/>
    <w:qFormat/>
    <w:uiPriority w:val="0"/>
    <w:rPr>
      <w:rFonts w:eastAsia="宋体" w:cs="宋体"/>
      <w:spacing w:val="16"/>
      <w:kern w:val="0"/>
      <w:sz w:val="21"/>
    </w:rPr>
  </w:style>
  <w:style w:type="character" w:customStyle="1" w:styleId="530">
    <w:name w:val="spelle"/>
    <w:basedOn w:val="83"/>
    <w:qFormat/>
    <w:uiPriority w:val="0"/>
  </w:style>
  <w:style w:type="character" w:customStyle="1" w:styleId="531">
    <w:name w:val="javascript"/>
    <w:basedOn w:val="83"/>
    <w:qFormat/>
    <w:uiPriority w:val="0"/>
  </w:style>
  <w:style w:type="character" w:customStyle="1" w:styleId="532">
    <w:name w:val="polysemyred"/>
    <w:qFormat/>
    <w:uiPriority w:val="0"/>
    <w:rPr>
      <w:color w:val="FF6666"/>
      <w:sz w:val="18"/>
      <w:szCs w:val="18"/>
    </w:rPr>
  </w:style>
  <w:style w:type="character" w:customStyle="1" w:styleId="533">
    <w:name w:val="text-8"/>
    <w:basedOn w:val="83"/>
    <w:qFormat/>
    <w:uiPriority w:val="0"/>
  </w:style>
  <w:style w:type="character" w:customStyle="1" w:styleId="534">
    <w:name w:val="上标"/>
    <w:qFormat/>
    <w:uiPriority w:val="0"/>
    <w:rPr>
      <w:vertAlign w:val="superscript"/>
    </w:rPr>
  </w:style>
  <w:style w:type="character" w:customStyle="1" w:styleId="535">
    <w:name w:val="正文首行缩进 Char Char Char"/>
    <w:basedOn w:val="153"/>
    <w:qFormat/>
    <w:uiPriority w:val="0"/>
    <w:rPr>
      <w:rFonts w:ascii="Times New Roman" w:hAnsi="Times New Roman" w:eastAsia="宋体" w:cs="Times New Roman"/>
      <w:sz w:val="28"/>
      <w:szCs w:val="24"/>
      <w:lang w:val="zh-CN" w:bidi="zh-CN"/>
    </w:rPr>
  </w:style>
  <w:style w:type="character" w:customStyle="1" w:styleId="536">
    <w:name w:val="Char Char14"/>
    <w:qFormat/>
    <w:uiPriority w:val="0"/>
    <w:rPr>
      <w:sz w:val="18"/>
      <w:szCs w:val="18"/>
    </w:rPr>
  </w:style>
  <w:style w:type="character" w:customStyle="1" w:styleId="537">
    <w:name w:val="正文---------------- Char Char"/>
    <w:link w:val="538"/>
    <w:qFormat/>
    <w:uiPriority w:val="0"/>
    <w:rPr>
      <w:spacing w:val="16"/>
      <w:sz w:val="24"/>
    </w:rPr>
  </w:style>
  <w:style w:type="paragraph" w:customStyle="1" w:styleId="538">
    <w:name w:val="正文----------------"/>
    <w:basedOn w:val="1"/>
    <w:link w:val="537"/>
    <w:qFormat/>
    <w:uiPriority w:val="0"/>
    <w:pPr>
      <w:autoSpaceDE/>
      <w:autoSpaceDN/>
      <w:spacing w:line="440" w:lineRule="exact"/>
      <w:ind w:firstLine="544" w:firstLineChars="200"/>
      <w:jc w:val="both"/>
    </w:pPr>
    <w:rPr>
      <w:rFonts w:ascii="Times New Roman" w:hAnsi="Times New Roman" w:cs="Times New Roman"/>
      <w:spacing w:val="16"/>
      <w:sz w:val="24"/>
      <w:szCs w:val="20"/>
      <w:lang w:val="en-US" w:bidi="ar-SA"/>
    </w:rPr>
  </w:style>
  <w:style w:type="character" w:customStyle="1" w:styleId="539">
    <w:name w:val="标题2----------------- Char Char"/>
    <w:link w:val="540"/>
    <w:qFormat/>
    <w:uiPriority w:val="0"/>
    <w:rPr>
      <w:b/>
      <w:bCs/>
      <w:sz w:val="32"/>
    </w:rPr>
  </w:style>
  <w:style w:type="paragraph" w:customStyle="1" w:styleId="540">
    <w:name w:val="标题2-----------------"/>
    <w:basedOn w:val="4"/>
    <w:link w:val="539"/>
    <w:qFormat/>
    <w:uiPriority w:val="0"/>
    <w:pPr>
      <w:keepLines/>
      <w:autoSpaceDE/>
      <w:autoSpaceDN/>
      <w:spacing w:before="200" w:after="200"/>
      <w:ind w:left="0" w:firstLine="0"/>
      <w:jc w:val="both"/>
    </w:pPr>
    <w:rPr>
      <w:rFonts w:ascii="Times New Roman" w:hAnsi="Times New Roman" w:cs="Times New Roman"/>
      <w:b/>
      <w:bCs/>
      <w:sz w:val="32"/>
      <w:szCs w:val="20"/>
      <w:lang w:val="en-US" w:bidi="ar-SA"/>
    </w:rPr>
  </w:style>
  <w:style w:type="character" w:customStyle="1" w:styleId="541">
    <w:name w:val="正文文本 (9) + Georgia"/>
    <w:qFormat/>
    <w:uiPriority w:val="99"/>
    <w:rPr>
      <w:rFonts w:ascii="Georgia" w:hAnsi="Georgia" w:eastAsia="MingLiU" w:cs="Georgia"/>
      <w:shd w:val="clear" w:color="auto" w:fill="FFFFFF"/>
      <w:lang w:val="en-US" w:eastAsia="en-US"/>
    </w:rPr>
  </w:style>
  <w:style w:type="character" w:customStyle="1" w:styleId="542">
    <w:name w:val="Char Char5"/>
    <w:qFormat/>
    <w:uiPriority w:val="0"/>
    <w:rPr>
      <w:rFonts w:hint="eastAsia" w:ascii="宋体" w:hAnsi="宋体" w:eastAsia="宋体"/>
      <w:kern w:val="2"/>
      <w:sz w:val="21"/>
      <w:szCs w:val="24"/>
      <w:lang w:val="en-US" w:eastAsia="zh-CN" w:bidi="ar-SA"/>
    </w:rPr>
  </w:style>
  <w:style w:type="character" w:customStyle="1" w:styleId="543">
    <w:name w:val="font71"/>
    <w:qFormat/>
    <w:uiPriority w:val="0"/>
    <w:rPr>
      <w:rFonts w:hint="eastAsia" w:ascii="宋体" w:hAnsi="宋体" w:eastAsia="宋体" w:cs="宋体"/>
      <w:b/>
      <w:color w:val="000000"/>
      <w:sz w:val="20"/>
      <w:szCs w:val="20"/>
      <w:u w:val="none"/>
    </w:rPr>
  </w:style>
  <w:style w:type="character" w:customStyle="1" w:styleId="544">
    <w:name w:val="书籍标题1"/>
    <w:qFormat/>
    <w:uiPriority w:val="0"/>
    <w:rPr>
      <w:b/>
      <w:bCs/>
      <w:smallCaps/>
      <w:spacing w:val="5"/>
    </w:rPr>
  </w:style>
  <w:style w:type="character" w:customStyle="1" w:styleId="545">
    <w:name w:val="font141"/>
    <w:qFormat/>
    <w:uiPriority w:val="0"/>
    <w:rPr>
      <w:rFonts w:hint="eastAsia" w:ascii="宋体" w:hAnsi="宋体" w:eastAsia="宋体"/>
      <w:color w:val="000000"/>
      <w:sz w:val="22"/>
      <w:szCs w:val="22"/>
      <w:u w:val="none"/>
    </w:rPr>
  </w:style>
  <w:style w:type="character" w:customStyle="1" w:styleId="546">
    <w:name w:val="文档结构图 Char1"/>
    <w:qFormat/>
    <w:uiPriority w:val="0"/>
    <w:rPr>
      <w:rFonts w:ascii="宋体" w:hAnsi="Times New Roman" w:eastAsia="宋体" w:cs="Times New Roman"/>
      <w:sz w:val="18"/>
      <w:szCs w:val="18"/>
    </w:rPr>
  </w:style>
  <w:style w:type="character" w:customStyle="1" w:styleId="547">
    <w:name w:val="表格左 Char Char"/>
    <w:link w:val="548"/>
    <w:qFormat/>
    <w:uiPriority w:val="0"/>
    <w:rPr>
      <w:rFonts w:ascii="宋体" w:hAnsi="宋体"/>
      <w:b/>
      <w:szCs w:val="24"/>
    </w:rPr>
  </w:style>
  <w:style w:type="paragraph" w:customStyle="1" w:styleId="548">
    <w:name w:val="表格左"/>
    <w:basedOn w:val="1"/>
    <w:link w:val="547"/>
    <w:qFormat/>
    <w:uiPriority w:val="0"/>
    <w:pPr>
      <w:autoSpaceDE/>
      <w:autoSpaceDN/>
      <w:spacing w:line="240" w:lineRule="atLeast"/>
      <w:jc w:val="center"/>
    </w:pPr>
    <w:rPr>
      <w:rFonts w:cs="Times New Roman"/>
      <w:b/>
      <w:sz w:val="20"/>
      <w:szCs w:val="24"/>
      <w:lang w:val="en-US" w:bidi="ar-SA"/>
    </w:rPr>
  </w:style>
  <w:style w:type="character" w:customStyle="1" w:styleId="549">
    <w:name w:val="样式 报告正文 + 首行缩进:  2 字符 Char Char Char"/>
    <w:link w:val="550"/>
    <w:qFormat/>
    <w:locked/>
    <w:uiPriority w:val="0"/>
    <w:rPr>
      <w:rFonts w:ascii="楷体_GB2312" w:eastAsia="楷体_GB2312" w:cs="宋体"/>
      <w:bCs/>
      <w:kern w:val="2"/>
      <w:sz w:val="30"/>
      <w:szCs w:val="24"/>
    </w:rPr>
  </w:style>
  <w:style w:type="paragraph" w:customStyle="1" w:styleId="550">
    <w:name w:val="样式 报告正文 + 首行缩进:  2 字符 Char Char"/>
    <w:basedOn w:val="1"/>
    <w:link w:val="549"/>
    <w:qFormat/>
    <w:uiPriority w:val="0"/>
    <w:pPr>
      <w:autoSpaceDE/>
      <w:autoSpaceDN/>
      <w:spacing w:line="312" w:lineRule="auto"/>
      <w:ind w:firstLine="600" w:firstLineChars="200"/>
      <w:jc w:val="both"/>
    </w:pPr>
    <w:rPr>
      <w:rFonts w:ascii="楷体_GB2312" w:hAnsi="Times New Roman" w:eastAsia="楷体_GB2312"/>
      <w:bCs/>
      <w:kern w:val="2"/>
      <w:sz w:val="30"/>
      <w:szCs w:val="24"/>
      <w:lang w:val="en-US" w:bidi="ar-SA"/>
    </w:rPr>
  </w:style>
  <w:style w:type="character" w:customStyle="1" w:styleId="551">
    <w:name w:val="正文文本缩进 2 Char2"/>
    <w:semiHidden/>
    <w:qFormat/>
    <w:uiPriority w:val="99"/>
    <w:rPr>
      <w:rFonts w:ascii="Calibri" w:hAnsi="Calibri" w:eastAsia="宋体" w:cs="Times New Roman"/>
    </w:rPr>
  </w:style>
  <w:style w:type="character" w:customStyle="1" w:styleId="552">
    <w:name w:val="hei11"/>
    <w:basedOn w:val="83"/>
    <w:qFormat/>
    <w:uiPriority w:val="0"/>
  </w:style>
  <w:style w:type="character" w:customStyle="1" w:styleId="553">
    <w:name w:val="Char Char24"/>
    <w:qFormat/>
    <w:uiPriority w:val="0"/>
    <w:rPr>
      <w:b/>
      <w:kern w:val="44"/>
      <w:sz w:val="44"/>
    </w:rPr>
  </w:style>
  <w:style w:type="character" w:customStyle="1" w:styleId="554">
    <w:name w:val="样式 题注 + (西文) Arial (中文) 黑体 小四 Char Char Char"/>
    <w:qFormat/>
    <w:uiPriority w:val="0"/>
    <w:rPr>
      <w:rFonts w:ascii="Arial" w:hAnsi="Arial" w:eastAsia="黑体" w:cs="Arial"/>
      <w:b/>
      <w:bCs/>
      <w:snapToGrid w:val="0"/>
      <w:color w:val="000000"/>
      <w:kern w:val="2"/>
      <w:sz w:val="24"/>
      <w:szCs w:val="28"/>
      <w:lang w:val="en-US" w:eastAsia="zh-CN" w:bidi="ar-SA"/>
    </w:rPr>
  </w:style>
  <w:style w:type="character" w:customStyle="1" w:styleId="555">
    <w:name w:val="表头------------- Char Char"/>
    <w:link w:val="556"/>
    <w:qFormat/>
    <w:uiPriority w:val="0"/>
    <w:rPr>
      <w:rFonts w:eastAsia="黑体"/>
      <w:sz w:val="24"/>
    </w:rPr>
  </w:style>
  <w:style w:type="paragraph" w:customStyle="1" w:styleId="556">
    <w:name w:val="表头-------------"/>
    <w:basedOn w:val="1"/>
    <w:link w:val="555"/>
    <w:qFormat/>
    <w:uiPriority w:val="0"/>
    <w:pPr>
      <w:autoSpaceDE/>
      <w:autoSpaceDN/>
      <w:spacing w:line="460" w:lineRule="exact"/>
      <w:jc w:val="center"/>
    </w:pPr>
    <w:rPr>
      <w:rFonts w:ascii="Times New Roman" w:hAnsi="Times New Roman" w:eastAsia="黑体" w:cs="Times New Roman"/>
      <w:sz w:val="24"/>
      <w:szCs w:val="20"/>
      <w:lang w:val="en-US" w:bidi="ar-SA"/>
    </w:rPr>
  </w:style>
  <w:style w:type="character" w:customStyle="1" w:styleId="557">
    <w:name w:val="尾注文本 Char1"/>
    <w:qFormat/>
    <w:uiPriority w:val="0"/>
    <w:rPr>
      <w:rFonts w:ascii="Times New Roman" w:hAnsi="Times New Roman" w:eastAsia="宋体" w:cs="Times New Roman"/>
      <w:szCs w:val="24"/>
    </w:rPr>
  </w:style>
  <w:style w:type="character" w:customStyle="1" w:styleId="558">
    <w:name w:val="小表中 Char Char"/>
    <w:link w:val="559"/>
    <w:qFormat/>
    <w:uiPriority w:val="0"/>
    <w:rPr>
      <w:rFonts w:ascii="宋体" w:hAnsi="宋体"/>
    </w:rPr>
  </w:style>
  <w:style w:type="paragraph" w:customStyle="1" w:styleId="559">
    <w:name w:val="小表中"/>
    <w:basedOn w:val="1"/>
    <w:link w:val="558"/>
    <w:qFormat/>
    <w:uiPriority w:val="0"/>
    <w:pPr>
      <w:keepNext/>
      <w:tabs>
        <w:tab w:val="left" w:pos="1769"/>
      </w:tabs>
      <w:autoSpaceDE/>
      <w:autoSpaceDN/>
      <w:adjustRightInd w:val="0"/>
      <w:snapToGrid w:val="0"/>
      <w:spacing w:line="240" w:lineRule="atLeast"/>
      <w:jc w:val="center"/>
    </w:pPr>
    <w:rPr>
      <w:rFonts w:cs="Times New Roman"/>
      <w:sz w:val="20"/>
      <w:szCs w:val="20"/>
      <w:lang w:val="en-US" w:bidi="ar-SA"/>
    </w:rPr>
  </w:style>
  <w:style w:type="character" w:customStyle="1" w:styleId="560">
    <w:name w:val="Char Char212"/>
    <w:qFormat/>
    <w:uiPriority w:val="0"/>
    <w:rPr>
      <w:rFonts w:eastAsia="宋体"/>
      <w:kern w:val="2"/>
      <w:sz w:val="21"/>
      <w:szCs w:val="24"/>
      <w:lang w:val="en-US" w:eastAsia="zh-CN" w:bidi="ar-SA"/>
    </w:rPr>
  </w:style>
  <w:style w:type="character" w:customStyle="1" w:styleId="561">
    <w:name w:val="content1"/>
    <w:qFormat/>
    <w:uiPriority w:val="0"/>
    <w:rPr>
      <w:rFonts w:ascii="黑体" w:hAnsi="宋体" w:eastAsia="黑体" w:cs="宋体"/>
      <w:b/>
      <w:kern w:val="2"/>
      <w:sz w:val="14"/>
      <w:szCs w:val="14"/>
      <w:lang w:val="en-US" w:eastAsia="zh-CN" w:bidi="ar-SA"/>
    </w:rPr>
  </w:style>
  <w:style w:type="character" w:customStyle="1" w:styleId="562">
    <w:name w:val="样式 标题 3条标题头标题3H3h33rd level第二层条标题 3 Char小标题小节标题标题 3 C...5 Char"/>
    <w:link w:val="563"/>
    <w:qFormat/>
    <w:uiPriority w:val="0"/>
    <w:rPr>
      <w:rFonts w:ascii="黑体" w:eastAsia="黑体"/>
      <w:color w:val="000000"/>
      <w:sz w:val="24"/>
      <w:szCs w:val="24"/>
    </w:rPr>
  </w:style>
  <w:style w:type="paragraph" w:customStyle="1" w:styleId="563">
    <w:name w:val="样式 标题 3条标题头标题3H3h33rd level第二层条标题 3 Char小标题小节标题标题 3 C...5"/>
    <w:basedOn w:val="5"/>
    <w:link w:val="562"/>
    <w:qFormat/>
    <w:uiPriority w:val="0"/>
    <w:pPr>
      <w:keepNext/>
      <w:keepLines/>
      <w:autoSpaceDE/>
      <w:autoSpaceDN/>
      <w:spacing w:line="720" w:lineRule="auto"/>
      <w:ind w:left="0" w:firstLine="0"/>
      <w:jc w:val="both"/>
    </w:pPr>
    <w:rPr>
      <w:rFonts w:ascii="黑体" w:hAnsi="Times New Roman" w:eastAsia="黑体" w:cs="Times New Roman"/>
      <w:b w:val="0"/>
      <w:bCs w:val="0"/>
      <w:color w:val="000000"/>
      <w:lang w:val="en-US" w:bidi="ar-SA"/>
    </w:rPr>
  </w:style>
  <w:style w:type="character" w:customStyle="1" w:styleId="564">
    <w:name w:val="Char Char51"/>
    <w:semiHidden/>
    <w:qFormat/>
    <w:uiPriority w:val="0"/>
    <w:rPr>
      <w:rFonts w:ascii="Calibri" w:hAnsi="Calibri" w:eastAsia="宋体"/>
      <w:kern w:val="2"/>
      <w:sz w:val="18"/>
      <w:szCs w:val="18"/>
      <w:lang w:val="en-US" w:eastAsia="zh-CN" w:bidi="ar-SA"/>
    </w:rPr>
  </w:style>
  <w:style w:type="character" w:customStyle="1" w:styleId="565">
    <w:name w:val="样式 标题 3条标题头标题3H3h33rd level第二层条标题 3 Char小标题小节标题标题 3 C...4 Char"/>
    <w:link w:val="566"/>
    <w:qFormat/>
    <w:uiPriority w:val="0"/>
    <w:rPr>
      <w:rFonts w:ascii="黑体" w:eastAsia="黑体"/>
      <w:bCs/>
      <w:color w:val="000000"/>
      <w:sz w:val="24"/>
      <w:szCs w:val="24"/>
    </w:rPr>
  </w:style>
  <w:style w:type="paragraph" w:customStyle="1" w:styleId="566">
    <w:name w:val="样式 标题 3条标题头标题3H3h33rd level第二层条标题 3 Char小标题小节标题标题 3 C...4"/>
    <w:basedOn w:val="5"/>
    <w:link w:val="565"/>
    <w:qFormat/>
    <w:uiPriority w:val="0"/>
    <w:pPr>
      <w:keepNext/>
      <w:keepLines/>
      <w:autoSpaceDE/>
      <w:autoSpaceDN/>
      <w:spacing w:line="720" w:lineRule="auto"/>
      <w:ind w:left="0" w:firstLine="0"/>
      <w:jc w:val="both"/>
    </w:pPr>
    <w:rPr>
      <w:rFonts w:ascii="黑体" w:hAnsi="Times New Roman" w:eastAsia="黑体" w:cs="Times New Roman"/>
      <w:b w:val="0"/>
      <w:color w:val="000000"/>
      <w:lang w:val="en-US" w:bidi="ar-SA"/>
    </w:rPr>
  </w:style>
  <w:style w:type="character" w:customStyle="1" w:styleId="567">
    <w:name w:val="正文文本 (9) + 间距 0 pt"/>
    <w:qFormat/>
    <w:uiPriority w:val="99"/>
    <w:rPr>
      <w:rFonts w:ascii="MingLiU" w:eastAsia="MingLiU" w:cs="MingLiU"/>
      <w:spacing w:val="10"/>
      <w:sz w:val="20"/>
      <w:szCs w:val="20"/>
      <w:u w:val="none"/>
      <w:shd w:val="clear" w:color="auto" w:fill="FFFFFF"/>
    </w:rPr>
  </w:style>
  <w:style w:type="character" w:customStyle="1" w:styleId="568">
    <w:name w:val="15"/>
    <w:basedOn w:val="83"/>
    <w:qFormat/>
    <w:uiPriority w:val="0"/>
  </w:style>
  <w:style w:type="character" w:customStyle="1" w:styleId="569">
    <w:name w:val="表标题 Char Char"/>
    <w:link w:val="570"/>
    <w:qFormat/>
    <w:uiPriority w:val="0"/>
    <w:rPr>
      <w:szCs w:val="24"/>
    </w:rPr>
  </w:style>
  <w:style w:type="paragraph" w:customStyle="1" w:styleId="570">
    <w:name w:val="表标题"/>
    <w:basedOn w:val="19"/>
    <w:link w:val="569"/>
    <w:qFormat/>
    <w:uiPriority w:val="0"/>
    <w:pPr>
      <w:tabs>
        <w:tab w:val="left" w:pos="360"/>
      </w:tabs>
      <w:topLinePunct w:val="0"/>
      <w:spacing w:line="240" w:lineRule="auto"/>
      <w:ind w:left="0" w:firstLine="0"/>
      <w:jc w:val="center"/>
    </w:pPr>
    <w:rPr>
      <w:rFonts w:ascii="Times New Roman" w:eastAsia="宋体"/>
      <w:kern w:val="0"/>
      <w:sz w:val="20"/>
      <w:szCs w:val="24"/>
    </w:rPr>
  </w:style>
  <w:style w:type="character" w:customStyle="1" w:styleId="571">
    <w:name w:val="Char Char20"/>
    <w:qFormat/>
    <w:uiPriority w:val="0"/>
    <w:rPr>
      <w:rFonts w:ascii="宋体" w:eastAsia="宋体"/>
      <w:color w:val="000000"/>
      <w:sz w:val="36"/>
      <w:lang w:val="en-US" w:eastAsia="zh-CN" w:bidi="ar-SA"/>
    </w:rPr>
  </w:style>
  <w:style w:type="character" w:customStyle="1" w:styleId="572">
    <w:name w:val="表1 Char Char"/>
    <w:link w:val="573"/>
    <w:qFormat/>
    <w:uiPriority w:val="0"/>
    <w:rPr>
      <w:sz w:val="21"/>
    </w:rPr>
  </w:style>
  <w:style w:type="paragraph" w:customStyle="1" w:styleId="573">
    <w:name w:val="表1"/>
    <w:next w:val="1"/>
    <w:link w:val="572"/>
    <w:qFormat/>
    <w:uiPriority w:val="0"/>
    <w:pPr>
      <w:adjustRightInd w:val="0"/>
      <w:snapToGrid w:val="0"/>
      <w:jc w:val="center"/>
    </w:pPr>
    <w:rPr>
      <w:rFonts w:ascii="Times New Roman" w:hAnsi="Times New Roman" w:eastAsia="宋体" w:cs="Times New Roman"/>
      <w:sz w:val="21"/>
      <w:lang w:val="en-US" w:eastAsia="zh-CN" w:bidi="ar-SA"/>
    </w:rPr>
  </w:style>
  <w:style w:type="character" w:customStyle="1" w:styleId="574">
    <w:name w:val="样式 小四 蓝色 首行缩进:  0.85 厘米 行距: 多倍行距 1.4 字行 Char Char"/>
    <w:link w:val="575"/>
    <w:qFormat/>
    <w:uiPriority w:val="0"/>
    <w:rPr>
      <w:color w:val="0000FF"/>
      <w:sz w:val="24"/>
    </w:rPr>
  </w:style>
  <w:style w:type="paragraph" w:customStyle="1" w:styleId="575">
    <w:name w:val="样式 小四 蓝色 首行缩进:  0.85 厘米 行距: 多倍行距 1.4 字行"/>
    <w:basedOn w:val="1"/>
    <w:link w:val="574"/>
    <w:qFormat/>
    <w:uiPriority w:val="0"/>
    <w:pPr>
      <w:autoSpaceDE/>
      <w:autoSpaceDN/>
      <w:spacing w:line="336" w:lineRule="auto"/>
      <w:ind w:firstLine="482"/>
      <w:jc w:val="both"/>
    </w:pPr>
    <w:rPr>
      <w:rFonts w:ascii="Times New Roman" w:hAnsi="Times New Roman" w:cs="Times New Roman"/>
      <w:color w:val="0000FF"/>
      <w:sz w:val="24"/>
      <w:szCs w:val="20"/>
      <w:lang w:val="en-US" w:bidi="ar-SA"/>
    </w:rPr>
  </w:style>
  <w:style w:type="character" w:customStyle="1" w:styleId="576">
    <w:name w:val="注释标题 Char2"/>
    <w:semiHidden/>
    <w:qFormat/>
    <w:uiPriority w:val="99"/>
    <w:rPr>
      <w:rFonts w:ascii="Calibri" w:hAnsi="Calibri" w:eastAsia="宋体" w:cs="Times New Roman"/>
    </w:rPr>
  </w:style>
  <w:style w:type="character" w:customStyle="1" w:styleId="577">
    <w:name w:val="正文文本 (14)5"/>
    <w:qFormat/>
    <w:uiPriority w:val="0"/>
    <w:rPr>
      <w:rFonts w:ascii="宋体" w:eastAsia="宋体" w:cs="宋体"/>
      <w:sz w:val="10"/>
      <w:szCs w:val="10"/>
      <w:shd w:val="clear" w:color="auto" w:fill="FFFFFF"/>
    </w:rPr>
  </w:style>
  <w:style w:type="character" w:customStyle="1" w:styleId="578">
    <w:name w:val="Char Char191"/>
    <w:qFormat/>
    <w:uiPriority w:val="0"/>
    <w:rPr>
      <w:rFonts w:eastAsia="黑体"/>
      <w:kern w:val="2"/>
      <w:sz w:val="24"/>
      <w:szCs w:val="24"/>
      <w:lang w:val="en-US" w:eastAsia="zh-CN" w:bidi="ar-SA"/>
    </w:rPr>
  </w:style>
  <w:style w:type="character" w:customStyle="1" w:styleId="579">
    <w:name w:val="1正文段落 Char Char Char"/>
    <w:link w:val="580"/>
    <w:qFormat/>
    <w:uiPriority w:val="0"/>
    <w:rPr>
      <w:snapToGrid w:val="0"/>
      <w:kern w:val="2"/>
      <w:sz w:val="24"/>
      <w:szCs w:val="24"/>
    </w:rPr>
  </w:style>
  <w:style w:type="paragraph" w:customStyle="1" w:styleId="580">
    <w:name w:val="1正文段落 Char"/>
    <w:basedOn w:val="1"/>
    <w:link w:val="579"/>
    <w:qFormat/>
    <w:uiPriority w:val="0"/>
    <w:pPr>
      <w:autoSpaceDE/>
      <w:autoSpaceDN/>
      <w:spacing w:line="360" w:lineRule="auto"/>
      <w:ind w:firstLine="200" w:firstLineChars="200"/>
    </w:pPr>
    <w:rPr>
      <w:rFonts w:ascii="Times New Roman" w:hAnsi="Times New Roman" w:cs="Times New Roman"/>
      <w:snapToGrid w:val="0"/>
      <w:kern w:val="2"/>
      <w:sz w:val="24"/>
      <w:szCs w:val="24"/>
      <w:lang w:val="en-US" w:bidi="ar-SA"/>
    </w:rPr>
  </w:style>
  <w:style w:type="character" w:customStyle="1" w:styleId="581">
    <w:name w:val="表 Char Char"/>
    <w:link w:val="582"/>
    <w:qFormat/>
    <w:locked/>
    <w:uiPriority w:val="0"/>
    <w:rPr>
      <w:spacing w:val="2"/>
    </w:rPr>
  </w:style>
  <w:style w:type="paragraph" w:customStyle="1" w:styleId="582">
    <w:name w:val="表"/>
    <w:basedOn w:val="1"/>
    <w:link w:val="581"/>
    <w:qFormat/>
    <w:uiPriority w:val="0"/>
    <w:pPr>
      <w:autoSpaceDE/>
      <w:autoSpaceDN/>
      <w:snapToGrid w:val="0"/>
      <w:jc w:val="center"/>
    </w:pPr>
    <w:rPr>
      <w:rFonts w:ascii="Times New Roman" w:hAnsi="Times New Roman" w:cs="Times New Roman"/>
      <w:spacing w:val="2"/>
      <w:sz w:val="20"/>
      <w:szCs w:val="20"/>
      <w:lang w:val="en-US" w:bidi="ar-SA"/>
    </w:rPr>
  </w:style>
  <w:style w:type="character" w:customStyle="1" w:styleId="583">
    <w:name w:val="【标题3】 Char Char"/>
    <w:link w:val="584"/>
    <w:qFormat/>
    <w:uiPriority w:val="0"/>
    <w:rPr>
      <w:b/>
      <w:bCs/>
      <w:sz w:val="30"/>
    </w:rPr>
  </w:style>
  <w:style w:type="paragraph" w:customStyle="1" w:styleId="584">
    <w:name w:val="【标题3】"/>
    <w:basedOn w:val="5"/>
    <w:link w:val="583"/>
    <w:qFormat/>
    <w:uiPriority w:val="0"/>
    <w:pPr>
      <w:keepLines/>
      <w:autoSpaceDE/>
      <w:autoSpaceDN/>
      <w:spacing w:before="240" w:after="240"/>
      <w:ind w:left="0" w:firstLine="0"/>
      <w:jc w:val="both"/>
    </w:pPr>
    <w:rPr>
      <w:rFonts w:ascii="Times New Roman" w:hAnsi="Times New Roman" w:cs="Times New Roman"/>
      <w:sz w:val="30"/>
      <w:szCs w:val="20"/>
      <w:lang w:val="en-US" w:bidi="ar-SA"/>
    </w:rPr>
  </w:style>
  <w:style w:type="character" w:customStyle="1" w:styleId="585">
    <w:name w:val="批注文字 Char2"/>
    <w:qFormat/>
    <w:uiPriority w:val="0"/>
    <w:rPr>
      <w:rFonts w:ascii="Calibri" w:hAnsi="Calibri" w:eastAsia="宋体" w:cs="Times New Roman"/>
    </w:rPr>
  </w:style>
  <w:style w:type="character" w:customStyle="1" w:styleId="586">
    <w:name w:val="普通文字 Char Char Char Char3"/>
    <w:qFormat/>
    <w:uiPriority w:val="0"/>
    <w:rPr>
      <w:rFonts w:ascii="宋体" w:hAnsi="Courier New" w:eastAsia="宋体"/>
      <w:kern w:val="2"/>
      <w:sz w:val="28"/>
      <w:lang w:val="en-US" w:eastAsia="zh-CN" w:bidi="ar-SA"/>
    </w:rPr>
  </w:style>
  <w:style w:type="character" w:customStyle="1" w:styleId="587">
    <w:name w:val="表头 Char2"/>
    <w:qFormat/>
    <w:uiPriority w:val="0"/>
    <w:rPr>
      <w:rFonts w:ascii="黑体" w:eastAsia="黑体"/>
      <w:bCs/>
      <w:kern w:val="2"/>
      <w:sz w:val="21"/>
      <w:szCs w:val="24"/>
      <w:lang w:val="en-US" w:eastAsia="zh-CN" w:bidi="ar-SA"/>
    </w:rPr>
  </w:style>
  <w:style w:type="character" w:customStyle="1" w:styleId="588">
    <w:name w:val="Body text 1 Char Char Char"/>
    <w:qFormat/>
    <w:uiPriority w:val="0"/>
    <w:rPr>
      <w:snapToGrid/>
      <w:sz w:val="24"/>
      <w:szCs w:val="24"/>
      <w:lang w:eastAsia="zh-CN"/>
    </w:rPr>
  </w:style>
  <w:style w:type="character" w:customStyle="1" w:styleId="589">
    <w:name w:val="Char Char1"/>
    <w:qFormat/>
    <w:uiPriority w:val="0"/>
    <w:rPr>
      <w:rFonts w:eastAsia="宋体"/>
      <w:kern w:val="2"/>
      <w:sz w:val="21"/>
      <w:szCs w:val="24"/>
      <w:lang w:val="en-US" w:eastAsia="zh-CN" w:bidi="ar-SA"/>
    </w:rPr>
  </w:style>
  <w:style w:type="character" w:customStyle="1" w:styleId="590">
    <w:name w:val="txt"/>
    <w:basedOn w:val="83"/>
    <w:qFormat/>
    <w:uiPriority w:val="0"/>
  </w:style>
  <w:style w:type="character" w:customStyle="1" w:styleId="591">
    <w:name w:val="Char Char11"/>
    <w:qFormat/>
    <w:uiPriority w:val="0"/>
    <w:rPr>
      <w:rFonts w:ascii="Calibri" w:hAnsi="Calibri" w:eastAsia="宋体"/>
      <w:kern w:val="2"/>
      <w:sz w:val="18"/>
      <w:szCs w:val="18"/>
      <w:lang w:val="en-US" w:eastAsia="zh-CN" w:bidi="ar-SA"/>
    </w:rPr>
  </w:style>
  <w:style w:type="character" w:customStyle="1" w:styleId="592">
    <w:name w:val="表内文字 Char Char"/>
    <w:qFormat/>
    <w:uiPriority w:val="0"/>
    <w:rPr>
      <w:rFonts w:ascii="宋体" w:hAnsi="Courier New" w:eastAsia="宋体" w:cs="Courier New"/>
      <w:kern w:val="2"/>
      <w:sz w:val="21"/>
      <w:szCs w:val="21"/>
      <w:lang w:val="en-US" w:eastAsia="zh-CN" w:bidi="ar-SA"/>
    </w:rPr>
  </w:style>
  <w:style w:type="character" w:customStyle="1" w:styleId="593">
    <w:name w:val="14p"/>
    <w:basedOn w:val="83"/>
    <w:qFormat/>
    <w:uiPriority w:val="0"/>
  </w:style>
  <w:style w:type="character" w:customStyle="1" w:styleId="594">
    <w:name w:val="结束语 Char1"/>
    <w:semiHidden/>
    <w:qFormat/>
    <w:uiPriority w:val="99"/>
    <w:rPr>
      <w:rFonts w:ascii="Calibri" w:hAnsi="Calibri" w:eastAsia="宋体" w:cs="Times New Roman"/>
    </w:rPr>
  </w:style>
  <w:style w:type="character" w:customStyle="1" w:styleId="595">
    <w:name w:val="apple-converted-space"/>
    <w:basedOn w:val="83"/>
    <w:qFormat/>
    <w:uiPriority w:val="0"/>
  </w:style>
  <w:style w:type="character" w:customStyle="1" w:styleId="596">
    <w:name w:val="副标题 Char1"/>
    <w:qFormat/>
    <w:uiPriority w:val="0"/>
    <w:rPr>
      <w:rFonts w:ascii="Cambria" w:hAnsi="Cambria" w:eastAsia="宋体" w:cs="Times New Roman"/>
      <w:b/>
      <w:bCs/>
      <w:kern w:val="28"/>
      <w:sz w:val="32"/>
      <w:szCs w:val="32"/>
    </w:rPr>
  </w:style>
  <w:style w:type="character" w:customStyle="1" w:styleId="597">
    <w:name w:val="H4 Char2"/>
    <w:qFormat/>
    <w:uiPriority w:val="0"/>
    <w:rPr>
      <w:rFonts w:ascii="Times New Roman" w:hAnsi="Times New Roman"/>
      <w:b/>
      <w:bCs/>
      <w:kern w:val="2"/>
      <w:sz w:val="24"/>
      <w:szCs w:val="28"/>
    </w:rPr>
  </w:style>
  <w:style w:type="character" w:customStyle="1" w:styleId="598">
    <w:name w:val="表头 + 居中 Char Char"/>
    <w:link w:val="599"/>
    <w:qFormat/>
    <w:uiPriority w:val="0"/>
    <w:rPr>
      <w:rFonts w:ascii="Arial" w:hAnsi="Arial" w:eastAsia="黑体"/>
      <w:szCs w:val="21"/>
    </w:rPr>
  </w:style>
  <w:style w:type="paragraph" w:customStyle="1" w:styleId="599">
    <w:name w:val="表头 + 居中"/>
    <w:basedOn w:val="1"/>
    <w:next w:val="1"/>
    <w:link w:val="598"/>
    <w:qFormat/>
    <w:uiPriority w:val="0"/>
    <w:pPr>
      <w:keepNext/>
      <w:keepLines/>
      <w:autoSpaceDE/>
      <w:autoSpaceDN/>
      <w:spacing w:beforeLines="50" w:afterLines="50"/>
      <w:jc w:val="center"/>
    </w:pPr>
    <w:rPr>
      <w:rFonts w:ascii="Arial" w:hAnsi="Arial" w:eastAsia="黑体" w:cs="Times New Roman"/>
      <w:sz w:val="20"/>
      <w:szCs w:val="21"/>
      <w:lang w:val="en-US" w:bidi="ar-SA"/>
    </w:rPr>
  </w:style>
  <w:style w:type="character" w:customStyle="1" w:styleId="600">
    <w:name w:val="表文字居中 Char Char"/>
    <w:link w:val="601"/>
    <w:qFormat/>
    <w:uiPriority w:val="0"/>
    <w:rPr>
      <w:rFonts w:ascii="Arial" w:hAnsi="Arial" w:eastAsia="Times New Roman"/>
      <w:kern w:val="2"/>
      <w:sz w:val="21"/>
      <w:szCs w:val="24"/>
    </w:rPr>
  </w:style>
  <w:style w:type="paragraph" w:customStyle="1" w:styleId="601">
    <w:name w:val="表文字居中"/>
    <w:link w:val="600"/>
    <w:qFormat/>
    <w:uiPriority w:val="0"/>
    <w:pPr>
      <w:adjustRightInd w:val="0"/>
      <w:spacing w:line="360" w:lineRule="auto"/>
      <w:jc w:val="center"/>
    </w:pPr>
    <w:rPr>
      <w:rFonts w:ascii="Arial" w:hAnsi="Arial" w:eastAsia="Times New Roman" w:cs="Times New Roman"/>
      <w:kern w:val="2"/>
      <w:sz w:val="21"/>
      <w:szCs w:val="24"/>
      <w:lang w:val="en-US" w:eastAsia="zh-CN" w:bidi="ar-SA"/>
    </w:rPr>
  </w:style>
  <w:style w:type="character" w:customStyle="1" w:styleId="602">
    <w:name w:val="标题 Char2"/>
    <w:qFormat/>
    <w:uiPriority w:val="0"/>
    <w:rPr>
      <w:rFonts w:ascii="Cambria" w:hAnsi="Cambria" w:eastAsia="宋体" w:cs="Times New Roman"/>
      <w:b/>
      <w:bCs/>
      <w:sz w:val="32"/>
      <w:szCs w:val="32"/>
    </w:rPr>
  </w:style>
  <w:style w:type="character" w:customStyle="1" w:styleId="603">
    <w:name w:val="表格文字居中 Char1"/>
    <w:link w:val="604"/>
    <w:qFormat/>
    <w:locked/>
    <w:uiPriority w:val="0"/>
    <w:rPr>
      <w:rFonts w:hAnsi="宋体"/>
      <w:szCs w:val="21"/>
    </w:rPr>
  </w:style>
  <w:style w:type="paragraph" w:customStyle="1" w:styleId="604">
    <w:name w:val="表格文字居中"/>
    <w:basedOn w:val="1"/>
    <w:link w:val="603"/>
    <w:qFormat/>
    <w:uiPriority w:val="0"/>
    <w:pPr>
      <w:autoSpaceDE/>
      <w:autoSpaceDN/>
      <w:adjustRightInd w:val="0"/>
      <w:snapToGrid w:val="0"/>
      <w:spacing w:line="320" w:lineRule="exact"/>
      <w:jc w:val="center"/>
    </w:pPr>
    <w:rPr>
      <w:rFonts w:ascii="Times New Roman" w:cs="Times New Roman"/>
      <w:sz w:val="20"/>
      <w:szCs w:val="21"/>
      <w:lang w:val="en-US" w:bidi="ar-SA"/>
    </w:rPr>
  </w:style>
  <w:style w:type="character" w:customStyle="1" w:styleId="605">
    <w:name w:val="text121"/>
    <w:qFormat/>
    <w:uiPriority w:val="0"/>
    <w:rPr>
      <w:color w:val="333333"/>
      <w:sz w:val="18"/>
      <w:szCs w:val="18"/>
    </w:rPr>
  </w:style>
  <w:style w:type="character" w:customStyle="1" w:styleId="606">
    <w:name w:val="标题 3 Char Char"/>
    <w:qFormat/>
    <w:uiPriority w:val="0"/>
    <w:rPr>
      <w:rFonts w:ascii="仿宋_GB2312" w:eastAsia="仿宋_GB2312"/>
      <w:b/>
      <w:spacing w:val="-2"/>
      <w:kern w:val="2"/>
      <w:sz w:val="28"/>
      <w:szCs w:val="24"/>
      <w:lang w:val="en-US" w:eastAsia="zh-CN" w:bidi="ar-SA"/>
    </w:rPr>
  </w:style>
  <w:style w:type="character" w:customStyle="1" w:styleId="607">
    <w:name w:val="正文 + 首行缩进:  2 字符 Char1"/>
    <w:qFormat/>
    <w:uiPriority w:val="0"/>
    <w:rPr>
      <w:rFonts w:eastAsia="宋体" w:cs="宋体"/>
      <w:color w:val="000000"/>
      <w:kern w:val="2"/>
      <w:sz w:val="24"/>
      <w:lang w:val="en-US" w:eastAsia="zh-CN" w:bidi="ar-SA"/>
    </w:rPr>
  </w:style>
  <w:style w:type="character" w:customStyle="1" w:styleId="608">
    <w:name w:val="正式 Char Char"/>
    <w:link w:val="609"/>
    <w:semiHidden/>
    <w:qFormat/>
    <w:uiPriority w:val="0"/>
    <w:rPr>
      <w:rFonts w:hAnsi="宋体"/>
      <w:spacing w:val="6"/>
      <w:sz w:val="24"/>
      <w:szCs w:val="21"/>
    </w:rPr>
  </w:style>
  <w:style w:type="paragraph" w:customStyle="1" w:styleId="609">
    <w:name w:val="正式"/>
    <w:basedOn w:val="1"/>
    <w:link w:val="608"/>
    <w:semiHidden/>
    <w:qFormat/>
    <w:uiPriority w:val="0"/>
    <w:pPr>
      <w:autoSpaceDE/>
      <w:autoSpaceDN/>
      <w:spacing w:beforeLines="50" w:line="420" w:lineRule="auto"/>
      <w:ind w:firstLine="200" w:firstLineChars="200"/>
      <w:jc w:val="both"/>
    </w:pPr>
    <w:rPr>
      <w:rFonts w:ascii="Times New Roman" w:cs="Times New Roman"/>
      <w:spacing w:val="6"/>
      <w:sz w:val="24"/>
      <w:szCs w:val="21"/>
      <w:lang w:val="en-US" w:bidi="ar-SA"/>
    </w:rPr>
  </w:style>
  <w:style w:type="character" w:customStyle="1" w:styleId="610">
    <w:name w:val="Char Char231"/>
    <w:qFormat/>
    <w:uiPriority w:val="0"/>
    <w:rPr>
      <w:rFonts w:eastAsia="黑体"/>
      <w:kern w:val="2"/>
      <w:sz w:val="24"/>
      <w:szCs w:val="24"/>
      <w:lang w:val="en-US" w:eastAsia="zh-CN" w:bidi="ar-SA"/>
    </w:rPr>
  </w:style>
  <w:style w:type="character" w:customStyle="1" w:styleId="611">
    <w:name w:val="fs"/>
    <w:basedOn w:val="83"/>
    <w:qFormat/>
    <w:uiPriority w:val="0"/>
  </w:style>
  <w:style w:type="character" w:customStyle="1" w:styleId="612">
    <w:name w:val="正文11 Char"/>
    <w:qFormat/>
    <w:uiPriority w:val="0"/>
    <w:rPr>
      <w:rFonts w:ascii="宋体" w:hAnsi="宋体" w:eastAsia="仿宋_GB2312"/>
      <w:snapToGrid w:val="0"/>
      <w:sz w:val="24"/>
      <w:szCs w:val="24"/>
    </w:rPr>
  </w:style>
  <w:style w:type="character" w:customStyle="1" w:styleId="613">
    <w:name w:val="pt9"/>
    <w:basedOn w:val="83"/>
    <w:qFormat/>
    <w:uiPriority w:val="0"/>
  </w:style>
  <w:style w:type="character" w:customStyle="1" w:styleId="614">
    <w:name w:val="Char Char15"/>
    <w:link w:val="615"/>
    <w:qFormat/>
    <w:uiPriority w:val="0"/>
    <w:rPr>
      <w:sz w:val="24"/>
    </w:rPr>
  </w:style>
  <w:style w:type="paragraph" w:customStyle="1" w:styleId="615">
    <w:name w:val="正文文本11"/>
    <w:basedOn w:val="1"/>
    <w:link w:val="614"/>
    <w:qFormat/>
    <w:uiPriority w:val="0"/>
    <w:pPr>
      <w:autoSpaceDE/>
      <w:autoSpaceDN/>
      <w:spacing w:line="240" w:lineRule="atLeast"/>
      <w:jc w:val="center"/>
    </w:pPr>
    <w:rPr>
      <w:rFonts w:ascii="Times New Roman" w:hAnsi="Times New Roman" w:cs="Times New Roman"/>
      <w:sz w:val="24"/>
      <w:szCs w:val="20"/>
      <w:lang w:val="en-US" w:bidi="ar-SA"/>
    </w:rPr>
  </w:style>
  <w:style w:type="character" w:customStyle="1" w:styleId="616">
    <w:name w:val="项标题(1) Char Char"/>
    <w:qFormat/>
    <w:uiPriority w:val="0"/>
    <w:rPr>
      <w:rFonts w:eastAsia="宋体"/>
      <w:sz w:val="24"/>
      <w:lang w:val="en-US" w:eastAsia="zh-CN" w:bidi="ar-SA"/>
    </w:rPr>
  </w:style>
  <w:style w:type="character" w:customStyle="1" w:styleId="617">
    <w:name w:val="表5.6 Char Char"/>
    <w:link w:val="618"/>
    <w:qFormat/>
    <w:uiPriority w:val="0"/>
    <w:rPr>
      <w:rFonts w:ascii="黑体" w:eastAsia="黑体"/>
      <w:b/>
      <w:bCs/>
      <w:color w:val="FF0000"/>
      <w:sz w:val="24"/>
      <w:szCs w:val="24"/>
    </w:rPr>
  </w:style>
  <w:style w:type="paragraph" w:customStyle="1" w:styleId="618">
    <w:name w:val="表5.6"/>
    <w:basedOn w:val="619"/>
    <w:link w:val="617"/>
    <w:qFormat/>
    <w:uiPriority w:val="0"/>
    <w:pPr>
      <w:tabs>
        <w:tab w:val="left" w:pos="360"/>
        <w:tab w:val="left" w:pos="720"/>
        <w:tab w:val="left" w:pos="726"/>
        <w:tab w:val="left" w:pos="1080"/>
        <w:tab w:val="center" w:pos="4060"/>
        <w:tab w:val="right" w:pos="8261"/>
      </w:tabs>
      <w:ind w:left="720" w:hanging="720" w:hangingChars="200"/>
    </w:pPr>
    <w:rPr>
      <w:bCs/>
      <w:color w:val="FF0000"/>
      <w:szCs w:val="24"/>
    </w:rPr>
  </w:style>
  <w:style w:type="paragraph" w:customStyle="1" w:styleId="619">
    <w:name w:val="表2.1"/>
    <w:basedOn w:val="1"/>
    <w:link w:val="620"/>
    <w:qFormat/>
    <w:uiPriority w:val="0"/>
    <w:pPr>
      <w:tabs>
        <w:tab w:val="left" w:pos="1080"/>
        <w:tab w:val="center" w:pos="4060"/>
        <w:tab w:val="right" w:pos="8261"/>
      </w:tabs>
      <w:suppressAutoHyphens/>
      <w:autoSpaceDE/>
      <w:autoSpaceDN/>
      <w:adjustRightInd w:val="0"/>
      <w:spacing w:before="240" w:line="0" w:lineRule="atLeast"/>
      <w:ind w:left="420" w:hanging="420"/>
      <w:jc w:val="both"/>
    </w:pPr>
    <w:rPr>
      <w:rFonts w:ascii="黑体" w:hAnsi="Times New Roman" w:eastAsia="黑体" w:cs="Times New Roman"/>
      <w:b/>
      <w:sz w:val="24"/>
      <w:szCs w:val="26"/>
      <w:lang w:val="en-US" w:bidi="ar-SA"/>
    </w:rPr>
  </w:style>
  <w:style w:type="character" w:customStyle="1" w:styleId="620">
    <w:name w:val="表2.1 Char Char"/>
    <w:link w:val="619"/>
    <w:qFormat/>
    <w:uiPriority w:val="0"/>
    <w:rPr>
      <w:rFonts w:ascii="黑体" w:eastAsia="黑体"/>
      <w:b/>
      <w:sz w:val="24"/>
      <w:szCs w:val="26"/>
    </w:rPr>
  </w:style>
  <w:style w:type="character" w:customStyle="1" w:styleId="621">
    <w:name w:val="Char Char111"/>
    <w:qFormat/>
    <w:uiPriority w:val="0"/>
    <w:rPr>
      <w:rFonts w:ascii="宋体" w:eastAsia="宋体"/>
      <w:color w:val="000000"/>
      <w:sz w:val="36"/>
      <w:lang w:val="en-US" w:eastAsia="zh-CN" w:bidi="ar-SA"/>
    </w:rPr>
  </w:style>
  <w:style w:type="character" w:customStyle="1" w:styleId="622">
    <w:name w:val="font51"/>
    <w:qFormat/>
    <w:uiPriority w:val="0"/>
    <w:rPr>
      <w:rFonts w:hint="default" w:ascii="Times New Roman" w:hAnsi="Times New Roman" w:cs="Times New Roman"/>
      <w:b/>
      <w:bCs/>
      <w:color w:val="000000"/>
      <w:sz w:val="18"/>
      <w:szCs w:val="18"/>
      <w:u w:val="none"/>
    </w:rPr>
  </w:style>
  <w:style w:type="character" w:customStyle="1" w:styleId="623">
    <w:name w:val="highlight1"/>
    <w:qFormat/>
    <w:uiPriority w:val="0"/>
    <w:rPr>
      <w:sz w:val="21"/>
      <w:szCs w:val="21"/>
    </w:rPr>
  </w:style>
  <w:style w:type="character" w:customStyle="1" w:styleId="624">
    <w:name w:val="正文 Char Char"/>
    <w:qFormat/>
    <w:uiPriority w:val="0"/>
    <w:rPr>
      <w:rFonts w:ascii="Times New Roman" w:hAnsi="Times New Roman" w:eastAsia="宋体" w:cs="Times New Roman"/>
      <w:snapToGrid w:val="0"/>
      <w:kern w:val="0"/>
      <w:sz w:val="24"/>
      <w:szCs w:val="24"/>
      <w:lang w:val="en-US" w:eastAsia="zh-CN" w:bidi="ar-SA"/>
    </w:rPr>
  </w:style>
  <w:style w:type="character" w:customStyle="1" w:styleId="625">
    <w:name w:val="正文文本 3 Char1"/>
    <w:qFormat/>
    <w:uiPriority w:val="0"/>
    <w:rPr>
      <w:rFonts w:ascii="Calibri" w:hAnsi="Calibri" w:eastAsia="宋体" w:cs="Times New Roman"/>
      <w:sz w:val="16"/>
      <w:szCs w:val="16"/>
    </w:rPr>
  </w:style>
  <w:style w:type="character" w:customStyle="1" w:styleId="626">
    <w:name w:val="正文文本 (2) + 10 pt9"/>
    <w:qFormat/>
    <w:uiPriority w:val="99"/>
    <w:rPr>
      <w:rFonts w:ascii="MingLiU" w:eastAsia="MingLiU" w:cs="MingLiU"/>
      <w:spacing w:val="20"/>
      <w:sz w:val="20"/>
      <w:szCs w:val="20"/>
      <w:u w:val="none"/>
      <w:shd w:val="clear" w:color="auto" w:fill="FFFFFF"/>
    </w:rPr>
  </w:style>
  <w:style w:type="character" w:customStyle="1" w:styleId="627">
    <w:name w:val="扬巴正文 Char Char"/>
    <w:link w:val="628"/>
    <w:semiHidden/>
    <w:qFormat/>
    <w:uiPriority w:val="0"/>
    <w:rPr>
      <w:sz w:val="24"/>
      <w:szCs w:val="24"/>
    </w:rPr>
  </w:style>
  <w:style w:type="paragraph" w:customStyle="1" w:styleId="628">
    <w:name w:val="扬巴正文"/>
    <w:basedOn w:val="1"/>
    <w:link w:val="627"/>
    <w:semiHidden/>
    <w:qFormat/>
    <w:uiPriority w:val="0"/>
    <w:pPr>
      <w:autoSpaceDE/>
      <w:autoSpaceDN/>
      <w:adjustRightInd w:val="0"/>
      <w:snapToGrid w:val="0"/>
      <w:spacing w:line="360" w:lineRule="auto"/>
      <w:ind w:firstLine="200" w:firstLineChars="200"/>
      <w:jc w:val="both"/>
    </w:pPr>
    <w:rPr>
      <w:rFonts w:ascii="Times New Roman" w:hAnsi="Times New Roman" w:cs="Times New Roman"/>
      <w:sz w:val="24"/>
      <w:szCs w:val="24"/>
      <w:lang w:val="en-US" w:bidi="ar-SA"/>
    </w:rPr>
  </w:style>
  <w:style w:type="character" w:customStyle="1" w:styleId="629">
    <w:name w:val="style21"/>
    <w:qFormat/>
    <w:uiPriority w:val="0"/>
    <w:rPr>
      <w:rFonts w:hint="default" w:ascii="Arial" w:hAnsi="Arial" w:cs="Arial"/>
      <w:color w:val="000000"/>
      <w:sz w:val="18"/>
      <w:szCs w:val="18"/>
    </w:rPr>
  </w:style>
  <w:style w:type="character" w:customStyle="1" w:styleId="630">
    <w:name w:val="c-font-big"/>
    <w:basedOn w:val="83"/>
    <w:qFormat/>
    <w:uiPriority w:val="0"/>
  </w:style>
  <w:style w:type="character" w:customStyle="1" w:styleId="631">
    <w:name w:val="Char12"/>
    <w:qFormat/>
    <w:uiPriority w:val="0"/>
    <w:rPr>
      <w:rFonts w:hint="default" w:ascii="Arial" w:hAnsi="Arial" w:eastAsia="黑体" w:cs="Arial"/>
      <w:b/>
      <w:kern w:val="2"/>
      <w:sz w:val="32"/>
      <w:szCs w:val="24"/>
      <w:lang w:val="en-US" w:eastAsia="zh-CN" w:bidi="ar-SA"/>
    </w:rPr>
  </w:style>
  <w:style w:type="character" w:customStyle="1" w:styleId="632">
    <w:name w:val="样式 表格文字居中 Char + 五号 黑色1"/>
    <w:qFormat/>
    <w:uiPriority w:val="0"/>
    <w:rPr>
      <w:rFonts w:ascii="宋体" w:hAnsi="宋体" w:eastAsia="宋体" w:cs="宋体"/>
      <w:color w:val="000000"/>
      <w:kern w:val="2"/>
      <w:sz w:val="24"/>
      <w:szCs w:val="24"/>
      <w:lang w:val="en-US" w:eastAsia="zh-CN" w:bidi="ar-SA"/>
    </w:rPr>
  </w:style>
  <w:style w:type="character" w:customStyle="1" w:styleId="633">
    <w:name w:val="正文文本 (2) + 10 pt14"/>
    <w:qFormat/>
    <w:uiPriority w:val="99"/>
    <w:rPr>
      <w:rFonts w:ascii="MingLiU" w:eastAsia="MingLiU" w:cs="MingLiU"/>
      <w:spacing w:val="-20"/>
      <w:sz w:val="20"/>
      <w:szCs w:val="20"/>
      <w:u w:val="none"/>
      <w:shd w:val="clear" w:color="auto" w:fill="FFFFFF"/>
      <w:lang w:val="en-US" w:eastAsia="en-US"/>
    </w:rPr>
  </w:style>
  <w:style w:type="character" w:customStyle="1" w:styleId="634">
    <w:name w:val="普通文字 Char Char Char Char2"/>
    <w:qFormat/>
    <w:uiPriority w:val="0"/>
    <w:rPr>
      <w:rFonts w:ascii="宋体" w:hAnsi="Courier New" w:eastAsia="宋体"/>
      <w:kern w:val="2"/>
      <w:sz w:val="28"/>
      <w:lang w:val="en-US" w:eastAsia="zh-CN" w:bidi="ar-SA"/>
    </w:rPr>
  </w:style>
  <w:style w:type="character" w:customStyle="1" w:styleId="635">
    <w:name w:val="正文首行缩进 2 Char1"/>
    <w:basedOn w:val="513"/>
    <w:qFormat/>
    <w:uiPriority w:val="0"/>
    <w:rPr>
      <w:rFonts w:ascii="Times New Roman" w:hAnsi="Times New Roman" w:eastAsia="宋体" w:cs="Times New Roman"/>
      <w:szCs w:val="24"/>
    </w:rPr>
  </w:style>
  <w:style w:type="character" w:customStyle="1" w:styleId="636">
    <w:name w:val="Body text 1 Char Char"/>
    <w:link w:val="637"/>
    <w:qFormat/>
    <w:uiPriority w:val="0"/>
    <w:rPr>
      <w:snapToGrid w:val="0"/>
      <w:sz w:val="24"/>
      <w:szCs w:val="24"/>
    </w:rPr>
  </w:style>
  <w:style w:type="paragraph" w:customStyle="1" w:styleId="637">
    <w:name w:val="Body text 1"/>
    <w:basedOn w:val="273"/>
    <w:link w:val="636"/>
    <w:qFormat/>
    <w:uiPriority w:val="0"/>
    <w:pPr>
      <w:tabs>
        <w:tab w:val="clear" w:pos="567"/>
      </w:tabs>
      <w:spacing w:line="360" w:lineRule="auto"/>
      <w:ind w:left="0" w:firstLine="475"/>
    </w:pPr>
    <w:rPr>
      <w:rFonts w:ascii="Times New Roman"/>
      <w:snapToGrid w:val="0"/>
      <w:kern w:val="0"/>
      <w:szCs w:val="24"/>
    </w:rPr>
  </w:style>
  <w:style w:type="character" w:customStyle="1" w:styleId="638">
    <w:name w:val="公式、图------------- Char Char"/>
    <w:link w:val="639"/>
    <w:qFormat/>
    <w:uiPriority w:val="0"/>
    <w:rPr>
      <w:spacing w:val="16"/>
      <w:sz w:val="24"/>
    </w:rPr>
  </w:style>
  <w:style w:type="paragraph" w:customStyle="1" w:styleId="639">
    <w:name w:val="公式、图-------------"/>
    <w:basedOn w:val="1"/>
    <w:link w:val="638"/>
    <w:qFormat/>
    <w:uiPriority w:val="0"/>
    <w:pPr>
      <w:autoSpaceDE/>
      <w:autoSpaceDN/>
      <w:jc w:val="center"/>
      <w:textAlignment w:val="center"/>
    </w:pPr>
    <w:rPr>
      <w:rFonts w:ascii="Times New Roman" w:hAnsi="Times New Roman" w:cs="Times New Roman"/>
      <w:spacing w:val="16"/>
      <w:sz w:val="24"/>
      <w:szCs w:val="20"/>
      <w:lang w:val="en-US" w:bidi="ar-SA"/>
    </w:rPr>
  </w:style>
  <w:style w:type="character" w:customStyle="1" w:styleId="640">
    <w:name w:val="style6"/>
    <w:basedOn w:val="83"/>
    <w:qFormat/>
    <w:uiPriority w:val="0"/>
  </w:style>
  <w:style w:type="character" w:customStyle="1" w:styleId="641">
    <w:name w:val="Char Char201"/>
    <w:qFormat/>
    <w:uiPriority w:val="0"/>
    <w:rPr>
      <w:rFonts w:ascii="宋体" w:eastAsia="宋体"/>
      <w:color w:val="000000"/>
      <w:sz w:val="36"/>
      <w:lang w:val="en-US" w:eastAsia="zh-CN" w:bidi="ar-SA"/>
    </w:rPr>
  </w:style>
  <w:style w:type="character" w:styleId="642">
    <w:name w:val="Placeholder Text"/>
    <w:semiHidden/>
    <w:qFormat/>
    <w:uiPriority w:val="99"/>
    <w:rPr>
      <w:color w:val="808080"/>
    </w:rPr>
  </w:style>
  <w:style w:type="character" w:customStyle="1" w:styleId="643">
    <w:name w:val="公式 Char"/>
    <w:link w:val="644"/>
    <w:qFormat/>
    <w:uiPriority w:val="0"/>
    <w:rPr>
      <w:color w:val="000000"/>
      <w:spacing w:val="-8"/>
      <w:kern w:val="2"/>
      <w:sz w:val="18"/>
      <w:szCs w:val="24"/>
    </w:rPr>
  </w:style>
  <w:style w:type="paragraph" w:customStyle="1" w:styleId="644">
    <w:name w:val="公式"/>
    <w:basedOn w:val="1"/>
    <w:next w:val="1"/>
    <w:link w:val="643"/>
    <w:qFormat/>
    <w:uiPriority w:val="0"/>
    <w:pPr>
      <w:autoSpaceDE/>
      <w:autoSpaceDN/>
      <w:ind w:left="-2" w:leftChars="-5" w:hanging="8" w:hangingChars="5"/>
      <w:jc w:val="center"/>
    </w:pPr>
    <w:rPr>
      <w:rFonts w:ascii="Times New Roman" w:hAnsi="Times New Roman" w:cs="Times New Roman"/>
      <w:color w:val="000000"/>
      <w:spacing w:val="-8"/>
      <w:kern w:val="2"/>
      <w:sz w:val="18"/>
      <w:szCs w:val="24"/>
      <w:lang w:val="en-US" w:bidi="ar-SA"/>
    </w:rPr>
  </w:style>
  <w:style w:type="character" w:customStyle="1" w:styleId="645">
    <w:name w:val="标题 7 Char1"/>
    <w:qFormat/>
    <w:uiPriority w:val="0"/>
    <w:rPr>
      <w:rFonts w:ascii="Calibri" w:hAnsi="Calibri" w:eastAsia="宋体"/>
      <w:b/>
      <w:color w:val="000000"/>
      <w:kern w:val="28"/>
      <w:sz w:val="24"/>
      <w:lang w:bidi="ar-SA"/>
    </w:rPr>
  </w:style>
  <w:style w:type="character" w:customStyle="1" w:styleId="646">
    <w:name w:val="文档结构图 Char2"/>
    <w:qFormat/>
    <w:uiPriority w:val="0"/>
    <w:rPr>
      <w:rFonts w:ascii="宋体" w:hAnsi="Calibri" w:eastAsia="宋体" w:cs="Times New Roman"/>
      <w:sz w:val="18"/>
      <w:szCs w:val="18"/>
    </w:rPr>
  </w:style>
  <w:style w:type="character" w:customStyle="1" w:styleId="647">
    <w:name w:val="z-窗体顶端 Char"/>
    <w:link w:val="648"/>
    <w:qFormat/>
    <w:uiPriority w:val="0"/>
    <w:rPr>
      <w:rFonts w:ascii="Arial" w:hAnsi="Arial" w:cs="Arial"/>
      <w:vanish/>
      <w:sz w:val="16"/>
      <w:szCs w:val="16"/>
    </w:rPr>
  </w:style>
  <w:style w:type="paragraph" w:customStyle="1" w:styleId="648">
    <w:name w:val="z-窗体顶端1"/>
    <w:basedOn w:val="1"/>
    <w:next w:val="1"/>
    <w:link w:val="647"/>
    <w:qFormat/>
    <w:uiPriority w:val="0"/>
    <w:pPr>
      <w:widowControl/>
      <w:pBdr>
        <w:bottom w:val="single" w:color="auto" w:sz="6" w:space="1"/>
      </w:pBdr>
      <w:autoSpaceDE/>
      <w:autoSpaceDN/>
      <w:jc w:val="center"/>
    </w:pPr>
    <w:rPr>
      <w:rFonts w:ascii="Arial" w:hAnsi="Arial" w:cs="Arial"/>
      <w:vanish/>
      <w:sz w:val="16"/>
      <w:szCs w:val="16"/>
      <w:lang w:val="en-US" w:bidi="ar-SA"/>
    </w:rPr>
  </w:style>
  <w:style w:type="character" w:customStyle="1" w:styleId="649">
    <w:name w:val="z-窗体底端 Char"/>
    <w:link w:val="650"/>
    <w:qFormat/>
    <w:uiPriority w:val="0"/>
    <w:rPr>
      <w:rFonts w:ascii="Arial" w:hAnsi="Arial" w:cs="Arial"/>
      <w:vanish/>
      <w:sz w:val="16"/>
      <w:szCs w:val="16"/>
    </w:rPr>
  </w:style>
  <w:style w:type="paragraph" w:customStyle="1" w:styleId="650">
    <w:name w:val="z-窗体底端1"/>
    <w:basedOn w:val="1"/>
    <w:next w:val="1"/>
    <w:link w:val="649"/>
    <w:qFormat/>
    <w:uiPriority w:val="0"/>
    <w:pPr>
      <w:widowControl/>
      <w:pBdr>
        <w:top w:val="single" w:color="auto" w:sz="6" w:space="1"/>
      </w:pBdr>
      <w:autoSpaceDE/>
      <w:autoSpaceDN/>
      <w:jc w:val="center"/>
    </w:pPr>
    <w:rPr>
      <w:rFonts w:ascii="Arial" w:hAnsi="Arial" w:cs="Arial"/>
      <w:vanish/>
      <w:sz w:val="16"/>
      <w:szCs w:val="16"/>
      <w:lang w:val="en-US" w:bidi="ar-SA"/>
    </w:rPr>
  </w:style>
  <w:style w:type="character" w:customStyle="1" w:styleId="651">
    <w:name w:val="c1"/>
    <w:qFormat/>
    <w:uiPriority w:val="0"/>
    <w:rPr>
      <w:rFonts w:hint="default" w:ascii="ˎ̥" w:hAnsi="ˎ̥"/>
      <w:color w:val="000000"/>
      <w:sz w:val="21"/>
      <w:szCs w:val="21"/>
      <w:u w:val="none"/>
    </w:rPr>
  </w:style>
  <w:style w:type="character" w:customStyle="1" w:styleId="652">
    <w:name w:val="0031"/>
    <w:qFormat/>
    <w:uiPriority w:val="0"/>
    <w:rPr>
      <w:sz w:val="21"/>
      <w:szCs w:val="21"/>
    </w:rPr>
  </w:style>
  <w:style w:type="character" w:customStyle="1" w:styleId="653">
    <w:name w:val="Char Char16"/>
    <w:qFormat/>
    <w:uiPriority w:val="0"/>
    <w:rPr>
      <w:rFonts w:ascii="黑体" w:hAnsi="宋体" w:eastAsia="黑体"/>
      <w:b/>
      <w:kern w:val="16"/>
      <w:sz w:val="28"/>
      <w:szCs w:val="28"/>
      <w:lang w:val="en-US" w:eastAsia="zh-CN" w:bidi="ar-SA"/>
    </w:rPr>
  </w:style>
  <w:style w:type="character" w:customStyle="1" w:styleId="654">
    <w:name w:val="页脚1 Char"/>
    <w:qFormat/>
    <w:uiPriority w:val="0"/>
    <w:rPr>
      <w:rFonts w:eastAsia="宋体"/>
      <w:kern w:val="2"/>
      <w:sz w:val="18"/>
      <w:szCs w:val="18"/>
      <w:lang w:val="en-US" w:eastAsia="zh-CN" w:bidi="ar-SA"/>
    </w:rPr>
  </w:style>
  <w:style w:type="character" w:customStyle="1" w:styleId="655">
    <w:name w:val="cucd-0 Char1"/>
    <w:link w:val="656"/>
    <w:qFormat/>
    <w:uiPriority w:val="0"/>
    <w:rPr>
      <w:kern w:val="2"/>
      <w:sz w:val="24"/>
      <w:szCs w:val="24"/>
    </w:rPr>
  </w:style>
  <w:style w:type="paragraph" w:customStyle="1" w:styleId="656">
    <w:name w:val="cucd-0"/>
    <w:link w:val="655"/>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657">
    <w:name w:val="报告正文 Char Char"/>
    <w:link w:val="658"/>
    <w:qFormat/>
    <w:uiPriority w:val="0"/>
    <w:rPr>
      <w:color w:val="000000"/>
      <w:kern w:val="2"/>
      <w:sz w:val="24"/>
    </w:rPr>
  </w:style>
  <w:style w:type="paragraph" w:customStyle="1" w:styleId="658">
    <w:name w:val="报告正文"/>
    <w:basedOn w:val="1"/>
    <w:link w:val="657"/>
    <w:qFormat/>
    <w:uiPriority w:val="0"/>
    <w:pPr>
      <w:autoSpaceDE/>
      <w:autoSpaceDN/>
      <w:adjustRightInd w:val="0"/>
      <w:snapToGrid w:val="0"/>
      <w:spacing w:line="312" w:lineRule="auto"/>
      <w:jc w:val="both"/>
    </w:pPr>
    <w:rPr>
      <w:rFonts w:ascii="Times New Roman" w:hAnsi="Times New Roman" w:cs="Times New Roman"/>
      <w:color w:val="000000"/>
      <w:kern w:val="2"/>
      <w:sz w:val="24"/>
      <w:szCs w:val="20"/>
      <w:lang w:val="en-US" w:bidi="ar-SA"/>
    </w:rPr>
  </w:style>
  <w:style w:type="character" w:customStyle="1" w:styleId="659">
    <w:name w:val="加粗正文 Char"/>
    <w:qFormat/>
    <w:uiPriority w:val="0"/>
    <w:rPr>
      <w:rFonts w:ascii="宋体" w:hAnsi="Courier New" w:eastAsia="宋体" w:cs="Courier New"/>
      <w:kern w:val="2"/>
      <w:sz w:val="21"/>
      <w:szCs w:val="21"/>
      <w:lang w:val="en-US" w:eastAsia="zh-CN" w:bidi="ar-SA"/>
    </w:rPr>
  </w:style>
  <w:style w:type="character" w:customStyle="1" w:styleId="660">
    <w:name w:val="表号 Char1"/>
    <w:link w:val="661"/>
    <w:qFormat/>
    <w:uiPriority w:val="0"/>
    <w:rPr>
      <w:rFonts w:ascii="黑体" w:eastAsia="黑体"/>
      <w:b/>
      <w:sz w:val="24"/>
    </w:rPr>
  </w:style>
  <w:style w:type="paragraph" w:customStyle="1" w:styleId="661">
    <w:name w:val="表号"/>
    <w:basedOn w:val="405"/>
    <w:next w:val="405"/>
    <w:link w:val="660"/>
    <w:qFormat/>
    <w:uiPriority w:val="0"/>
    <w:pPr>
      <w:spacing w:before="120" w:after="120" w:line="240" w:lineRule="atLeast"/>
    </w:pPr>
    <w:rPr>
      <w:rFonts w:ascii="黑体" w:eastAsia="黑体"/>
      <w:b/>
      <w:color w:val="auto"/>
      <w:kern w:val="0"/>
      <w:sz w:val="24"/>
      <w:szCs w:val="20"/>
    </w:rPr>
  </w:style>
  <w:style w:type="character" w:customStyle="1" w:styleId="662">
    <w:name w:val="正文文本 2 Char Char"/>
    <w:qFormat/>
    <w:uiPriority w:val="0"/>
    <w:rPr>
      <w:rFonts w:ascii="Times New Roman" w:hAnsi="Times New Roman" w:eastAsia="宋体" w:cs="Times New Roman"/>
      <w:spacing w:val="16"/>
      <w:sz w:val="24"/>
      <w:szCs w:val="24"/>
    </w:rPr>
  </w:style>
  <w:style w:type="character" w:customStyle="1" w:styleId="663">
    <w:name w:val="正文部分 Char Char"/>
    <w:link w:val="664"/>
    <w:qFormat/>
    <w:uiPriority w:val="0"/>
    <w:rPr>
      <w:rFonts w:ascii="宋体" w:hAnsi="宋体"/>
      <w:bCs/>
      <w:sz w:val="28"/>
      <w:szCs w:val="32"/>
    </w:rPr>
  </w:style>
  <w:style w:type="paragraph" w:customStyle="1" w:styleId="664">
    <w:name w:val="正文部分"/>
    <w:basedOn w:val="1"/>
    <w:link w:val="663"/>
    <w:qFormat/>
    <w:uiPriority w:val="0"/>
    <w:pPr>
      <w:autoSpaceDE/>
      <w:autoSpaceDN/>
      <w:spacing w:line="500" w:lineRule="exact"/>
      <w:ind w:firstLine="200" w:firstLineChars="200"/>
    </w:pPr>
    <w:rPr>
      <w:rFonts w:cs="Times New Roman"/>
      <w:bCs/>
      <w:sz w:val="28"/>
      <w:szCs w:val="32"/>
      <w:lang w:val="en-US" w:bidi="ar-SA"/>
    </w:rPr>
  </w:style>
  <w:style w:type="character" w:customStyle="1" w:styleId="665">
    <w:name w:val="注释标题 Char1"/>
    <w:semiHidden/>
    <w:qFormat/>
    <w:uiPriority w:val="0"/>
    <w:rPr>
      <w:rFonts w:ascii="Times New Roman" w:hAnsi="Times New Roman" w:eastAsia="宋体" w:cs="Times New Roman"/>
      <w:szCs w:val="24"/>
    </w:rPr>
  </w:style>
  <w:style w:type="character" w:customStyle="1" w:styleId="666">
    <w:name w:val="【正文】 Char"/>
    <w:qFormat/>
    <w:uiPriority w:val="0"/>
    <w:rPr>
      <w:rFonts w:ascii="宋体" w:hAnsi="宋体" w:cs="宋体"/>
      <w:sz w:val="24"/>
      <w:szCs w:val="24"/>
    </w:rPr>
  </w:style>
  <w:style w:type="character" w:customStyle="1" w:styleId="667">
    <w:name w:val="h Char"/>
    <w:qFormat/>
    <w:uiPriority w:val="0"/>
    <w:rPr>
      <w:rFonts w:eastAsia="楷体_GB2312"/>
      <w:snapToGrid w:val="0"/>
      <w:sz w:val="18"/>
      <w:szCs w:val="18"/>
      <w:lang w:val="en-US" w:eastAsia="zh-CN" w:bidi="ar-SA"/>
    </w:rPr>
  </w:style>
  <w:style w:type="character" w:customStyle="1" w:styleId="668">
    <w:name w:val="样式 正文首行缩进 + 首行缩进:  2 字符 Char Char"/>
    <w:link w:val="669"/>
    <w:qFormat/>
    <w:uiPriority w:val="0"/>
    <w:rPr>
      <w:rFonts w:ascii="宋体" w:cs="宋体"/>
      <w:color w:val="000000"/>
      <w:sz w:val="28"/>
      <w:szCs w:val="28"/>
    </w:rPr>
  </w:style>
  <w:style w:type="paragraph" w:customStyle="1" w:styleId="669">
    <w:name w:val="样式 正文首行缩进 + 首行缩进:  2 字符"/>
    <w:basedOn w:val="78"/>
    <w:link w:val="668"/>
    <w:qFormat/>
    <w:uiPriority w:val="0"/>
    <w:pPr>
      <w:widowControl w:val="0"/>
      <w:tabs>
        <w:tab w:val="left" w:pos="628"/>
        <w:tab w:val="left" w:pos="1727"/>
        <w:tab w:val="left" w:pos="1884"/>
        <w:tab w:val="left" w:pos="2660"/>
        <w:tab w:val="left" w:pos="5460"/>
      </w:tabs>
      <w:adjustRightInd w:val="0"/>
      <w:snapToGrid w:val="0"/>
      <w:spacing w:after="0" w:line="360" w:lineRule="auto"/>
      <w:ind w:firstLine="560" w:firstLineChars="200"/>
    </w:pPr>
    <w:rPr>
      <w:rFonts w:hAnsi="Times New Roman"/>
      <w:color w:val="000000"/>
      <w:sz w:val="28"/>
      <w:szCs w:val="28"/>
    </w:rPr>
  </w:style>
  <w:style w:type="character" w:customStyle="1" w:styleId="670">
    <w:name w:val="p4"/>
    <w:basedOn w:val="83"/>
    <w:qFormat/>
    <w:uiPriority w:val="0"/>
  </w:style>
  <w:style w:type="character" w:customStyle="1" w:styleId="671">
    <w:name w:val="图表名称 Char Char"/>
    <w:link w:val="672"/>
    <w:qFormat/>
    <w:uiPriority w:val="0"/>
    <w:rPr>
      <w:rFonts w:eastAsia="黑体"/>
      <w:b/>
      <w:kern w:val="2"/>
      <w:sz w:val="21"/>
      <w:szCs w:val="24"/>
    </w:rPr>
  </w:style>
  <w:style w:type="paragraph" w:customStyle="1" w:styleId="672">
    <w:name w:val="图表名称"/>
    <w:basedOn w:val="1"/>
    <w:link w:val="671"/>
    <w:qFormat/>
    <w:uiPriority w:val="0"/>
    <w:pPr>
      <w:autoSpaceDE/>
      <w:autoSpaceDN/>
      <w:jc w:val="center"/>
    </w:pPr>
    <w:rPr>
      <w:rFonts w:ascii="Times New Roman" w:hAnsi="Times New Roman" w:eastAsia="黑体" w:cs="Times New Roman"/>
      <w:b/>
      <w:kern w:val="2"/>
      <w:sz w:val="21"/>
      <w:szCs w:val="24"/>
      <w:lang w:val="en-US" w:bidi="ar-SA"/>
    </w:rPr>
  </w:style>
  <w:style w:type="character" w:customStyle="1" w:styleId="673">
    <w:name w:val="h4 Char"/>
    <w:qFormat/>
    <w:uiPriority w:val="0"/>
    <w:rPr>
      <w:rFonts w:ascii="黑体" w:hAnsi="宋体" w:eastAsia="黑体" w:cs="宋体"/>
      <w:b/>
      <w:bCs/>
      <w:kern w:val="2"/>
      <w:sz w:val="24"/>
      <w:szCs w:val="24"/>
      <w:lang w:val="en-US" w:eastAsia="zh-CN" w:bidi="ar-SA"/>
    </w:rPr>
  </w:style>
  <w:style w:type="character" w:customStyle="1" w:styleId="674">
    <w:name w:val="【标题2】 Char Char"/>
    <w:link w:val="675"/>
    <w:qFormat/>
    <w:uiPriority w:val="0"/>
    <w:rPr>
      <w:b/>
      <w:bCs/>
      <w:sz w:val="32"/>
    </w:rPr>
  </w:style>
  <w:style w:type="paragraph" w:customStyle="1" w:styleId="675">
    <w:name w:val="【标题2】"/>
    <w:basedOn w:val="4"/>
    <w:link w:val="674"/>
    <w:qFormat/>
    <w:uiPriority w:val="0"/>
    <w:pPr>
      <w:keepLines/>
      <w:autoSpaceDE/>
      <w:autoSpaceDN/>
      <w:spacing w:before="120" w:after="120"/>
      <w:ind w:left="0" w:firstLine="0"/>
      <w:jc w:val="both"/>
    </w:pPr>
    <w:rPr>
      <w:rFonts w:ascii="Times New Roman" w:hAnsi="Times New Roman" w:cs="Times New Roman"/>
      <w:b/>
      <w:bCs/>
      <w:sz w:val="32"/>
      <w:szCs w:val="20"/>
      <w:lang w:val="en-US" w:bidi="ar-SA"/>
    </w:rPr>
  </w:style>
  <w:style w:type="character" w:customStyle="1" w:styleId="676">
    <w:name w:val="正文首行缩进 2 + Times New Roman Char1"/>
    <w:link w:val="677"/>
    <w:qFormat/>
    <w:uiPriority w:val="0"/>
    <w:rPr>
      <w:sz w:val="24"/>
      <w:szCs w:val="24"/>
    </w:rPr>
  </w:style>
  <w:style w:type="paragraph" w:customStyle="1" w:styleId="677">
    <w:name w:val="正文首行缩进 2 + Times New Roman"/>
    <w:basedOn w:val="1"/>
    <w:link w:val="676"/>
    <w:qFormat/>
    <w:uiPriority w:val="0"/>
    <w:pPr>
      <w:tabs>
        <w:tab w:val="left" w:pos="0"/>
        <w:tab w:val="left" w:pos="870"/>
        <w:tab w:val="left" w:pos="3150"/>
      </w:tabs>
      <w:spacing w:line="360" w:lineRule="auto"/>
      <w:ind w:firstLine="480" w:firstLineChars="200"/>
      <w:jc w:val="both"/>
    </w:pPr>
    <w:rPr>
      <w:rFonts w:ascii="Times New Roman" w:hAnsi="Times New Roman" w:cs="Times New Roman"/>
      <w:sz w:val="24"/>
      <w:szCs w:val="24"/>
      <w:lang w:val="en-US" w:bidi="ar-SA"/>
    </w:rPr>
  </w:style>
  <w:style w:type="character" w:customStyle="1" w:styleId="678">
    <w:name w:val="font111"/>
    <w:qFormat/>
    <w:uiPriority w:val="0"/>
    <w:rPr>
      <w:rFonts w:hint="eastAsia" w:ascii="宋体" w:hAnsi="宋体" w:eastAsia="宋体"/>
      <w:b/>
      <w:bCs/>
      <w:color w:val="000000"/>
      <w:sz w:val="18"/>
      <w:szCs w:val="18"/>
      <w:u w:val="none"/>
    </w:rPr>
  </w:style>
  <w:style w:type="character" w:customStyle="1" w:styleId="679">
    <w:name w:val="副标题 Char3"/>
    <w:qFormat/>
    <w:locked/>
    <w:uiPriority w:val="0"/>
    <w:rPr>
      <w:rFonts w:ascii="Arial" w:hAnsi="Arial" w:eastAsia="仿宋_GB2312"/>
      <w:b/>
      <w:bCs/>
      <w:kern w:val="28"/>
      <w:sz w:val="32"/>
      <w:szCs w:val="32"/>
    </w:rPr>
  </w:style>
  <w:style w:type="character" w:customStyle="1" w:styleId="680">
    <w:name w:val="正文文本 (2) + Georgia91"/>
    <w:qFormat/>
    <w:uiPriority w:val="99"/>
    <w:rPr>
      <w:rFonts w:ascii="Georgia" w:hAnsi="Georgia" w:eastAsia="MingLiU" w:cs="Georgia"/>
      <w:sz w:val="20"/>
      <w:szCs w:val="20"/>
      <w:u w:val="none"/>
      <w:shd w:val="clear" w:color="auto" w:fill="FFFFFF"/>
      <w:lang w:val="en-US" w:eastAsia="en-US"/>
    </w:rPr>
  </w:style>
  <w:style w:type="character" w:customStyle="1" w:styleId="681">
    <w:name w:val="标题 2 Char Char Char Char Char Char Char1"/>
    <w:qFormat/>
    <w:uiPriority w:val="0"/>
    <w:rPr>
      <w:rFonts w:eastAsia="黑体"/>
      <w:b/>
      <w:kern w:val="2"/>
      <w:sz w:val="32"/>
      <w:lang w:val="en-US" w:eastAsia="zh-CN" w:bidi="ar-SA"/>
    </w:rPr>
  </w:style>
  <w:style w:type="character" w:customStyle="1" w:styleId="682">
    <w:name w:val="style11"/>
    <w:qFormat/>
    <w:uiPriority w:val="0"/>
    <w:rPr>
      <w:rFonts w:eastAsia="宋体"/>
      <w:color w:val="000000"/>
      <w:kern w:val="2"/>
      <w:sz w:val="21"/>
      <w:szCs w:val="24"/>
      <w:lang w:val="en-US" w:eastAsia="zh-CN" w:bidi="ar-SA"/>
    </w:rPr>
  </w:style>
  <w:style w:type="character" w:customStyle="1" w:styleId="683">
    <w:name w:val="未命名11"/>
    <w:qFormat/>
    <w:uiPriority w:val="0"/>
    <w:rPr>
      <w:rFonts w:hint="eastAsia" w:ascii="宋体" w:hAnsi="宋体" w:eastAsia="宋体"/>
      <w:sz w:val="18"/>
      <w:szCs w:val="18"/>
    </w:rPr>
  </w:style>
  <w:style w:type="character" w:customStyle="1" w:styleId="684">
    <w:name w:val="r1"/>
    <w:qFormat/>
    <w:uiPriority w:val="0"/>
    <w:rPr>
      <w:sz w:val="20"/>
      <w:szCs w:val="20"/>
    </w:rPr>
  </w:style>
  <w:style w:type="character" w:customStyle="1" w:styleId="685">
    <w:name w:val="标题 11 Char"/>
    <w:qFormat/>
    <w:uiPriority w:val="0"/>
    <w:rPr>
      <w:rFonts w:ascii="黑体" w:eastAsia="黑体"/>
      <w:b/>
      <w:kern w:val="2"/>
      <w:sz w:val="28"/>
      <w:szCs w:val="24"/>
      <w:lang w:val="en-US" w:eastAsia="zh-CN" w:bidi="ar-SA"/>
    </w:rPr>
  </w:style>
  <w:style w:type="character" w:customStyle="1" w:styleId="686">
    <w:name w:val="可研-正文首行缩进 Char Char"/>
    <w:qFormat/>
    <w:uiPriority w:val="0"/>
    <w:rPr>
      <w:rFonts w:ascii="Calibri" w:hAnsi="Calibri" w:eastAsia="宋体"/>
      <w:kern w:val="2"/>
      <w:sz w:val="21"/>
      <w:szCs w:val="22"/>
      <w:lang w:val="en-US" w:eastAsia="zh-CN" w:bidi="ar-SA"/>
    </w:rPr>
  </w:style>
  <w:style w:type="character" w:customStyle="1" w:styleId="687">
    <w:name w:val="Char Char211"/>
    <w:qFormat/>
    <w:uiPriority w:val="0"/>
    <w:rPr>
      <w:rFonts w:eastAsia="宋体"/>
      <w:bCs/>
      <w:snapToGrid w:val="0"/>
      <w:spacing w:val="30"/>
      <w:sz w:val="30"/>
      <w:szCs w:val="30"/>
      <w:lang w:val="en-US" w:eastAsia="zh-CN" w:bidi="ar-SA"/>
    </w:rPr>
  </w:style>
  <w:style w:type="character" w:customStyle="1" w:styleId="688">
    <w:name w:val="规范正文 Char Char"/>
    <w:link w:val="689"/>
    <w:semiHidden/>
    <w:qFormat/>
    <w:uiPriority w:val="0"/>
    <w:rPr>
      <w:sz w:val="24"/>
    </w:rPr>
  </w:style>
  <w:style w:type="paragraph" w:customStyle="1" w:styleId="689">
    <w:name w:val="规范正文"/>
    <w:basedOn w:val="1"/>
    <w:link w:val="688"/>
    <w:semiHidden/>
    <w:qFormat/>
    <w:uiPriority w:val="0"/>
    <w:pPr>
      <w:autoSpaceDE/>
      <w:autoSpaceDN/>
      <w:spacing w:line="360" w:lineRule="auto"/>
      <w:ind w:firstLine="480" w:firstLineChars="200"/>
      <w:jc w:val="both"/>
    </w:pPr>
    <w:rPr>
      <w:rFonts w:ascii="Times New Roman" w:hAnsi="Times New Roman" w:cs="Times New Roman"/>
      <w:sz w:val="24"/>
      <w:szCs w:val="20"/>
      <w:lang w:val="en-US" w:bidi="ar-SA"/>
    </w:rPr>
  </w:style>
  <w:style w:type="character" w:customStyle="1" w:styleId="690">
    <w:name w:val="纯文本 Char Char1"/>
    <w:qFormat/>
    <w:uiPriority w:val="0"/>
    <w:rPr>
      <w:rFonts w:ascii="宋体" w:hAnsi="Courier New" w:eastAsia="宋体" w:cs="Courier New"/>
      <w:bCs/>
      <w:iCs/>
      <w:kern w:val="2"/>
      <w:sz w:val="21"/>
      <w:szCs w:val="21"/>
      <w:lang w:val="en-US" w:eastAsia="zh-CN" w:bidi="ar-SA"/>
    </w:rPr>
  </w:style>
  <w:style w:type="character" w:customStyle="1" w:styleId="691">
    <w:name w:val="正文文本 (2) + 10 pt"/>
    <w:qFormat/>
    <w:uiPriority w:val="99"/>
    <w:rPr>
      <w:rFonts w:ascii="MingLiU" w:eastAsia="MingLiU" w:cs="MingLiU"/>
      <w:sz w:val="20"/>
      <w:szCs w:val="20"/>
      <w:u w:val="none"/>
      <w:shd w:val="clear" w:color="auto" w:fill="FFFFFF"/>
    </w:rPr>
  </w:style>
  <w:style w:type="character" w:customStyle="1" w:styleId="692">
    <w:name w:val="题注图名 Char Char"/>
    <w:link w:val="693"/>
    <w:qFormat/>
    <w:uiPriority w:val="0"/>
    <w:rPr>
      <w:b/>
      <w:bCs/>
      <w:lang w:val="zh-CN"/>
    </w:rPr>
  </w:style>
  <w:style w:type="paragraph" w:customStyle="1" w:styleId="693">
    <w:name w:val="题注图名"/>
    <w:basedOn w:val="1"/>
    <w:link w:val="692"/>
    <w:qFormat/>
    <w:uiPriority w:val="0"/>
    <w:pPr>
      <w:autoSpaceDE/>
      <w:autoSpaceDN/>
      <w:spacing w:after="120" w:line="300" w:lineRule="auto"/>
      <w:jc w:val="center"/>
    </w:pPr>
    <w:rPr>
      <w:rFonts w:ascii="Times New Roman" w:hAnsi="Times New Roman" w:cs="Times New Roman"/>
      <w:b/>
      <w:bCs/>
      <w:sz w:val="20"/>
      <w:szCs w:val="20"/>
      <w:lang w:bidi="ar-SA"/>
    </w:rPr>
  </w:style>
  <w:style w:type="character" w:customStyle="1" w:styleId="694">
    <w:name w:val="font-family:仿宋_gb2312"/>
    <w:basedOn w:val="83"/>
    <w:qFormat/>
    <w:uiPriority w:val="0"/>
  </w:style>
  <w:style w:type="character" w:customStyle="1" w:styleId="695">
    <w:name w:val="规范正文 + 加粗 Char Char"/>
    <w:basedOn w:val="688"/>
    <w:link w:val="696"/>
    <w:semiHidden/>
    <w:qFormat/>
    <w:uiPriority w:val="0"/>
    <w:rPr>
      <w:sz w:val="24"/>
    </w:rPr>
  </w:style>
  <w:style w:type="paragraph" w:customStyle="1" w:styleId="696">
    <w:name w:val="规范正文 + 加粗"/>
    <w:basedOn w:val="689"/>
    <w:link w:val="695"/>
    <w:semiHidden/>
    <w:qFormat/>
    <w:uiPriority w:val="0"/>
    <w:pPr>
      <w:ind w:firstLine="0" w:firstLineChars="0"/>
    </w:pPr>
  </w:style>
  <w:style w:type="character" w:customStyle="1" w:styleId="697">
    <w:name w:val="Char Char26"/>
    <w:qFormat/>
    <w:uiPriority w:val="0"/>
    <w:rPr>
      <w:rFonts w:hint="default" w:ascii="Times New Roman" w:hAnsi="Times New Roman" w:eastAsia="宋体" w:cs="Times New Roman"/>
      <w:szCs w:val="24"/>
    </w:rPr>
  </w:style>
  <w:style w:type="character" w:customStyle="1" w:styleId="698">
    <w:name w:val="标题1.1.1.1.1.1 Char"/>
    <w:qFormat/>
    <w:uiPriority w:val="0"/>
    <w:rPr>
      <w:rFonts w:ascii="Cambria" w:hAnsi="Cambria" w:eastAsia="宋体" w:cs="Times New Roman"/>
      <w:b/>
      <w:bCs/>
      <w:kern w:val="2"/>
      <w:sz w:val="24"/>
      <w:szCs w:val="24"/>
    </w:rPr>
  </w:style>
  <w:style w:type="character" w:customStyle="1" w:styleId="699">
    <w:name w:val="表文 Char Char"/>
    <w:link w:val="700"/>
    <w:qFormat/>
    <w:uiPriority w:val="0"/>
    <w:rPr>
      <w:rFonts w:eastAsia="仿宋_GB2312"/>
      <w:kern w:val="2"/>
      <w:sz w:val="21"/>
      <w:szCs w:val="22"/>
    </w:rPr>
  </w:style>
  <w:style w:type="paragraph" w:customStyle="1" w:styleId="700">
    <w:name w:val="表文"/>
    <w:next w:val="1"/>
    <w:link w:val="699"/>
    <w:qFormat/>
    <w:uiPriority w:val="0"/>
    <w:pPr>
      <w:spacing w:line="360" w:lineRule="exact"/>
    </w:pPr>
    <w:rPr>
      <w:rFonts w:ascii="Times New Roman" w:hAnsi="Times New Roman" w:eastAsia="仿宋_GB2312" w:cs="Times New Roman"/>
      <w:kern w:val="2"/>
      <w:sz w:val="21"/>
      <w:szCs w:val="22"/>
      <w:lang w:val="en-US" w:eastAsia="zh-CN" w:bidi="ar-SA"/>
    </w:rPr>
  </w:style>
  <w:style w:type="character" w:customStyle="1" w:styleId="701">
    <w:name w:val="1.1标题2 Char"/>
    <w:qFormat/>
    <w:uiPriority w:val="0"/>
    <w:rPr>
      <w:rFonts w:ascii="Arial" w:hAnsi="Arial" w:eastAsia="黑体"/>
      <w:bCs/>
      <w:kern w:val="2"/>
      <w:sz w:val="32"/>
      <w:szCs w:val="32"/>
      <w:lang w:val="en-US" w:eastAsia="zh-CN" w:bidi="ar-SA"/>
    </w:rPr>
  </w:style>
  <w:style w:type="character" w:customStyle="1" w:styleId="702">
    <w:name w:val="Char Char17"/>
    <w:qFormat/>
    <w:uiPriority w:val="0"/>
    <w:rPr>
      <w:rFonts w:eastAsia="宋体"/>
      <w:kern w:val="2"/>
      <w:sz w:val="21"/>
      <w:szCs w:val="24"/>
      <w:lang w:val="en-US" w:eastAsia="zh-CN" w:bidi="ar-SA"/>
    </w:rPr>
  </w:style>
  <w:style w:type="character" w:customStyle="1" w:styleId="703">
    <w:name w:val="font161"/>
    <w:qFormat/>
    <w:uiPriority w:val="0"/>
    <w:rPr>
      <w:rFonts w:hint="eastAsia" w:ascii="宋体" w:hAnsi="宋体" w:eastAsia="宋体"/>
      <w:color w:val="FF0000"/>
      <w:sz w:val="18"/>
      <w:szCs w:val="18"/>
      <w:u w:val="none"/>
    </w:rPr>
  </w:style>
  <w:style w:type="character" w:customStyle="1" w:styleId="704">
    <w:name w:val="HTML 地址 Char1"/>
    <w:semiHidden/>
    <w:qFormat/>
    <w:uiPriority w:val="99"/>
    <w:rPr>
      <w:rFonts w:ascii="Calibri" w:hAnsi="Calibri" w:eastAsia="宋体" w:cs="Times New Roman"/>
      <w:i/>
      <w:iCs/>
    </w:rPr>
  </w:style>
  <w:style w:type="character" w:customStyle="1" w:styleId="705">
    <w:name w:val="Char2"/>
    <w:qFormat/>
    <w:uiPriority w:val="0"/>
    <w:rPr>
      <w:rFonts w:eastAsia="宋体"/>
      <w:b/>
      <w:bCs/>
      <w:kern w:val="44"/>
      <w:sz w:val="44"/>
      <w:szCs w:val="44"/>
      <w:lang w:val="en-US" w:eastAsia="zh-CN" w:bidi="ar-SA"/>
    </w:rPr>
  </w:style>
  <w:style w:type="character" w:customStyle="1" w:styleId="706">
    <w:name w:val="Char1"/>
    <w:qFormat/>
    <w:uiPriority w:val="0"/>
    <w:rPr>
      <w:rFonts w:ascii="Arial" w:hAnsi="Arial" w:eastAsia="黑体"/>
      <w:b/>
      <w:kern w:val="2"/>
      <w:sz w:val="32"/>
      <w:szCs w:val="24"/>
      <w:lang w:val="en-US" w:eastAsia="zh-CN" w:bidi="ar-SA"/>
    </w:rPr>
  </w:style>
  <w:style w:type="character" w:customStyle="1" w:styleId="707">
    <w:name w:val="Char Char4"/>
    <w:qFormat/>
    <w:uiPriority w:val="0"/>
    <w:rPr>
      <w:rFonts w:hint="eastAsia" w:ascii="黑体" w:hAnsi="黑体" w:eastAsia="黑体"/>
      <w:b/>
      <w:snapToGrid w:val="0"/>
      <w:sz w:val="24"/>
      <w:szCs w:val="32"/>
      <w:lang w:val="en-US" w:eastAsia="zh-CN" w:bidi="ar-SA"/>
    </w:rPr>
  </w:style>
  <w:style w:type="character" w:customStyle="1" w:styleId="708">
    <w:name w:val="9dpi1"/>
    <w:qFormat/>
    <w:uiPriority w:val="0"/>
    <w:rPr>
      <w:spacing w:val="30"/>
      <w:sz w:val="18"/>
      <w:szCs w:val="18"/>
    </w:rPr>
  </w:style>
  <w:style w:type="character" w:customStyle="1" w:styleId="709">
    <w:name w:val="图 带文本框文字 Char Char"/>
    <w:link w:val="710"/>
    <w:qFormat/>
    <w:uiPriority w:val="0"/>
    <w:rPr>
      <w:snapToGrid w:val="0"/>
      <w:kern w:val="21"/>
      <w:sz w:val="21"/>
      <w:szCs w:val="21"/>
    </w:rPr>
  </w:style>
  <w:style w:type="paragraph" w:customStyle="1" w:styleId="710">
    <w:name w:val="图 带文本框文字"/>
    <w:link w:val="709"/>
    <w:qFormat/>
    <w:uiPriority w:val="0"/>
    <w:pPr>
      <w:adjustRightInd w:val="0"/>
      <w:snapToGrid w:val="0"/>
      <w:jc w:val="center"/>
    </w:pPr>
    <w:rPr>
      <w:rFonts w:ascii="Times New Roman" w:hAnsi="Times New Roman" w:eastAsia="宋体" w:cs="Times New Roman"/>
      <w:snapToGrid w:val="0"/>
      <w:kern w:val="21"/>
      <w:sz w:val="21"/>
      <w:szCs w:val="21"/>
      <w:lang w:val="en-US" w:eastAsia="zh-CN" w:bidi="ar-SA"/>
    </w:rPr>
  </w:style>
  <w:style w:type="character" w:customStyle="1" w:styleId="711">
    <w:name w:val="章节标题 Char1"/>
    <w:qFormat/>
    <w:uiPriority w:val="0"/>
    <w:rPr>
      <w:rFonts w:eastAsia="宋体"/>
      <w:b/>
      <w:sz w:val="24"/>
      <w:szCs w:val="24"/>
      <w:lang w:val="en-US" w:eastAsia="zh-CN" w:bidi="ar-SA"/>
    </w:rPr>
  </w:style>
  <w:style w:type="character" w:customStyle="1" w:styleId="712">
    <w:name w:val="表号 Char"/>
    <w:qFormat/>
    <w:uiPriority w:val="0"/>
    <w:rPr>
      <w:b/>
    </w:rPr>
  </w:style>
  <w:style w:type="character" w:customStyle="1" w:styleId="713">
    <w:name w:val="Char Char7"/>
    <w:qFormat/>
    <w:uiPriority w:val="0"/>
    <w:rPr>
      <w:rFonts w:hint="eastAsia" w:ascii="宋体" w:hAnsi="宋体" w:eastAsia="宋体"/>
      <w:kern w:val="2"/>
      <w:sz w:val="24"/>
      <w:szCs w:val="24"/>
      <w:lang w:val="en-US" w:eastAsia="zh-CN" w:bidi="ar-SA"/>
    </w:rPr>
  </w:style>
  <w:style w:type="character" w:customStyle="1" w:styleId="714">
    <w:name w:val="项标题(1) Char"/>
    <w:qFormat/>
    <w:uiPriority w:val="0"/>
    <w:rPr>
      <w:rFonts w:ascii="Times New Roman" w:hAnsi="Times New Roman"/>
      <w:b/>
      <w:bCs/>
      <w:kern w:val="2"/>
      <w:sz w:val="24"/>
      <w:szCs w:val="24"/>
    </w:rPr>
  </w:style>
  <w:style w:type="character" w:customStyle="1" w:styleId="715">
    <w:name w:val="表格字 Char Char"/>
    <w:link w:val="716"/>
    <w:qFormat/>
    <w:uiPriority w:val="0"/>
  </w:style>
  <w:style w:type="paragraph" w:customStyle="1" w:styleId="716">
    <w:name w:val="表格字"/>
    <w:basedOn w:val="59"/>
    <w:link w:val="715"/>
    <w:qFormat/>
    <w:uiPriority w:val="0"/>
    <w:pPr>
      <w:tabs>
        <w:tab w:val="clear" w:pos="3480"/>
      </w:tabs>
      <w:autoSpaceDE/>
      <w:autoSpaceDN/>
      <w:spacing w:beforeLines="0"/>
    </w:pPr>
    <w:rPr>
      <w:rFonts w:ascii="Times New Roman" w:hAnsi="Times New Roman" w:eastAsia="宋体" w:cs="Times New Roman"/>
      <w:sz w:val="20"/>
      <w:szCs w:val="20"/>
      <w:lang w:val="en-US" w:bidi="ar-SA"/>
    </w:rPr>
  </w:style>
  <w:style w:type="character" w:customStyle="1" w:styleId="717">
    <w:name w:val="Char Char141"/>
    <w:qFormat/>
    <w:uiPriority w:val="0"/>
    <w:rPr>
      <w:rFonts w:eastAsia="宋体"/>
      <w:kern w:val="2"/>
      <w:sz w:val="18"/>
      <w:szCs w:val="18"/>
      <w:lang w:val="en-US" w:eastAsia="zh-CN" w:bidi="ar-SA"/>
    </w:rPr>
  </w:style>
  <w:style w:type="character" w:customStyle="1" w:styleId="718">
    <w:name w:val="样式 样式 样式 样式 (符号) 宋体 13 磅 首行缩进:  2 字符 行距: 1.5 倍行距 + 首行缩进:  2 字符 +... Char Char"/>
    <w:link w:val="719"/>
    <w:qFormat/>
    <w:uiPriority w:val="0"/>
    <w:rPr>
      <w:rFonts w:ascii="宋体" w:hAnsi="宋体"/>
      <w:sz w:val="26"/>
    </w:rPr>
  </w:style>
  <w:style w:type="paragraph" w:customStyle="1" w:styleId="719">
    <w:name w:val="样式 样式 样式 样式 (符号) 宋体 13 磅 首行缩进:  2 字符 行距: 1.5 倍行距 + 首行缩进:  2 字符 +..."/>
    <w:basedOn w:val="1"/>
    <w:link w:val="718"/>
    <w:qFormat/>
    <w:uiPriority w:val="0"/>
    <w:pPr>
      <w:autoSpaceDE/>
      <w:autoSpaceDN/>
      <w:ind w:firstLine="563" w:firstLineChars="200"/>
      <w:jc w:val="both"/>
    </w:pPr>
    <w:rPr>
      <w:rFonts w:cs="Times New Roman"/>
      <w:sz w:val="26"/>
      <w:szCs w:val="20"/>
      <w:lang w:val="en-US" w:bidi="ar-SA"/>
    </w:rPr>
  </w:style>
  <w:style w:type="character" w:customStyle="1" w:styleId="720">
    <w:name w:val="德胜正文顶格小标题 Char Char"/>
    <w:link w:val="721"/>
    <w:qFormat/>
    <w:uiPriority w:val="0"/>
    <w:rPr>
      <w:snapToGrid w:val="0"/>
      <w:color w:val="0000FF"/>
      <w:sz w:val="24"/>
      <w:szCs w:val="24"/>
    </w:rPr>
  </w:style>
  <w:style w:type="paragraph" w:customStyle="1" w:styleId="721">
    <w:name w:val="德胜正文顶格小标题"/>
    <w:basedOn w:val="261"/>
    <w:link w:val="720"/>
    <w:qFormat/>
    <w:uiPriority w:val="0"/>
    <w:pPr>
      <w:spacing w:line="360" w:lineRule="auto"/>
    </w:pPr>
    <w:rPr>
      <w:sz w:val="24"/>
      <w:szCs w:val="24"/>
    </w:rPr>
  </w:style>
  <w:style w:type="character" w:customStyle="1" w:styleId="722">
    <w:name w:val="style91"/>
    <w:qFormat/>
    <w:uiPriority w:val="0"/>
    <w:rPr>
      <w:b/>
      <w:bCs/>
      <w:color w:val="187CC8"/>
    </w:rPr>
  </w:style>
  <w:style w:type="character" w:customStyle="1" w:styleId="723">
    <w:name w:val="表文字 Char Char"/>
    <w:link w:val="724"/>
    <w:qFormat/>
    <w:uiPriority w:val="0"/>
    <w:rPr>
      <w:rFonts w:eastAsia="汉鼎简书宋"/>
      <w:szCs w:val="21"/>
    </w:rPr>
  </w:style>
  <w:style w:type="paragraph" w:customStyle="1" w:styleId="724">
    <w:name w:val="表文字"/>
    <w:basedOn w:val="1"/>
    <w:link w:val="723"/>
    <w:qFormat/>
    <w:uiPriority w:val="0"/>
    <w:pPr>
      <w:topLinePunct/>
      <w:autoSpaceDE/>
      <w:autoSpaceDN/>
      <w:adjustRightInd w:val="0"/>
      <w:spacing w:line="240" w:lineRule="exact"/>
      <w:jc w:val="both"/>
      <w:textAlignment w:val="baseline"/>
    </w:pPr>
    <w:rPr>
      <w:rFonts w:ascii="Times New Roman" w:hAnsi="Times New Roman" w:eastAsia="汉鼎简书宋" w:cs="Times New Roman"/>
      <w:sz w:val="20"/>
      <w:szCs w:val="21"/>
      <w:lang w:val="en-US" w:bidi="ar-SA"/>
    </w:rPr>
  </w:style>
  <w:style w:type="character" w:customStyle="1" w:styleId="725">
    <w:name w:val="页眉 Char Char"/>
    <w:qFormat/>
    <w:uiPriority w:val="0"/>
    <w:rPr>
      <w:sz w:val="18"/>
      <w:szCs w:val="18"/>
    </w:rPr>
  </w:style>
  <w:style w:type="character" w:customStyle="1" w:styleId="726">
    <w:name w:val="职卫正文 Char Char"/>
    <w:link w:val="727"/>
    <w:qFormat/>
    <w:uiPriority w:val="0"/>
    <w:rPr>
      <w:rFonts w:ascii="仿宋_GB2312" w:hAnsi="宋体" w:eastAsia="仿宋_GB2312"/>
      <w:color w:val="000000"/>
      <w:spacing w:val="-2"/>
      <w:kern w:val="16"/>
      <w:sz w:val="28"/>
      <w:szCs w:val="24"/>
    </w:rPr>
  </w:style>
  <w:style w:type="paragraph" w:customStyle="1" w:styleId="727">
    <w:name w:val="职卫正文"/>
    <w:basedOn w:val="1"/>
    <w:link w:val="726"/>
    <w:qFormat/>
    <w:uiPriority w:val="0"/>
    <w:pPr>
      <w:autoSpaceDE/>
      <w:autoSpaceDN/>
      <w:spacing w:line="486" w:lineRule="exact"/>
      <w:ind w:firstLine="200" w:firstLineChars="200"/>
    </w:pPr>
    <w:rPr>
      <w:rFonts w:ascii="仿宋_GB2312" w:eastAsia="仿宋_GB2312" w:cs="Times New Roman"/>
      <w:color w:val="000000"/>
      <w:spacing w:val="-2"/>
      <w:kern w:val="16"/>
      <w:sz w:val="28"/>
      <w:szCs w:val="24"/>
      <w:lang w:val="en-US" w:bidi="ar-SA"/>
    </w:rPr>
  </w:style>
  <w:style w:type="character" w:customStyle="1" w:styleId="728">
    <w:name w:val="图表内容 Char"/>
    <w:link w:val="729"/>
    <w:qFormat/>
    <w:uiPriority w:val="0"/>
    <w:rPr>
      <w:rFonts w:eastAsia="仿宋_GB2312"/>
    </w:rPr>
  </w:style>
  <w:style w:type="paragraph" w:customStyle="1" w:styleId="729">
    <w:name w:val="图表内容"/>
    <w:basedOn w:val="1"/>
    <w:link w:val="728"/>
    <w:qFormat/>
    <w:uiPriority w:val="0"/>
    <w:pPr>
      <w:autoSpaceDE/>
      <w:autoSpaceDN/>
      <w:adjustRightInd w:val="0"/>
      <w:snapToGrid w:val="0"/>
      <w:jc w:val="center"/>
    </w:pPr>
    <w:rPr>
      <w:rFonts w:ascii="Times New Roman" w:hAnsi="Times New Roman" w:eastAsia="仿宋_GB2312" w:cs="Times New Roman"/>
      <w:sz w:val="20"/>
      <w:szCs w:val="20"/>
      <w:lang w:val="en-US" w:bidi="ar-SA"/>
    </w:rPr>
  </w:style>
  <w:style w:type="character" w:customStyle="1" w:styleId="730">
    <w:name w:val="正文文本缩进 3 Char2"/>
    <w:semiHidden/>
    <w:qFormat/>
    <w:uiPriority w:val="0"/>
    <w:rPr>
      <w:rFonts w:ascii="Times New Roman" w:hAnsi="Times New Roman" w:eastAsia="宋体" w:cs="Times New Roman"/>
      <w:sz w:val="16"/>
      <w:szCs w:val="16"/>
    </w:rPr>
  </w:style>
  <w:style w:type="character" w:customStyle="1" w:styleId="731">
    <w:name w:val="正文. Char Char"/>
    <w:link w:val="732"/>
    <w:qFormat/>
    <w:uiPriority w:val="0"/>
    <w:rPr>
      <w:snapToGrid w:val="0"/>
      <w:color w:val="000000"/>
      <w:sz w:val="24"/>
      <w:szCs w:val="24"/>
    </w:rPr>
  </w:style>
  <w:style w:type="paragraph" w:customStyle="1" w:styleId="732">
    <w:name w:val="正文."/>
    <w:basedOn w:val="1"/>
    <w:link w:val="731"/>
    <w:qFormat/>
    <w:uiPriority w:val="0"/>
    <w:pPr>
      <w:tabs>
        <w:tab w:val="left" w:leader="dot" w:pos="48"/>
      </w:tabs>
      <w:adjustRightInd w:val="0"/>
      <w:spacing w:line="360" w:lineRule="auto"/>
      <w:ind w:firstLine="480"/>
      <w:jc w:val="both"/>
    </w:pPr>
    <w:rPr>
      <w:rFonts w:ascii="Times New Roman" w:hAnsi="Times New Roman" w:cs="Times New Roman"/>
      <w:snapToGrid w:val="0"/>
      <w:color w:val="000000"/>
      <w:sz w:val="24"/>
      <w:szCs w:val="24"/>
      <w:lang w:val="en-US" w:bidi="ar-SA"/>
    </w:rPr>
  </w:style>
  <w:style w:type="character" w:customStyle="1" w:styleId="733">
    <w:name w:val="样式1 Char Char"/>
    <w:qFormat/>
    <w:uiPriority w:val="0"/>
    <w:rPr>
      <w:rFonts w:ascii="宋体" w:eastAsia="宋体"/>
      <w:color w:val="000000"/>
      <w:kern w:val="2"/>
      <w:sz w:val="21"/>
      <w:szCs w:val="21"/>
      <w:lang w:val="zh-CN" w:eastAsia="zh-CN" w:bidi="ar-SA"/>
    </w:rPr>
  </w:style>
  <w:style w:type="character" w:customStyle="1" w:styleId="734">
    <w:name w:val="model11"/>
    <w:qFormat/>
    <w:uiPriority w:val="0"/>
    <w:rPr>
      <w:rFonts w:hint="eastAsia" w:ascii="宋体" w:hAnsi="宋体" w:eastAsia="宋体"/>
      <w:sz w:val="18"/>
      <w:szCs w:val="18"/>
      <w:u w:val="none"/>
    </w:rPr>
  </w:style>
  <w:style w:type="character" w:customStyle="1" w:styleId="735">
    <w:name w:val="无节项 Char Char"/>
    <w:qFormat/>
    <w:uiPriority w:val="0"/>
    <w:rPr>
      <w:rFonts w:eastAsia="仿宋_GB2312"/>
      <w:kern w:val="21"/>
      <w:sz w:val="21"/>
      <w:lang w:val="en-US" w:eastAsia="zh-CN" w:bidi="ar-SA"/>
    </w:rPr>
  </w:style>
  <w:style w:type="character" w:customStyle="1" w:styleId="736">
    <w:name w:val="样式2 Char Char"/>
    <w:qFormat/>
    <w:uiPriority w:val="0"/>
    <w:rPr>
      <w:rFonts w:ascii="黑体" w:hAnsi="仿宋_GB2312" w:eastAsia="黑体"/>
      <w:b/>
      <w:bCs/>
      <w:kern w:val="2"/>
      <w:sz w:val="30"/>
      <w:szCs w:val="30"/>
      <w:lang w:val="en-US" w:eastAsia="zh-CN" w:bidi="ar-SA"/>
    </w:rPr>
  </w:style>
  <w:style w:type="character" w:customStyle="1" w:styleId="737">
    <w:name w:val="样式 宋体 13 磅 首行缩进:  0.99 厘米 Char Char"/>
    <w:link w:val="738"/>
    <w:qFormat/>
    <w:uiPriority w:val="0"/>
    <w:rPr>
      <w:rFonts w:ascii="宋体" w:hAnsi="宋体"/>
      <w:sz w:val="27"/>
      <w:szCs w:val="27"/>
    </w:rPr>
  </w:style>
  <w:style w:type="paragraph" w:customStyle="1" w:styleId="738">
    <w:name w:val="样式 宋体 13 磅 首行缩进:  0.99 厘米"/>
    <w:basedOn w:val="1"/>
    <w:link w:val="737"/>
    <w:qFormat/>
    <w:uiPriority w:val="0"/>
    <w:pPr>
      <w:autoSpaceDE/>
      <w:autoSpaceDN/>
      <w:ind w:firstLine="560"/>
      <w:jc w:val="both"/>
    </w:pPr>
    <w:rPr>
      <w:rFonts w:cs="Times New Roman"/>
      <w:sz w:val="27"/>
      <w:szCs w:val="27"/>
      <w:lang w:val="en-US" w:bidi="ar-SA"/>
    </w:rPr>
  </w:style>
  <w:style w:type="character" w:customStyle="1" w:styleId="739">
    <w:name w:val="Char Char132"/>
    <w:qFormat/>
    <w:uiPriority w:val="0"/>
    <w:rPr>
      <w:sz w:val="18"/>
      <w:szCs w:val="18"/>
    </w:rPr>
  </w:style>
  <w:style w:type="character" w:customStyle="1" w:styleId="740">
    <w:name w:val="plus"/>
    <w:qFormat/>
    <w:uiPriority w:val="0"/>
    <w:rPr>
      <w:b/>
      <w:vanish/>
      <w:color w:val="1F8DEF"/>
      <w:sz w:val="24"/>
      <w:szCs w:val="24"/>
    </w:rPr>
  </w:style>
  <w:style w:type="character" w:customStyle="1" w:styleId="741">
    <w:name w:val="【标题4】 Char Char"/>
    <w:link w:val="742"/>
    <w:qFormat/>
    <w:uiPriority w:val="0"/>
    <w:rPr>
      <w:b/>
      <w:bCs/>
      <w:sz w:val="28"/>
    </w:rPr>
  </w:style>
  <w:style w:type="paragraph" w:customStyle="1" w:styleId="742">
    <w:name w:val="【标题4】"/>
    <w:basedOn w:val="1"/>
    <w:link w:val="741"/>
    <w:qFormat/>
    <w:uiPriority w:val="0"/>
    <w:pPr>
      <w:keepLines/>
      <w:autoSpaceDE/>
      <w:autoSpaceDN/>
      <w:spacing w:before="120" w:after="120"/>
      <w:outlineLvl w:val="3"/>
    </w:pPr>
    <w:rPr>
      <w:rFonts w:ascii="Times New Roman" w:hAnsi="Times New Roman" w:cs="Times New Roman"/>
      <w:b/>
      <w:bCs/>
      <w:sz w:val="28"/>
      <w:szCs w:val="20"/>
      <w:lang w:val="en-US" w:bidi="ar-SA"/>
    </w:rPr>
  </w:style>
  <w:style w:type="character" w:customStyle="1" w:styleId="743">
    <w:name w:val="表格四号 Char Char"/>
    <w:link w:val="744"/>
    <w:qFormat/>
    <w:uiPriority w:val="0"/>
    <w:rPr>
      <w:rFonts w:ascii="宋体" w:hAnsi="宋体"/>
      <w:snapToGrid w:val="0"/>
      <w:sz w:val="28"/>
      <w:szCs w:val="28"/>
    </w:rPr>
  </w:style>
  <w:style w:type="paragraph" w:customStyle="1" w:styleId="744">
    <w:name w:val="表格四号"/>
    <w:basedOn w:val="1"/>
    <w:link w:val="743"/>
    <w:qFormat/>
    <w:uiPriority w:val="0"/>
    <w:pPr>
      <w:autoSpaceDE/>
      <w:autoSpaceDN/>
      <w:adjustRightInd w:val="0"/>
      <w:snapToGrid w:val="0"/>
      <w:jc w:val="center"/>
    </w:pPr>
    <w:rPr>
      <w:rFonts w:cs="Times New Roman"/>
      <w:snapToGrid w:val="0"/>
      <w:sz w:val="28"/>
      <w:szCs w:val="28"/>
      <w:lang w:val="en-US" w:bidi="ar-SA"/>
    </w:rPr>
  </w:style>
  <w:style w:type="character" w:customStyle="1" w:styleId="745">
    <w:name w:val="articlebody3"/>
    <w:qFormat/>
    <w:uiPriority w:val="0"/>
    <w:rPr>
      <w:sz w:val="21"/>
      <w:szCs w:val="21"/>
    </w:rPr>
  </w:style>
  <w:style w:type="character" w:customStyle="1" w:styleId="746">
    <w:name w:val="批注主题 Char2"/>
    <w:qFormat/>
    <w:uiPriority w:val="0"/>
    <w:rPr>
      <w:rFonts w:ascii="Calibri" w:hAnsi="Calibri" w:eastAsia="宋体" w:cs="Times New Roman"/>
      <w:b/>
      <w:bCs/>
    </w:rPr>
  </w:style>
  <w:style w:type="character" w:customStyle="1" w:styleId="747">
    <w:name w:val="正文首行缩进2字符 Char1"/>
    <w:link w:val="748"/>
    <w:qFormat/>
    <w:uiPriority w:val="0"/>
    <w:rPr>
      <w:sz w:val="28"/>
      <w:szCs w:val="24"/>
    </w:rPr>
  </w:style>
  <w:style w:type="paragraph" w:customStyle="1" w:styleId="748">
    <w:name w:val="正文首行缩进2字符"/>
    <w:basedOn w:val="1"/>
    <w:link w:val="747"/>
    <w:qFormat/>
    <w:uiPriority w:val="0"/>
    <w:pPr>
      <w:autoSpaceDE/>
      <w:autoSpaceDN/>
      <w:spacing w:line="480" w:lineRule="exact"/>
      <w:ind w:firstLine="200" w:firstLineChars="200"/>
      <w:jc w:val="both"/>
    </w:pPr>
    <w:rPr>
      <w:rFonts w:ascii="Times New Roman" w:hAnsi="Times New Roman" w:cs="Times New Roman"/>
      <w:sz w:val="28"/>
      <w:szCs w:val="24"/>
      <w:lang w:val="en-US" w:bidi="ar-SA"/>
    </w:rPr>
  </w:style>
  <w:style w:type="character" w:customStyle="1" w:styleId="749">
    <w:name w:val="表内 Char"/>
    <w:link w:val="750"/>
    <w:qFormat/>
    <w:locked/>
    <w:uiPriority w:val="0"/>
    <w:rPr>
      <w:snapToGrid w:val="0"/>
      <w:kern w:val="2"/>
      <w:sz w:val="21"/>
    </w:rPr>
  </w:style>
  <w:style w:type="paragraph" w:customStyle="1" w:styleId="750">
    <w:name w:val="表内"/>
    <w:basedOn w:val="1"/>
    <w:next w:val="1"/>
    <w:link w:val="749"/>
    <w:qFormat/>
    <w:uiPriority w:val="0"/>
    <w:pPr>
      <w:autoSpaceDE/>
      <w:autoSpaceDN/>
      <w:adjustRightInd w:val="0"/>
      <w:snapToGrid w:val="0"/>
      <w:spacing w:before="120" w:after="120" w:line="288" w:lineRule="auto"/>
      <w:jc w:val="center"/>
    </w:pPr>
    <w:rPr>
      <w:rFonts w:ascii="Times New Roman" w:hAnsi="Times New Roman" w:cs="Times New Roman"/>
      <w:snapToGrid w:val="0"/>
      <w:kern w:val="2"/>
      <w:sz w:val="21"/>
      <w:szCs w:val="20"/>
      <w:lang w:val="en-US" w:bidi="ar-SA"/>
    </w:rPr>
  </w:style>
  <w:style w:type="character" w:customStyle="1" w:styleId="751">
    <w:name w:val="正文文本缩进 2 Char Char"/>
    <w:qFormat/>
    <w:uiPriority w:val="0"/>
    <w:rPr>
      <w:rFonts w:ascii="宋体" w:hAnsi="Times New Roman" w:eastAsia="宋体" w:cs="Times New Roman"/>
      <w:color w:val="000000"/>
      <w:kern w:val="0"/>
      <w:sz w:val="36"/>
      <w:szCs w:val="20"/>
    </w:rPr>
  </w:style>
  <w:style w:type="character" w:customStyle="1" w:styleId="752">
    <w:name w:val="目标题 1) Char Char"/>
    <w:qFormat/>
    <w:uiPriority w:val="0"/>
    <w:rPr>
      <w:rFonts w:ascii="Arial" w:hAnsi="Arial" w:eastAsia="黑体"/>
      <w:kern w:val="2"/>
      <w:sz w:val="24"/>
      <w:szCs w:val="24"/>
    </w:rPr>
  </w:style>
  <w:style w:type="character" w:customStyle="1" w:styleId="753">
    <w:name w:val="日期 Char Char"/>
    <w:qFormat/>
    <w:uiPriority w:val="0"/>
    <w:rPr>
      <w:rFonts w:ascii="Times New Roman" w:hAnsi="Times New Roman" w:eastAsia="宋体" w:cs="Times New Roman"/>
      <w:sz w:val="24"/>
      <w:szCs w:val="20"/>
    </w:rPr>
  </w:style>
  <w:style w:type="character" w:customStyle="1" w:styleId="754">
    <w:name w:val="epapagename"/>
    <w:basedOn w:val="83"/>
    <w:qFormat/>
    <w:uiPriority w:val="0"/>
  </w:style>
  <w:style w:type="character" w:customStyle="1" w:styleId="755">
    <w:name w:val="表格内容1 Char Char Char Char Char"/>
    <w:link w:val="756"/>
    <w:qFormat/>
    <w:uiPriority w:val="0"/>
    <w:rPr>
      <w:rFonts w:ascii="Arial" w:hAnsi="Arial" w:eastAsia="仿宋_GB2312"/>
      <w:kern w:val="24"/>
      <w:szCs w:val="24"/>
    </w:rPr>
  </w:style>
  <w:style w:type="paragraph" w:customStyle="1" w:styleId="756">
    <w:name w:val="表格内容1 Char Char Char"/>
    <w:basedOn w:val="1"/>
    <w:link w:val="755"/>
    <w:qFormat/>
    <w:uiPriority w:val="0"/>
    <w:pPr>
      <w:autoSpaceDE/>
      <w:autoSpaceDN/>
      <w:spacing w:line="240" w:lineRule="atLeast"/>
      <w:jc w:val="center"/>
    </w:pPr>
    <w:rPr>
      <w:rFonts w:ascii="Arial" w:hAnsi="Arial" w:eastAsia="仿宋_GB2312" w:cs="Times New Roman"/>
      <w:kern w:val="24"/>
      <w:sz w:val="20"/>
      <w:szCs w:val="24"/>
      <w:lang w:val="en-US" w:bidi="ar-SA"/>
    </w:rPr>
  </w:style>
  <w:style w:type="character" w:customStyle="1" w:styleId="757">
    <w:name w:val="HTML 预设格式 Char1"/>
    <w:qFormat/>
    <w:uiPriority w:val="0"/>
    <w:rPr>
      <w:rFonts w:ascii="Courier New" w:hAnsi="Courier New" w:eastAsia="宋体" w:cs="Courier New"/>
      <w:sz w:val="20"/>
      <w:szCs w:val="20"/>
    </w:rPr>
  </w:style>
  <w:style w:type="character" w:customStyle="1" w:styleId="758">
    <w:name w:val="z-窗体顶端 Char1"/>
    <w:semiHidden/>
    <w:qFormat/>
    <w:uiPriority w:val="99"/>
    <w:rPr>
      <w:rFonts w:ascii="Arial" w:hAnsi="Arial" w:eastAsia="宋体" w:cs="Arial"/>
      <w:vanish/>
      <w:sz w:val="16"/>
      <w:szCs w:val="16"/>
    </w:rPr>
  </w:style>
  <w:style w:type="character" w:customStyle="1" w:styleId="759">
    <w:name w:val="图例 Char Char"/>
    <w:link w:val="760"/>
    <w:qFormat/>
    <w:uiPriority w:val="0"/>
    <w:rPr>
      <w:b/>
      <w:bCs/>
      <w:szCs w:val="24"/>
      <w:lang w:val="zh-CN"/>
    </w:rPr>
  </w:style>
  <w:style w:type="paragraph" w:customStyle="1" w:styleId="760">
    <w:name w:val="图例"/>
    <w:basedOn w:val="693"/>
    <w:link w:val="759"/>
    <w:qFormat/>
    <w:uiPriority w:val="0"/>
    <w:rPr>
      <w:szCs w:val="24"/>
    </w:rPr>
  </w:style>
  <w:style w:type="character" w:customStyle="1" w:styleId="761">
    <w:name w:val="小标题 Char Char"/>
    <w:link w:val="762"/>
    <w:qFormat/>
    <w:uiPriority w:val="0"/>
    <w:rPr>
      <w:rFonts w:eastAsia="仿宋_GB2312"/>
      <w:b/>
      <w:sz w:val="28"/>
    </w:rPr>
  </w:style>
  <w:style w:type="paragraph" w:customStyle="1" w:styleId="762">
    <w:name w:val="小标题"/>
    <w:basedOn w:val="1"/>
    <w:next w:val="1"/>
    <w:link w:val="761"/>
    <w:qFormat/>
    <w:uiPriority w:val="0"/>
    <w:pPr>
      <w:autoSpaceDE/>
      <w:autoSpaceDN/>
      <w:spacing w:line="486" w:lineRule="exact"/>
      <w:ind w:firstLine="200" w:firstLineChars="200"/>
    </w:pPr>
    <w:rPr>
      <w:rFonts w:ascii="Times New Roman" w:hAnsi="Times New Roman" w:eastAsia="仿宋_GB2312" w:cs="Times New Roman"/>
      <w:b/>
      <w:sz w:val="28"/>
      <w:szCs w:val="20"/>
      <w:lang w:val="en-US" w:bidi="ar-SA"/>
    </w:rPr>
  </w:style>
  <w:style w:type="character" w:customStyle="1" w:styleId="763">
    <w:name w:val="正文11 Char Char Char Char1"/>
    <w:qFormat/>
    <w:uiPriority w:val="0"/>
    <w:rPr>
      <w:rFonts w:ascii="宋体" w:hAnsi="宋体" w:eastAsia="宋体"/>
      <w:snapToGrid w:val="0"/>
      <w:sz w:val="24"/>
      <w:szCs w:val="24"/>
      <w:lang w:val="en-US" w:eastAsia="zh-CN" w:bidi="ar-SA"/>
    </w:rPr>
  </w:style>
  <w:style w:type="character" w:customStyle="1" w:styleId="764">
    <w:name w:val="Char Char29"/>
    <w:qFormat/>
    <w:uiPriority w:val="0"/>
    <w:rPr>
      <w:rFonts w:hint="eastAsia" w:ascii="宋体" w:hAnsi="Times New Roman" w:eastAsia="宋体" w:cs="Times New Roman"/>
      <w:color w:val="000000"/>
      <w:kern w:val="0"/>
      <w:sz w:val="36"/>
      <w:szCs w:val="20"/>
    </w:rPr>
  </w:style>
  <w:style w:type="character" w:customStyle="1" w:styleId="765">
    <w:name w:val="正文缩进 Char1"/>
    <w:link w:val="766"/>
    <w:qFormat/>
    <w:uiPriority w:val="0"/>
    <w:rPr>
      <w:szCs w:val="24"/>
    </w:rPr>
  </w:style>
  <w:style w:type="paragraph" w:customStyle="1" w:styleId="766">
    <w:name w:val="正文缩进1"/>
    <w:basedOn w:val="1"/>
    <w:link w:val="765"/>
    <w:qFormat/>
    <w:uiPriority w:val="0"/>
    <w:pPr>
      <w:autoSpaceDE/>
      <w:autoSpaceDN/>
      <w:spacing w:line="360" w:lineRule="exact"/>
      <w:ind w:firstLine="510"/>
      <w:jc w:val="both"/>
    </w:pPr>
    <w:rPr>
      <w:rFonts w:ascii="Times New Roman" w:hAnsi="Times New Roman" w:cs="Times New Roman"/>
      <w:sz w:val="20"/>
      <w:szCs w:val="24"/>
      <w:lang w:val="en-US" w:bidi="ar-SA"/>
    </w:rPr>
  </w:style>
  <w:style w:type="character" w:customStyle="1" w:styleId="767">
    <w:name w:val="日期 Char1"/>
    <w:qFormat/>
    <w:uiPriority w:val="0"/>
    <w:rPr>
      <w:rFonts w:ascii="Times New Roman" w:hAnsi="Times New Roman" w:eastAsia="宋体" w:cs="Times New Roman"/>
      <w:szCs w:val="24"/>
    </w:rPr>
  </w:style>
  <w:style w:type="character" w:customStyle="1" w:styleId="768">
    <w:name w:val="Char Char152"/>
    <w:link w:val="769"/>
    <w:qFormat/>
    <w:uiPriority w:val="0"/>
    <w:rPr>
      <w:sz w:val="24"/>
    </w:rPr>
  </w:style>
  <w:style w:type="paragraph" w:customStyle="1" w:styleId="769">
    <w:name w:val="正文文本1"/>
    <w:basedOn w:val="1"/>
    <w:link w:val="768"/>
    <w:qFormat/>
    <w:uiPriority w:val="0"/>
    <w:pPr>
      <w:autoSpaceDE/>
      <w:autoSpaceDN/>
      <w:spacing w:line="240" w:lineRule="atLeast"/>
      <w:jc w:val="center"/>
    </w:pPr>
    <w:rPr>
      <w:rFonts w:ascii="Times New Roman" w:hAnsi="Times New Roman" w:cs="Times New Roman"/>
      <w:sz w:val="24"/>
      <w:szCs w:val="20"/>
      <w:lang w:val="en-US" w:bidi="ar-SA"/>
    </w:rPr>
  </w:style>
  <w:style w:type="character" w:customStyle="1" w:styleId="770">
    <w:name w:val="cucd-B Char Char Char Char"/>
    <w:link w:val="771"/>
    <w:qFormat/>
    <w:uiPriority w:val="0"/>
    <w:rPr>
      <w:rFonts w:ascii="宋体" w:hAnsi="宋体"/>
      <w:color w:val="000000"/>
      <w:sz w:val="21"/>
      <w:szCs w:val="21"/>
    </w:rPr>
  </w:style>
  <w:style w:type="paragraph" w:customStyle="1" w:styleId="771">
    <w:name w:val="cucd-B Char Char"/>
    <w:next w:val="1"/>
    <w:link w:val="770"/>
    <w:qFormat/>
    <w:uiPriority w:val="0"/>
    <w:pPr>
      <w:widowControl w:val="0"/>
      <w:spacing w:beforeLines="50" w:line="240" w:lineRule="atLeast"/>
      <w:jc w:val="both"/>
    </w:pPr>
    <w:rPr>
      <w:rFonts w:ascii="宋体" w:hAnsi="宋体" w:eastAsia="宋体" w:cs="Times New Roman"/>
      <w:color w:val="000000"/>
      <w:sz w:val="21"/>
      <w:szCs w:val="21"/>
      <w:lang w:val="en-US" w:eastAsia="zh-CN" w:bidi="ar-SA"/>
    </w:rPr>
  </w:style>
  <w:style w:type="character" w:customStyle="1" w:styleId="772">
    <w:name w:val="正文文本 3 Char Char"/>
    <w:qFormat/>
    <w:uiPriority w:val="0"/>
    <w:rPr>
      <w:rFonts w:ascii="Times New Roman" w:hAnsi="Times New Roman" w:eastAsia="宋体" w:cs="Times New Roman"/>
      <w:sz w:val="16"/>
      <w:szCs w:val="16"/>
    </w:rPr>
  </w:style>
  <w:style w:type="character" w:customStyle="1" w:styleId="773">
    <w:name w:val="不明显强调1"/>
    <w:qFormat/>
    <w:uiPriority w:val="19"/>
    <w:rPr>
      <w:i/>
      <w:iCs/>
      <w:color w:val="808080"/>
    </w:rPr>
  </w:style>
  <w:style w:type="character" w:customStyle="1" w:styleId="774">
    <w:name w:val="小表右 Char Char"/>
    <w:link w:val="775"/>
    <w:qFormat/>
    <w:uiPriority w:val="0"/>
    <w:rPr>
      <w:rFonts w:ascii="宋体" w:hAnsi="宋体"/>
    </w:rPr>
  </w:style>
  <w:style w:type="paragraph" w:customStyle="1" w:styleId="775">
    <w:name w:val="小表右"/>
    <w:basedOn w:val="1"/>
    <w:link w:val="774"/>
    <w:qFormat/>
    <w:uiPriority w:val="0"/>
    <w:pPr>
      <w:keepNext/>
      <w:tabs>
        <w:tab w:val="left" w:pos="719"/>
        <w:tab w:val="left" w:pos="3156"/>
        <w:tab w:val="left" w:pos="4105"/>
        <w:tab w:val="left" w:pos="5054"/>
        <w:tab w:val="left" w:pos="6003"/>
        <w:tab w:val="left" w:pos="7183"/>
        <w:tab w:val="left" w:pos="8159"/>
        <w:tab w:val="left" w:pos="9312"/>
        <w:tab w:val="left" w:pos="10261"/>
        <w:tab w:val="left" w:pos="11210"/>
        <w:tab w:val="left" w:pos="12159"/>
        <w:tab w:val="left" w:pos="13108"/>
        <w:tab w:val="left" w:pos="14057"/>
        <w:tab w:val="left" w:pos="15006"/>
        <w:tab w:val="left" w:pos="15955"/>
        <w:tab w:val="left" w:pos="16904"/>
        <w:tab w:val="left" w:pos="17853"/>
        <w:tab w:val="left" w:pos="18802"/>
        <w:tab w:val="left" w:pos="19751"/>
        <w:tab w:val="left" w:pos="20700"/>
      </w:tabs>
      <w:autoSpaceDE/>
      <w:autoSpaceDN/>
      <w:adjustRightInd w:val="0"/>
      <w:snapToGrid w:val="0"/>
      <w:spacing w:line="240" w:lineRule="atLeast"/>
      <w:ind w:right="28" w:rightChars="10"/>
      <w:jc w:val="right"/>
    </w:pPr>
    <w:rPr>
      <w:rFonts w:cs="Times New Roman"/>
      <w:sz w:val="20"/>
      <w:szCs w:val="20"/>
      <w:lang w:val="en-US" w:bidi="ar-SA"/>
    </w:rPr>
  </w:style>
  <w:style w:type="character" w:customStyle="1" w:styleId="776">
    <w:name w:val="A3"/>
    <w:qFormat/>
    <w:uiPriority w:val="0"/>
    <w:rPr>
      <w:rFonts w:ascii="BankGothic Lt BT" w:hAnsi="BankGothic Lt BT" w:cs="BankGothic Lt BT"/>
      <w:color w:val="000000"/>
      <w:sz w:val="36"/>
      <w:szCs w:val="36"/>
    </w:rPr>
  </w:style>
  <w:style w:type="character" w:customStyle="1" w:styleId="777">
    <w:name w:val="表格和图片 Char Char"/>
    <w:link w:val="778"/>
    <w:semiHidden/>
    <w:qFormat/>
    <w:uiPriority w:val="0"/>
    <w:rPr>
      <w:color w:val="000000"/>
      <w:sz w:val="24"/>
    </w:rPr>
  </w:style>
  <w:style w:type="paragraph" w:customStyle="1" w:styleId="778">
    <w:name w:val="表格和图片"/>
    <w:basedOn w:val="1"/>
    <w:link w:val="777"/>
    <w:semiHidden/>
    <w:qFormat/>
    <w:uiPriority w:val="0"/>
    <w:pPr>
      <w:autoSpaceDE/>
      <w:autoSpaceDN/>
      <w:spacing w:line="360" w:lineRule="auto"/>
      <w:jc w:val="center"/>
    </w:pPr>
    <w:rPr>
      <w:rFonts w:ascii="Times New Roman" w:hAnsi="Times New Roman" w:cs="Times New Roman"/>
      <w:color w:val="000000"/>
      <w:sz w:val="24"/>
      <w:szCs w:val="20"/>
      <w:lang w:val="en-US" w:bidi="ar-SA"/>
    </w:rPr>
  </w:style>
  <w:style w:type="character" w:customStyle="1" w:styleId="779">
    <w:name w:val="large"/>
    <w:basedOn w:val="83"/>
    <w:qFormat/>
    <w:uiPriority w:val="0"/>
  </w:style>
  <w:style w:type="character" w:customStyle="1" w:styleId="780">
    <w:name w:val="background-color:#ffffff"/>
    <w:basedOn w:val="83"/>
    <w:qFormat/>
    <w:uiPriority w:val="0"/>
  </w:style>
  <w:style w:type="character" w:customStyle="1" w:styleId="781">
    <w:name w:val="font21"/>
    <w:qFormat/>
    <w:uiPriority w:val="0"/>
    <w:rPr>
      <w:rFonts w:hint="eastAsia" w:ascii="宋体" w:hAnsi="宋体" w:eastAsia="宋体"/>
      <w:color w:val="000000"/>
      <w:sz w:val="22"/>
      <w:u w:val="none"/>
    </w:rPr>
  </w:style>
  <w:style w:type="character" w:customStyle="1" w:styleId="782">
    <w:name w:val="zy"/>
    <w:basedOn w:val="83"/>
    <w:qFormat/>
    <w:uiPriority w:val="0"/>
  </w:style>
  <w:style w:type="character" w:customStyle="1" w:styleId="783">
    <w:name w:val="zhengwencolor1"/>
    <w:qFormat/>
    <w:uiPriority w:val="0"/>
    <w:rPr>
      <w:color w:val="000000"/>
      <w:sz w:val="16"/>
      <w:szCs w:val="16"/>
    </w:rPr>
  </w:style>
  <w:style w:type="character" w:customStyle="1" w:styleId="784">
    <w:name w:val="正文文本 2 Char1"/>
    <w:qFormat/>
    <w:uiPriority w:val="0"/>
    <w:rPr>
      <w:rFonts w:ascii="Times New Roman" w:hAnsi="Times New Roman" w:eastAsia="宋体" w:cs="Times New Roman"/>
      <w:szCs w:val="24"/>
    </w:rPr>
  </w:style>
  <w:style w:type="character" w:customStyle="1" w:styleId="785">
    <w:name w:val="aaa Char Char"/>
    <w:link w:val="786"/>
    <w:qFormat/>
    <w:uiPriority w:val="0"/>
    <w:rPr>
      <w:rFonts w:ascii="ˎ̥" w:hAnsi="ˎ̥"/>
      <w:bCs/>
      <w:color w:val="000000"/>
      <w:sz w:val="24"/>
    </w:rPr>
  </w:style>
  <w:style w:type="paragraph" w:customStyle="1" w:styleId="786">
    <w:name w:val="aaa"/>
    <w:basedOn w:val="1"/>
    <w:link w:val="785"/>
    <w:qFormat/>
    <w:uiPriority w:val="0"/>
    <w:pPr>
      <w:autoSpaceDE/>
      <w:autoSpaceDN/>
      <w:spacing w:beforeLines="50" w:afterLines="50" w:line="360" w:lineRule="auto"/>
      <w:ind w:firstLine="480" w:firstLineChars="200"/>
      <w:jc w:val="both"/>
    </w:pPr>
    <w:rPr>
      <w:rFonts w:ascii="ˎ̥" w:hAnsi="ˎ̥" w:cs="Times New Roman"/>
      <w:bCs/>
      <w:color w:val="000000"/>
      <w:sz w:val="24"/>
      <w:szCs w:val="20"/>
      <w:lang w:val="en-US" w:bidi="ar-SA"/>
    </w:rPr>
  </w:style>
  <w:style w:type="character" w:customStyle="1" w:styleId="787">
    <w:name w:val="Char Char171"/>
    <w:qFormat/>
    <w:uiPriority w:val="0"/>
    <w:rPr>
      <w:rFonts w:eastAsia="宋体"/>
      <w:kern w:val="2"/>
      <w:sz w:val="21"/>
      <w:szCs w:val="24"/>
      <w:lang w:val="en-US" w:eastAsia="zh-CN" w:bidi="ar-SA"/>
    </w:rPr>
  </w:style>
  <w:style w:type="character" w:customStyle="1" w:styleId="788">
    <w:name w:val="表格内容1 Char Char Char Char"/>
    <w:qFormat/>
    <w:uiPriority w:val="0"/>
    <w:rPr>
      <w:rFonts w:ascii="Arial" w:hAnsi="Arial" w:eastAsia="仿宋_GB2312"/>
      <w:kern w:val="24"/>
      <w:sz w:val="21"/>
      <w:szCs w:val="24"/>
    </w:rPr>
  </w:style>
  <w:style w:type="character" w:customStyle="1" w:styleId="789">
    <w:name w:val="bds_nopic2"/>
    <w:basedOn w:val="83"/>
    <w:qFormat/>
    <w:uiPriority w:val="0"/>
  </w:style>
  <w:style w:type="character" w:customStyle="1" w:styleId="790">
    <w:name w:val="sidecatalog-dot4"/>
    <w:basedOn w:val="83"/>
    <w:qFormat/>
    <w:uiPriority w:val="0"/>
  </w:style>
  <w:style w:type="character" w:customStyle="1" w:styleId="791">
    <w:name w:val="sidecatalog-dot1"/>
    <w:basedOn w:val="83"/>
    <w:qFormat/>
    <w:uiPriority w:val="0"/>
  </w:style>
  <w:style w:type="character" w:customStyle="1" w:styleId="792">
    <w:name w:val="Char Char Char Char1"/>
    <w:qFormat/>
    <w:uiPriority w:val="0"/>
    <w:rPr>
      <w:rFonts w:ascii="宋体" w:hAnsi="Courier New" w:eastAsia="宋体" w:cs="Courier New"/>
      <w:sz w:val="21"/>
      <w:szCs w:val="21"/>
      <w:lang w:val="en-US" w:eastAsia="zh-CN" w:bidi="ar-SA"/>
    </w:rPr>
  </w:style>
  <w:style w:type="character" w:customStyle="1" w:styleId="793">
    <w:name w:val="表格 Char Char Char"/>
    <w:qFormat/>
    <w:locked/>
    <w:uiPriority w:val="0"/>
    <w:rPr>
      <w:sz w:val="21"/>
      <w:lang w:val="en-US" w:eastAsia="zh-CN" w:bidi="ar-SA"/>
    </w:rPr>
  </w:style>
  <w:style w:type="character" w:customStyle="1" w:styleId="794">
    <w:name w:val="Char Char1 Char Char Char Char Char Char Char Char Char Char Char Char Char Char1"/>
    <w:link w:val="795"/>
    <w:qFormat/>
    <w:uiPriority w:val="0"/>
  </w:style>
  <w:style w:type="paragraph" w:customStyle="1" w:styleId="795">
    <w:name w:val="Char Char1 Char Char Char Char Char Char Char Char Char Char Char Char"/>
    <w:basedOn w:val="1"/>
    <w:link w:val="794"/>
    <w:qFormat/>
    <w:uiPriority w:val="0"/>
    <w:pPr>
      <w:autoSpaceDE/>
      <w:autoSpaceDN/>
    </w:pPr>
    <w:rPr>
      <w:rFonts w:ascii="Times New Roman" w:hAnsi="Times New Roman" w:cs="Times New Roman"/>
      <w:sz w:val="20"/>
      <w:szCs w:val="20"/>
      <w:lang w:val="en-US" w:bidi="ar-SA"/>
    </w:rPr>
  </w:style>
  <w:style w:type="character" w:customStyle="1" w:styleId="796">
    <w:name w:val="市局正文 Char Char"/>
    <w:link w:val="797"/>
    <w:qFormat/>
    <w:uiPriority w:val="0"/>
    <w:rPr>
      <w:b/>
      <w:sz w:val="24"/>
      <w:szCs w:val="24"/>
      <w:lang w:val="de-DE"/>
    </w:rPr>
  </w:style>
  <w:style w:type="paragraph" w:customStyle="1" w:styleId="797">
    <w:name w:val="市局正文"/>
    <w:basedOn w:val="1"/>
    <w:link w:val="796"/>
    <w:qFormat/>
    <w:uiPriority w:val="0"/>
    <w:pPr>
      <w:keepNext/>
      <w:autoSpaceDE/>
      <w:autoSpaceDN/>
      <w:adjustRightInd w:val="0"/>
      <w:snapToGrid w:val="0"/>
      <w:spacing w:line="360" w:lineRule="auto"/>
      <w:jc w:val="center"/>
    </w:pPr>
    <w:rPr>
      <w:rFonts w:ascii="Times New Roman" w:hAnsi="Times New Roman" w:cs="Times New Roman"/>
      <w:b/>
      <w:sz w:val="24"/>
      <w:szCs w:val="24"/>
      <w:lang w:val="de-DE" w:bidi="ar-SA"/>
    </w:rPr>
  </w:style>
  <w:style w:type="character" w:customStyle="1" w:styleId="798">
    <w:name w:val="Char Char27"/>
    <w:qFormat/>
    <w:uiPriority w:val="0"/>
    <w:rPr>
      <w:rFonts w:hint="default" w:ascii="Times New Roman" w:hAnsi="Times New Roman" w:eastAsia="宋体" w:cs="Times New Roman"/>
      <w:sz w:val="24"/>
      <w:szCs w:val="24"/>
    </w:rPr>
  </w:style>
  <w:style w:type="character" w:customStyle="1" w:styleId="799">
    <w:name w:val="表格文字1 Char"/>
    <w:qFormat/>
    <w:uiPriority w:val="0"/>
    <w:rPr>
      <w:rFonts w:ascii="宋体" w:hAnsi="Courier New" w:eastAsia="宋体" w:cs="Courier New"/>
      <w:kern w:val="2"/>
      <w:sz w:val="21"/>
      <w:szCs w:val="21"/>
      <w:lang w:val="en-US" w:eastAsia="zh-CN" w:bidi="ar-SA"/>
    </w:rPr>
  </w:style>
  <w:style w:type="character" w:customStyle="1" w:styleId="800">
    <w:name w:val="燕山正文 Char Char"/>
    <w:link w:val="801"/>
    <w:qFormat/>
    <w:uiPriority w:val="0"/>
    <w:rPr>
      <w:sz w:val="24"/>
      <w:szCs w:val="28"/>
      <w:shd w:val="clear" w:color="auto" w:fill="FFFFFF"/>
    </w:rPr>
  </w:style>
  <w:style w:type="paragraph" w:customStyle="1" w:styleId="801">
    <w:name w:val="燕山正文"/>
    <w:basedOn w:val="1"/>
    <w:link w:val="800"/>
    <w:qFormat/>
    <w:uiPriority w:val="0"/>
    <w:pPr>
      <w:shd w:val="clear" w:color="auto" w:fill="FFFFFF"/>
      <w:tabs>
        <w:tab w:val="left" w:pos="4680"/>
      </w:tabs>
      <w:autoSpaceDE/>
      <w:autoSpaceDN/>
      <w:adjustRightInd w:val="0"/>
      <w:snapToGrid w:val="0"/>
      <w:spacing w:beforeLines="30" w:afterLines="30" w:line="360" w:lineRule="auto"/>
      <w:ind w:firstLine="480" w:firstLineChars="200"/>
    </w:pPr>
    <w:rPr>
      <w:rFonts w:ascii="Times New Roman" w:hAnsi="Times New Roman" w:cs="Times New Roman"/>
      <w:sz w:val="24"/>
      <w:szCs w:val="28"/>
      <w:lang w:val="en-US" w:bidi="ar-SA"/>
    </w:rPr>
  </w:style>
  <w:style w:type="character" w:customStyle="1" w:styleId="802">
    <w:name w:val="样式 小三"/>
    <w:qFormat/>
    <w:uiPriority w:val="0"/>
    <w:rPr>
      <w:rFonts w:ascii="宋体" w:eastAsia="宋体"/>
      <w:sz w:val="28"/>
      <w:szCs w:val="28"/>
    </w:rPr>
  </w:style>
  <w:style w:type="character" w:customStyle="1" w:styleId="803">
    <w:name w:val="3zw1"/>
    <w:qFormat/>
    <w:uiPriority w:val="0"/>
    <w:rPr>
      <w:color w:val="000000"/>
      <w:sz w:val="21"/>
      <w:szCs w:val="21"/>
    </w:rPr>
  </w:style>
  <w:style w:type="character" w:customStyle="1" w:styleId="804">
    <w:name w:val="标题 3 Char2"/>
    <w:qFormat/>
    <w:uiPriority w:val="0"/>
    <w:rPr>
      <w:rFonts w:ascii="Calibri" w:hAnsi="Calibri" w:eastAsia="宋体"/>
      <w:b/>
      <w:bCs/>
      <w:kern w:val="2"/>
      <w:sz w:val="32"/>
      <w:szCs w:val="32"/>
      <w:lang w:val="en-US" w:eastAsia="zh-CN" w:bidi="ar-SA"/>
    </w:rPr>
  </w:style>
  <w:style w:type="character" w:customStyle="1" w:styleId="805">
    <w:name w:val="Char Char242"/>
    <w:qFormat/>
    <w:uiPriority w:val="0"/>
    <w:rPr>
      <w:b/>
      <w:kern w:val="44"/>
      <w:sz w:val="44"/>
    </w:rPr>
  </w:style>
  <w:style w:type="character" w:customStyle="1" w:styleId="806">
    <w:name w:val="样式 (符号) 宋体 13 磅"/>
    <w:qFormat/>
    <w:uiPriority w:val="0"/>
    <w:rPr>
      <w:rFonts w:ascii="宋体" w:eastAsia="宋体"/>
      <w:sz w:val="27"/>
      <w:szCs w:val="27"/>
    </w:rPr>
  </w:style>
  <w:style w:type="character" w:customStyle="1" w:styleId="807">
    <w:name w:val="Body Text Indent 2 Char Char"/>
    <w:link w:val="808"/>
    <w:qFormat/>
    <w:uiPriority w:val="0"/>
    <w:rPr>
      <w:sz w:val="24"/>
    </w:rPr>
  </w:style>
  <w:style w:type="paragraph" w:customStyle="1" w:styleId="808">
    <w:name w:val="Body Text Indent 21"/>
    <w:basedOn w:val="1"/>
    <w:link w:val="807"/>
    <w:qFormat/>
    <w:uiPriority w:val="0"/>
    <w:pPr>
      <w:autoSpaceDE/>
      <w:autoSpaceDN/>
      <w:spacing w:line="440" w:lineRule="exact"/>
      <w:ind w:firstLine="540" w:firstLineChars="200"/>
    </w:pPr>
    <w:rPr>
      <w:rFonts w:ascii="Times New Roman" w:hAnsi="Times New Roman" w:cs="Times New Roman"/>
      <w:sz w:val="24"/>
      <w:szCs w:val="20"/>
      <w:lang w:val="en-US" w:bidi="ar-SA"/>
    </w:rPr>
  </w:style>
  <w:style w:type="character" w:customStyle="1" w:styleId="809">
    <w:name w:val="正文文字描述 Char Char"/>
    <w:link w:val="810"/>
    <w:qFormat/>
    <w:uiPriority w:val="0"/>
    <w:rPr>
      <w:color w:val="000000"/>
      <w:spacing w:val="20"/>
      <w:sz w:val="24"/>
      <w:szCs w:val="28"/>
    </w:rPr>
  </w:style>
  <w:style w:type="paragraph" w:customStyle="1" w:styleId="810">
    <w:name w:val="正文文字描述"/>
    <w:basedOn w:val="1"/>
    <w:link w:val="809"/>
    <w:qFormat/>
    <w:uiPriority w:val="0"/>
    <w:pPr>
      <w:autoSpaceDE/>
      <w:autoSpaceDN/>
      <w:spacing w:line="480" w:lineRule="exact"/>
      <w:ind w:firstLine="200" w:firstLineChars="200"/>
      <w:jc w:val="both"/>
    </w:pPr>
    <w:rPr>
      <w:rFonts w:ascii="Times New Roman" w:hAnsi="Times New Roman" w:cs="Times New Roman"/>
      <w:color w:val="000000"/>
      <w:spacing w:val="20"/>
      <w:sz w:val="24"/>
      <w:szCs w:val="28"/>
      <w:lang w:val="en-US" w:bidi="ar-SA"/>
    </w:rPr>
  </w:style>
  <w:style w:type="character" w:customStyle="1" w:styleId="811">
    <w:name w:val="样式 (中文) 仿宋_GB2312 四号 行距: 1.5 倍行距 Char Char Char"/>
    <w:qFormat/>
    <w:uiPriority w:val="0"/>
    <w:rPr>
      <w:rFonts w:ascii="宋体" w:hAnsi="宋体" w:eastAsia="宋体"/>
      <w:kern w:val="2"/>
      <w:sz w:val="28"/>
      <w:szCs w:val="24"/>
      <w:lang w:val="en-US" w:eastAsia="zh-CN" w:bidi="ar-SA"/>
    </w:rPr>
  </w:style>
  <w:style w:type="character" w:customStyle="1" w:styleId="812">
    <w:name w:val="表头 Char Char"/>
    <w:qFormat/>
    <w:uiPriority w:val="0"/>
    <w:rPr>
      <w:rFonts w:ascii="宋体" w:hAnsi="宋体" w:eastAsia="宋体"/>
      <w:sz w:val="28"/>
      <w:szCs w:val="28"/>
      <w:lang w:bidi="ar-SA"/>
    </w:rPr>
  </w:style>
  <w:style w:type="character" w:customStyle="1" w:styleId="813">
    <w:name w:val="Footer-Even Char"/>
    <w:qFormat/>
    <w:uiPriority w:val="0"/>
    <w:rPr>
      <w:rFonts w:ascii="Calibri" w:hAnsi="Calibri" w:eastAsia="宋体"/>
      <w:kern w:val="2"/>
      <w:sz w:val="18"/>
      <w:szCs w:val="18"/>
      <w:lang w:val="en-US" w:eastAsia="zh-CN" w:bidi="ar-SA"/>
    </w:rPr>
  </w:style>
  <w:style w:type="character" w:customStyle="1" w:styleId="814">
    <w:name w:val="批注文字 Char1"/>
    <w:qFormat/>
    <w:uiPriority w:val="99"/>
    <w:rPr>
      <w:rFonts w:eastAsia="宋体"/>
      <w:szCs w:val="24"/>
      <w:lang w:bidi="ar-SA"/>
    </w:rPr>
  </w:style>
  <w:style w:type="character" w:customStyle="1" w:styleId="815">
    <w:name w:val="页眉 Char1"/>
    <w:qFormat/>
    <w:uiPriority w:val="0"/>
    <w:rPr>
      <w:rFonts w:ascii="Calibri" w:hAnsi="Calibri" w:eastAsia="宋体" w:cs="Times New Roman"/>
      <w:sz w:val="18"/>
      <w:szCs w:val="18"/>
    </w:rPr>
  </w:style>
  <w:style w:type="character" w:customStyle="1" w:styleId="816">
    <w:name w:val="yinwen1"/>
    <w:semiHidden/>
    <w:qFormat/>
    <w:uiPriority w:val="0"/>
    <w:rPr>
      <w:color w:val="3B4E9E"/>
    </w:rPr>
  </w:style>
  <w:style w:type="character" w:customStyle="1" w:styleId="817">
    <w:name w:val="bds_more"/>
    <w:qFormat/>
    <w:uiPriority w:val="0"/>
    <w:rPr>
      <w:rFonts w:hint="eastAsia" w:ascii="宋体" w:hAnsi="宋体" w:eastAsia="宋体" w:cs="宋体"/>
    </w:rPr>
  </w:style>
  <w:style w:type="character" w:customStyle="1" w:styleId="818">
    <w:name w:val="show-img-bd"/>
    <w:basedOn w:val="83"/>
    <w:qFormat/>
    <w:uiPriority w:val="0"/>
  </w:style>
  <w:style w:type="character" w:customStyle="1" w:styleId="819">
    <w:name w:val="bds_more3"/>
    <w:basedOn w:val="83"/>
    <w:qFormat/>
    <w:uiPriority w:val="0"/>
  </w:style>
  <w:style w:type="character" w:customStyle="1" w:styleId="820">
    <w:name w:val="bds_nopic"/>
    <w:basedOn w:val="83"/>
    <w:qFormat/>
    <w:uiPriority w:val="0"/>
  </w:style>
  <w:style w:type="character" w:customStyle="1" w:styleId="821">
    <w:name w:val="a-size-large"/>
    <w:basedOn w:val="83"/>
    <w:qFormat/>
    <w:uiPriority w:val="0"/>
  </w:style>
  <w:style w:type="character" w:customStyle="1" w:styleId="822">
    <w:name w:val="postbody1"/>
    <w:semiHidden/>
    <w:qFormat/>
    <w:uiPriority w:val="0"/>
    <w:rPr>
      <w:sz w:val="21"/>
      <w:szCs w:val="21"/>
    </w:rPr>
  </w:style>
  <w:style w:type="character" w:customStyle="1" w:styleId="823">
    <w:name w:val="body text 1 Char Char"/>
    <w:semiHidden/>
    <w:qFormat/>
    <w:uiPriority w:val="0"/>
    <w:rPr>
      <w:rFonts w:ascii="Times New Roman" w:hAnsi="Times New Roman" w:eastAsia="宋体" w:cs="Times New Roman"/>
      <w:snapToGrid w:val="0"/>
      <w:kern w:val="0"/>
      <w:sz w:val="24"/>
      <w:szCs w:val="24"/>
    </w:rPr>
  </w:style>
  <w:style w:type="character" w:customStyle="1" w:styleId="824">
    <w:name w:val="font01"/>
    <w:qFormat/>
    <w:uiPriority w:val="0"/>
    <w:rPr>
      <w:rFonts w:hint="default" w:ascii="Times New Roman" w:hAnsi="Times New Roman" w:cs="Times New Roman"/>
      <w:color w:val="FF0000"/>
      <w:sz w:val="18"/>
      <w:szCs w:val="18"/>
      <w:u w:val="none"/>
    </w:rPr>
  </w:style>
  <w:style w:type="character" w:customStyle="1" w:styleId="825">
    <w:name w:val="font201"/>
    <w:qFormat/>
    <w:uiPriority w:val="0"/>
    <w:rPr>
      <w:rFonts w:hint="default" w:ascii="Times New Roman" w:hAnsi="Times New Roman" w:cs="Times New Roman"/>
      <w:color w:val="000000"/>
      <w:sz w:val="18"/>
      <w:szCs w:val="18"/>
      <w:u w:val="none"/>
    </w:rPr>
  </w:style>
  <w:style w:type="character" w:customStyle="1" w:styleId="826">
    <w:name w:val="font121"/>
    <w:qFormat/>
    <w:uiPriority w:val="0"/>
    <w:rPr>
      <w:rFonts w:hint="default" w:ascii="Times New Roman" w:hAnsi="Times New Roman" w:cs="Times New Roman"/>
      <w:b/>
      <w:bCs/>
      <w:color w:val="000000"/>
      <w:sz w:val="18"/>
      <w:szCs w:val="18"/>
      <w:u w:val="none"/>
      <w:vertAlign w:val="superscript"/>
    </w:rPr>
  </w:style>
  <w:style w:type="character" w:customStyle="1" w:styleId="827">
    <w:name w:val="font181"/>
    <w:qFormat/>
    <w:uiPriority w:val="0"/>
    <w:rPr>
      <w:rFonts w:hint="eastAsia" w:ascii="宋体" w:hAnsi="宋体" w:eastAsia="宋体"/>
      <w:color w:val="000000"/>
      <w:sz w:val="18"/>
      <w:szCs w:val="18"/>
      <w:u w:val="none"/>
    </w:rPr>
  </w:style>
  <w:style w:type="character" w:customStyle="1" w:styleId="828">
    <w:name w:val="Char Char12"/>
    <w:semiHidden/>
    <w:qFormat/>
    <w:uiPriority w:val="0"/>
    <w:rPr>
      <w:rFonts w:eastAsia="宋体"/>
      <w:kern w:val="2"/>
      <w:sz w:val="18"/>
      <w:lang w:val="en-US" w:eastAsia="zh-CN" w:bidi="ar-SA"/>
    </w:rPr>
  </w:style>
  <w:style w:type="character" w:customStyle="1" w:styleId="829">
    <w:name w:val="标题 2 Char2"/>
    <w:semiHidden/>
    <w:qFormat/>
    <w:uiPriority w:val="0"/>
    <w:rPr>
      <w:rFonts w:ascii="黑体" w:eastAsia="黑体"/>
      <w:kern w:val="2"/>
      <w:sz w:val="24"/>
    </w:rPr>
  </w:style>
  <w:style w:type="character" w:customStyle="1" w:styleId="830">
    <w:name w:val="正文文本 (2) + 4 pt"/>
    <w:qFormat/>
    <w:uiPriority w:val="99"/>
    <w:rPr>
      <w:rFonts w:ascii="MingLiU" w:eastAsia="MingLiU" w:cs="MingLiU"/>
      <w:w w:val="200"/>
      <w:sz w:val="8"/>
      <w:szCs w:val="8"/>
      <w:u w:val="none"/>
      <w:shd w:val="clear" w:color="auto" w:fill="FFFFFF"/>
    </w:rPr>
  </w:style>
  <w:style w:type="character" w:customStyle="1" w:styleId="831">
    <w:name w:val="表格文字 Char"/>
    <w:qFormat/>
    <w:uiPriority w:val="0"/>
    <w:rPr>
      <w:rFonts w:ascii="Times New Roman" w:hAnsi="Times New Roman"/>
      <w:kern w:val="2"/>
      <w:sz w:val="21"/>
      <w:lang w:val="en-US" w:eastAsia="zh-CN" w:bidi="ar-DZ"/>
    </w:rPr>
  </w:style>
  <w:style w:type="character" w:customStyle="1" w:styleId="832">
    <w:name w:val="图名 Char"/>
    <w:link w:val="833"/>
    <w:qFormat/>
    <w:uiPriority w:val="0"/>
    <w:rPr>
      <w:rFonts w:ascii="宋体" w:hAnsi="宋体"/>
      <w:kern w:val="2"/>
      <w:sz w:val="24"/>
      <w:szCs w:val="24"/>
    </w:rPr>
  </w:style>
  <w:style w:type="paragraph" w:customStyle="1" w:styleId="833">
    <w:name w:val="图名"/>
    <w:link w:val="832"/>
    <w:qFormat/>
    <w:uiPriority w:val="0"/>
    <w:pPr>
      <w:widowControl w:val="0"/>
      <w:topLinePunct/>
      <w:jc w:val="center"/>
    </w:pPr>
    <w:rPr>
      <w:rFonts w:ascii="宋体" w:hAnsi="宋体" w:eastAsia="宋体" w:cs="Times New Roman"/>
      <w:kern w:val="2"/>
      <w:sz w:val="24"/>
      <w:szCs w:val="24"/>
      <w:lang w:val="en-US" w:eastAsia="zh-CN" w:bidi="ar-SA"/>
    </w:rPr>
  </w:style>
  <w:style w:type="character" w:customStyle="1" w:styleId="834">
    <w:name w:val="标题三 Char"/>
    <w:link w:val="835"/>
    <w:qFormat/>
    <w:uiPriority w:val="0"/>
    <w:rPr>
      <w:rFonts w:eastAsia="黑体"/>
      <w:b/>
      <w:bCs/>
      <w:kern w:val="2"/>
      <w:sz w:val="28"/>
      <w:szCs w:val="28"/>
    </w:rPr>
  </w:style>
  <w:style w:type="paragraph" w:customStyle="1" w:styleId="835">
    <w:name w:val="标题三"/>
    <w:basedOn w:val="107"/>
    <w:link w:val="834"/>
    <w:qFormat/>
    <w:uiPriority w:val="0"/>
    <w:pPr>
      <w:widowControl/>
      <w:autoSpaceDE/>
      <w:autoSpaceDN/>
      <w:spacing w:beforeLines="50" w:afterLines="50" w:line="360" w:lineRule="auto"/>
      <w:ind w:left="597" w:firstLine="420" w:firstLineChars="200"/>
      <w:outlineLvl w:val="2"/>
    </w:pPr>
    <w:rPr>
      <w:rFonts w:ascii="Times New Roman" w:hAnsi="Times New Roman" w:eastAsia="黑体" w:cs="Times New Roman"/>
      <w:b/>
      <w:bCs/>
      <w:kern w:val="2"/>
      <w:sz w:val="28"/>
      <w:szCs w:val="28"/>
      <w:lang w:val="en-US" w:bidi="ar-SA"/>
    </w:rPr>
  </w:style>
  <w:style w:type="character" w:customStyle="1" w:styleId="836">
    <w:name w:val="普通(网站) Char1"/>
    <w:qFormat/>
    <w:uiPriority w:val="39"/>
    <w:rPr>
      <w:rFonts w:ascii="宋体" w:hAnsi="宋体" w:cs="宋体"/>
      <w:sz w:val="24"/>
      <w:szCs w:val="24"/>
    </w:rPr>
  </w:style>
  <w:style w:type="paragraph" w:customStyle="1" w:styleId="837">
    <w:name w:val="Char13"/>
    <w:basedOn w:val="1"/>
    <w:qFormat/>
    <w:uiPriority w:val="99"/>
    <w:pPr>
      <w:autoSpaceDE/>
      <w:autoSpaceDN/>
      <w:jc w:val="both"/>
    </w:pPr>
    <w:rPr>
      <w:rFonts w:ascii="Tahoma" w:hAnsi="Tahoma" w:cs="Times New Roman"/>
      <w:kern w:val="2"/>
      <w:sz w:val="24"/>
      <w:szCs w:val="20"/>
      <w:lang w:val="en-US" w:bidi="ar-SA"/>
    </w:rPr>
  </w:style>
  <w:style w:type="paragraph" w:customStyle="1" w:styleId="838">
    <w:name w:val="Char Char Char Char"/>
    <w:basedOn w:val="1"/>
    <w:qFormat/>
    <w:uiPriority w:val="0"/>
    <w:pPr>
      <w:autoSpaceDE/>
      <w:autoSpaceDN/>
      <w:jc w:val="both"/>
    </w:pPr>
    <w:rPr>
      <w:rFonts w:ascii="Times New Roman" w:hAnsi="Times New Roman" w:cs="Times New Roman"/>
      <w:kern w:val="2"/>
      <w:sz w:val="21"/>
      <w:szCs w:val="21"/>
      <w:lang w:val="en-US" w:bidi="ar-SA"/>
    </w:rPr>
  </w:style>
  <w:style w:type="paragraph" w:customStyle="1" w:styleId="839">
    <w:name w:val="表标2.6"/>
    <w:next w:val="117"/>
    <w:qFormat/>
    <w:uiPriority w:val="99"/>
    <w:pPr>
      <w:tabs>
        <w:tab w:val="left" w:pos="8207"/>
      </w:tabs>
      <w:adjustRightInd w:val="0"/>
      <w:snapToGrid w:val="0"/>
      <w:spacing w:before="240" w:line="0" w:lineRule="atLeast"/>
      <w:ind w:left="-4" w:firstLine="4"/>
      <w:jc w:val="center"/>
      <w:textAlignment w:val="baseline"/>
    </w:pPr>
    <w:rPr>
      <w:rFonts w:ascii="Times New Roman" w:hAnsi="Times New Roman" w:eastAsia="黑体" w:cs="Times New Roman"/>
      <w:b/>
      <w:color w:val="000000"/>
      <w:kern w:val="2"/>
      <w:sz w:val="24"/>
      <w:szCs w:val="24"/>
      <w:lang w:val="en-US" w:eastAsia="zh-CN" w:bidi="ar-SA"/>
    </w:rPr>
  </w:style>
  <w:style w:type="paragraph" w:customStyle="1" w:styleId="840">
    <w:name w:val="xl55"/>
    <w:basedOn w:val="1"/>
    <w:qFormat/>
    <w:uiPriority w:val="0"/>
    <w:pPr>
      <w:widowControl/>
      <w:pBdr>
        <w:top w:val="single" w:color="auto" w:sz="8" w:space="0"/>
        <w:left w:val="single" w:color="auto" w:sz="4" w:space="0"/>
        <w:bottom w:val="single" w:color="auto" w:sz="8" w:space="0"/>
      </w:pBdr>
      <w:autoSpaceDE/>
      <w:autoSpaceDN/>
      <w:spacing w:before="100" w:beforeAutospacing="1" w:after="100" w:afterAutospacing="1"/>
      <w:jc w:val="center"/>
    </w:pPr>
    <w:rPr>
      <w:rFonts w:eastAsia="仿宋_GB2312" w:cs="Times New Roman"/>
      <w:position w:val="-6"/>
      <w:sz w:val="24"/>
      <w:szCs w:val="21"/>
      <w:lang w:val="en-US" w:bidi="ar-SA"/>
    </w:rPr>
  </w:style>
  <w:style w:type="paragraph" w:customStyle="1" w:styleId="841">
    <w:name w:val="样式 页眉 + 宋体 黑色 段前: 0 磅 段后: 0 磅 行距: 固定值 12 磅"/>
    <w:basedOn w:val="52"/>
    <w:qFormat/>
    <w:uiPriority w:val="0"/>
    <w:pPr>
      <w:pBdr>
        <w:top w:val="none" w:color="auto" w:sz="0" w:space="0"/>
        <w:left w:val="none" w:color="auto" w:sz="0" w:space="0"/>
        <w:bottom w:val="none" w:color="auto" w:sz="0" w:space="0"/>
        <w:right w:val="none" w:color="auto" w:sz="0" w:space="0"/>
      </w:pBdr>
      <w:tabs>
        <w:tab w:val="clear" w:pos="4153"/>
        <w:tab w:val="clear" w:pos="8306"/>
      </w:tabs>
      <w:autoSpaceDE/>
      <w:autoSpaceDN/>
      <w:snapToGrid/>
      <w:spacing w:line="240" w:lineRule="exact"/>
      <w:jc w:val="center"/>
    </w:pPr>
    <w:rPr>
      <w:rFonts w:cs="Times New Roman"/>
      <w:color w:val="000000"/>
      <w:sz w:val="21"/>
      <w:szCs w:val="20"/>
      <w:lang w:val="en-US" w:bidi="ar-SA"/>
    </w:rPr>
  </w:style>
  <w:style w:type="paragraph" w:customStyle="1" w:styleId="842">
    <w:name w:val="xl58"/>
    <w:basedOn w:val="1"/>
    <w:qFormat/>
    <w:uiPriority w:val="0"/>
    <w:pPr>
      <w:widowControl/>
      <w:pBdr>
        <w:top w:val="single" w:color="auto" w:sz="8" w:space="0"/>
        <w:bottom w:val="single" w:color="auto" w:sz="4" w:space="0"/>
        <w:right w:val="single" w:color="auto" w:sz="8" w:space="0"/>
      </w:pBdr>
      <w:autoSpaceDE/>
      <w:autoSpaceDN/>
      <w:spacing w:before="100" w:beforeAutospacing="1" w:after="100" w:afterAutospacing="1"/>
      <w:jc w:val="center"/>
    </w:pPr>
    <w:rPr>
      <w:rFonts w:eastAsia="仿宋_GB2312" w:cs="Times New Roman"/>
      <w:position w:val="-6"/>
      <w:sz w:val="24"/>
      <w:szCs w:val="21"/>
      <w:lang w:val="en-US" w:bidi="ar-SA"/>
    </w:rPr>
  </w:style>
  <w:style w:type="character" w:customStyle="1" w:styleId="843">
    <w:name w:val="尾注文本 Char2"/>
    <w:basedOn w:val="83"/>
    <w:qFormat/>
    <w:uiPriority w:val="0"/>
    <w:rPr>
      <w:rFonts w:ascii="宋体" w:hAnsi="宋体" w:cs="宋体"/>
      <w:sz w:val="24"/>
      <w:szCs w:val="24"/>
    </w:rPr>
  </w:style>
  <w:style w:type="paragraph" w:customStyle="1" w:styleId="844">
    <w:name w:val="ksheet"/>
    <w:basedOn w:val="1"/>
    <w:qFormat/>
    <w:uiPriority w:val="99"/>
    <w:pPr>
      <w:adjustRightInd w:val="0"/>
      <w:spacing w:line="300" w:lineRule="exact"/>
      <w:jc w:val="center"/>
      <w:textAlignment w:val="baseline"/>
    </w:pPr>
    <w:rPr>
      <w:rFonts w:hAnsi="Times New Roman" w:cs="Times New Roman"/>
      <w:snapToGrid w:val="0"/>
      <w:color w:val="000000"/>
      <w:sz w:val="21"/>
      <w:szCs w:val="20"/>
      <w:lang w:val="en-US" w:bidi="ar-SA"/>
    </w:rPr>
  </w:style>
  <w:style w:type="paragraph" w:customStyle="1" w:styleId="845">
    <w:name w:val="xl26"/>
    <w:basedOn w:val="1"/>
    <w:qFormat/>
    <w:uiPriority w:val="0"/>
    <w:pPr>
      <w:widowControl/>
      <w:pBdr>
        <w:right w:val="single" w:color="auto" w:sz="4" w:space="0"/>
      </w:pBdr>
      <w:autoSpaceDE/>
      <w:autoSpaceDN/>
      <w:spacing w:before="100" w:beforeAutospacing="1" w:after="100" w:afterAutospacing="1"/>
      <w:jc w:val="center"/>
    </w:pPr>
    <w:rPr>
      <w:rFonts w:ascii="Arial Unicode MS" w:hAnsi="Arial Unicode MS" w:eastAsia="Arial Unicode MS" w:cs="Times New Roman"/>
      <w:sz w:val="24"/>
      <w:szCs w:val="20"/>
      <w:lang w:val="en-US" w:bidi="ar-SA"/>
    </w:rPr>
  </w:style>
  <w:style w:type="paragraph" w:customStyle="1" w:styleId="846">
    <w:name w:val="表名"/>
    <w:basedOn w:val="1"/>
    <w:next w:val="1"/>
    <w:qFormat/>
    <w:uiPriority w:val="0"/>
    <w:pPr>
      <w:tabs>
        <w:tab w:val="left" w:pos="8100"/>
      </w:tabs>
      <w:autoSpaceDE/>
      <w:autoSpaceDN/>
      <w:adjustRightInd w:val="0"/>
      <w:snapToGrid w:val="0"/>
      <w:spacing w:line="360" w:lineRule="auto"/>
      <w:ind w:right="32"/>
      <w:jc w:val="center"/>
    </w:pPr>
    <w:rPr>
      <w:rFonts w:ascii="Times New Roman" w:cs="Times New Roman"/>
      <w:b/>
      <w:snapToGrid w:val="0"/>
      <w:kern w:val="2"/>
      <w:sz w:val="24"/>
      <w:szCs w:val="24"/>
      <w:lang w:val="en-US" w:bidi="ar-SA"/>
    </w:rPr>
  </w:style>
  <w:style w:type="paragraph" w:customStyle="1" w:styleId="847">
    <w:name w:val="Char Char Char1 Char"/>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848">
    <w:name w:val="列表 1"/>
    <w:basedOn w:val="1"/>
    <w:qFormat/>
    <w:uiPriority w:val="99"/>
    <w:pPr>
      <w:tabs>
        <w:tab w:val="left" w:pos="432"/>
      </w:tabs>
      <w:autoSpaceDE/>
      <w:autoSpaceDN/>
      <w:spacing w:before="120" w:after="60" w:line="288" w:lineRule="auto"/>
      <w:ind w:left="432" w:hanging="432"/>
      <w:jc w:val="both"/>
    </w:pPr>
    <w:rPr>
      <w:rFonts w:ascii="Arial" w:hAnsi="Arial" w:cs="Times New Roman"/>
      <w:color w:val="FFCC99"/>
      <w:kern w:val="2"/>
      <w:sz w:val="24"/>
      <w:szCs w:val="20"/>
      <w:lang w:val="en-US" w:bidi="ar-SA"/>
    </w:rPr>
  </w:style>
  <w:style w:type="paragraph" w:customStyle="1" w:styleId="849">
    <w:name w:val="图题"/>
    <w:basedOn w:val="5"/>
    <w:qFormat/>
    <w:uiPriority w:val="0"/>
    <w:pPr>
      <w:autoSpaceDE/>
      <w:autoSpaceDN/>
      <w:adjustRightInd w:val="0"/>
      <w:snapToGrid w:val="0"/>
      <w:spacing w:beforeLines="50" w:afterLines="50" w:line="40" w:lineRule="atLeast"/>
      <w:ind w:left="0" w:firstLine="0"/>
      <w:jc w:val="center"/>
      <w:outlineLvl w:val="9"/>
    </w:pPr>
    <w:rPr>
      <w:rFonts w:cs="Times New Roman"/>
      <w:szCs w:val="28"/>
      <w:lang w:val="en-US" w:bidi="ar-SA"/>
    </w:rPr>
  </w:style>
  <w:style w:type="character" w:customStyle="1" w:styleId="850">
    <w:name w:val="正文文本 3 Char2"/>
    <w:basedOn w:val="83"/>
    <w:qFormat/>
    <w:uiPriority w:val="0"/>
    <w:rPr>
      <w:rFonts w:ascii="宋体" w:hAnsi="宋体" w:cs="宋体"/>
      <w:sz w:val="16"/>
      <w:szCs w:val="16"/>
    </w:rPr>
  </w:style>
  <w:style w:type="paragraph" w:customStyle="1" w:styleId="851">
    <w:name w:val="表格文字2"/>
    <w:basedOn w:val="1"/>
    <w:qFormat/>
    <w:uiPriority w:val="99"/>
    <w:pPr>
      <w:tabs>
        <w:tab w:val="left" w:pos="277"/>
        <w:tab w:val="left" w:pos="600"/>
        <w:tab w:val="left" w:pos="780"/>
        <w:tab w:val="left" w:pos="2517"/>
      </w:tabs>
      <w:autoSpaceDE/>
      <w:autoSpaceDN/>
      <w:adjustRightInd w:val="0"/>
      <w:spacing w:before="60"/>
      <w:jc w:val="center"/>
    </w:pPr>
    <w:rPr>
      <w:rFonts w:ascii="Times New Roman" w:hAnsi="Times New Roman" w:cs="Times New Roman"/>
      <w:sz w:val="21"/>
      <w:szCs w:val="21"/>
      <w:lang w:val="en-US" w:bidi="ar-SA"/>
    </w:rPr>
  </w:style>
  <w:style w:type="paragraph" w:customStyle="1" w:styleId="852">
    <w:name w:val="封面三号"/>
    <w:basedOn w:val="1"/>
    <w:qFormat/>
    <w:uiPriority w:val="99"/>
    <w:pPr>
      <w:autoSpaceDE/>
      <w:autoSpaceDN/>
      <w:jc w:val="center"/>
    </w:pPr>
    <w:rPr>
      <w:spacing w:val="55"/>
      <w:sz w:val="32"/>
      <w:szCs w:val="32"/>
      <w:lang w:val="en-US" w:bidi="ar-SA"/>
    </w:rPr>
  </w:style>
  <w:style w:type="character" w:customStyle="1" w:styleId="853">
    <w:name w:val="正文文本缩进 3 Char3"/>
    <w:basedOn w:val="83"/>
    <w:qFormat/>
    <w:uiPriority w:val="0"/>
    <w:rPr>
      <w:rFonts w:ascii="宋体" w:hAnsi="宋体" w:cs="宋体"/>
      <w:sz w:val="16"/>
      <w:szCs w:val="16"/>
    </w:rPr>
  </w:style>
  <w:style w:type="paragraph" w:customStyle="1" w:styleId="854">
    <w:name w:val="样式 样式 表标题2.4 + 居中 段前: 1 行 + 两端对齐"/>
    <w:basedOn w:val="855"/>
    <w:qFormat/>
    <w:uiPriority w:val="99"/>
    <w:pPr>
      <w:tabs>
        <w:tab w:val="left" w:pos="726"/>
        <w:tab w:val="center" w:pos="4060"/>
        <w:tab w:val="right" w:pos="8261"/>
      </w:tabs>
      <w:ind w:left="2" w:firstLine="4"/>
      <w:jc w:val="both"/>
    </w:pPr>
  </w:style>
  <w:style w:type="paragraph" w:customStyle="1" w:styleId="855">
    <w:name w:val="样式 表标题2.4 + 居中 段前: 1 行"/>
    <w:basedOn w:val="856"/>
    <w:qFormat/>
    <w:uiPriority w:val="99"/>
    <w:pPr>
      <w:tabs>
        <w:tab w:val="center" w:pos="4060"/>
        <w:tab w:val="right" w:pos="8261"/>
      </w:tabs>
      <w:spacing w:beforeLines="0"/>
      <w:jc w:val="center"/>
    </w:pPr>
    <w:rPr>
      <w:rFonts w:cs="宋体"/>
      <w:bCs/>
      <w:szCs w:val="20"/>
    </w:rPr>
  </w:style>
  <w:style w:type="paragraph" w:customStyle="1" w:styleId="856">
    <w:name w:val="表标题2.4"/>
    <w:basedOn w:val="1"/>
    <w:qFormat/>
    <w:uiPriority w:val="99"/>
    <w:pPr>
      <w:tabs>
        <w:tab w:val="center" w:pos="4060"/>
        <w:tab w:val="right" w:pos="8261"/>
      </w:tabs>
      <w:suppressAutoHyphens/>
      <w:autoSpaceDE/>
      <w:autoSpaceDN/>
      <w:adjustRightInd w:val="0"/>
      <w:spacing w:beforeLines="100" w:line="0" w:lineRule="atLeast"/>
      <w:jc w:val="both"/>
    </w:pPr>
    <w:rPr>
      <w:rFonts w:ascii="黑体" w:hAnsi="Times New Roman" w:eastAsia="黑体" w:cs="Times New Roman"/>
      <w:b/>
      <w:spacing w:val="6"/>
      <w:sz w:val="24"/>
      <w:szCs w:val="24"/>
      <w:lang w:val="en-US" w:bidi="ar-SA"/>
    </w:rPr>
  </w:style>
  <w:style w:type="paragraph" w:customStyle="1" w:styleId="857">
    <w:name w:val="表标题5.12"/>
    <w:basedOn w:val="1"/>
    <w:qFormat/>
    <w:uiPriority w:val="99"/>
    <w:pPr>
      <w:tabs>
        <w:tab w:val="center" w:pos="4060"/>
        <w:tab w:val="right" w:pos="8261"/>
      </w:tabs>
      <w:suppressAutoHyphens/>
      <w:autoSpaceDE/>
      <w:autoSpaceDN/>
      <w:adjustRightInd w:val="0"/>
      <w:spacing w:beforeLines="100" w:line="0" w:lineRule="atLeast"/>
      <w:jc w:val="both"/>
    </w:pPr>
    <w:rPr>
      <w:rFonts w:ascii="黑体" w:hAnsi="Times New Roman" w:eastAsia="黑体" w:cs="Times New Roman"/>
      <w:b/>
      <w:spacing w:val="6"/>
      <w:sz w:val="24"/>
      <w:szCs w:val="26"/>
      <w:lang w:val="en-US" w:bidi="ar-SA"/>
    </w:rPr>
  </w:style>
  <w:style w:type="paragraph" w:customStyle="1" w:styleId="858">
    <w:name w:val="列表 B"/>
    <w:basedOn w:val="59"/>
    <w:qFormat/>
    <w:uiPriority w:val="99"/>
    <w:pPr>
      <w:tabs>
        <w:tab w:val="left" w:pos="425"/>
        <w:tab w:val="clear" w:pos="3480"/>
      </w:tabs>
      <w:autoSpaceDE/>
      <w:autoSpaceDN/>
      <w:spacing w:beforeLines="100" w:afterLines="50" w:line="288" w:lineRule="auto"/>
      <w:ind w:left="425" w:hanging="425"/>
      <w:jc w:val="both"/>
    </w:pPr>
    <w:rPr>
      <w:rFonts w:ascii="Arial" w:hAnsi="Arial" w:eastAsia="宋体" w:cs="Times New Roman"/>
      <w:b/>
      <w:bCs/>
      <w:color w:val="FF99CC"/>
      <w:sz w:val="24"/>
      <w:szCs w:val="20"/>
      <w:lang w:val="en-US" w:bidi="ar-SA"/>
    </w:rPr>
  </w:style>
  <w:style w:type="character" w:customStyle="1" w:styleId="859">
    <w:name w:val="HTML 地址 Char2"/>
    <w:basedOn w:val="83"/>
    <w:qFormat/>
    <w:uiPriority w:val="0"/>
    <w:rPr>
      <w:rFonts w:ascii="宋体" w:hAnsi="宋体" w:cs="宋体"/>
      <w:i/>
      <w:iCs/>
      <w:sz w:val="24"/>
      <w:szCs w:val="24"/>
    </w:rPr>
  </w:style>
  <w:style w:type="paragraph" w:customStyle="1" w:styleId="860">
    <w:name w:val="列表 2L"/>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861">
    <w:name w:val="列表 2Z"/>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character" w:customStyle="1" w:styleId="862">
    <w:name w:val="结束语 Char2"/>
    <w:basedOn w:val="83"/>
    <w:qFormat/>
    <w:uiPriority w:val="0"/>
    <w:rPr>
      <w:rFonts w:ascii="宋体" w:hAnsi="宋体" w:cs="宋体"/>
      <w:sz w:val="24"/>
      <w:szCs w:val="24"/>
    </w:rPr>
  </w:style>
  <w:style w:type="paragraph" w:customStyle="1" w:styleId="863">
    <w:name w:val="sub_body"/>
    <w:qFormat/>
    <w:uiPriority w:val="0"/>
    <w:pPr>
      <w:widowControl w:val="0"/>
      <w:autoSpaceDE w:val="0"/>
      <w:autoSpaceDN w:val="0"/>
      <w:adjustRightInd w:val="0"/>
      <w:spacing w:before="43" w:after="43" w:line="288" w:lineRule="atLeast"/>
      <w:ind w:left="288"/>
      <w:textAlignment w:val="baseline"/>
    </w:pPr>
    <w:rPr>
      <w:rFonts w:ascii="Arial" w:hAnsi="Arial" w:eastAsia="宋体" w:cs="Times New Roman"/>
      <w:color w:val="000000"/>
      <w:lang w:val="en-US" w:eastAsia="zh-CN" w:bidi="ar-SA"/>
    </w:rPr>
  </w:style>
  <w:style w:type="paragraph" w:customStyle="1" w:styleId="864">
    <w:name w:val="Char Char Char1 Char1 Char Char Char"/>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865">
    <w:name w:val="报告名"/>
    <w:basedOn w:val="1"/>
    <w:qFormat/>
    <w:uiPriority w:val="99"/>
    <w:pPr>
      <w:tabs>
        <w:tab w:val="left" w:pos="1727"/>
        <w:tab w:val="left" w:pos="1884"/>
      </w:tabs>
      <w:autoSpaceDE/>
      <w:autoSpaceDN/>
      <w:adjustRightInd w:val="0"/>
      <w:spacing w:line="312" w:lineRule="auto"/>
      <w:jc w:val="both"/>
      <w:outlineLvl w:val="0"/>
    </w:pPr>
    <w:rPr>
      <w:rFonts w:ascii="Times New Roman" w:hAnsi="Times New Roman" w:cs="Times New Roman"/>
      <w:b/>
      <w:kern w:val="2"/>
      <w:sz w:val="24"/>
      <w:szCs w:val="24"/>
      <w:lang w:val="en-US" w:bidi="ar-SA"/>
    </w:rPr>
  </w:style>
  <w:style w:type="paragraph" w:customStyle="1" w:styleId="866">
    <w:name w:val="正文样式3"/>
    <w:basedOn w:val="1"/>
    <w:qFormat/>
    <w:uiPriority w:val="99"/>
    <w:pPr>
      <w:autoSpaceDE/>
      <w:autoSpaceDN/>
      <w:adjustRightInd w:val="0"/>
      <w:spacing w:line="20" w:lineRule="atLeast"/>
      <w:jc w:val="center"/>
      <w:textAlignment w:val="baseline"/>
    </w:pPr>
    <w:rPr>
      <w:rFonts w:ascii="Times New Roman" w:hAnsi="Times New Roman" w:cs="Times New Roman"/>
      <w:sz w:val="24"/>
      <w:szCs w:val="20"/>
      <w:lang w:val="en-US" w:bidi="ar-SA"/>
    </w:rPr>
  </w:style>
  <w:style w:type="paragraph" w:customStyle="1" w:styleId="867">
    <w:name w:val="样式 样式 宋体 小四 左 行距: 固定值 24 磅 + 黑色 居中 首行缩进:  2 字符 段前: 5 磅 段后: 5..."/>
    <w:basedOn w:val="868"/>
    <w:qFormat/>
    <w:uiPriority w:val="99"/>
    <w:pPr>
      <w:spacing w:before="100" w:after="100"/>
      <w:ind w:firstLine="0" w:firstLineChars="0"/>
      <w:jc w:val="center"/>
    </w:pPr>
    <w:rPr>
      <w:color w:val="000000"/>
    </w:rPr>
  </w:style>
  <w:style w:type="paragraph" w:customStyle="1" w:styleId="868">
    <w:name w:val="样式 宋体 小四 左 行距: 固定值 24 磅"/>
    <w:basedOn w:val="1"/>
    <w:qFormat/>
    <w:uiPriority w:val="99"/>
    <w:pPr>
      <w:autoSpaceDE/>
      <w:autoSpaceDN/>
      <w:spacing w:line="480" w:lineRule="exact"/>
      <w:ind w:firstLine="200" w:firstLineChars="200"/>
    </w:pPr>
    <w:rPr>
      <w:rFonts w:hAnsi="Times New Roman"/>
      <w:sz w:val="24"/>
      <w:szCs w:val="20"/>
      <w:lang w:val="en-US" w:bidi="ar-SA"/>
    </w:rPr>
  </w:style>
  <w:style w:type="paragraph" w:customStyle="1" w:styleId="869">
    <w:name w:val="内容"/>
    <w:basedOn w:val="1"/>
    <w:link w:val="870"/>
    <w:qFormat/>
    <w:uiPriority w:val="0"/>
    <w:pPr>
      <w:autoSpaceDE/>
      <w:autoSpaceDN/>
      <w:spacing w:beforeLines="50" w:afterLines="50"/>
      <w:ind w:firstLine="200" w:firstLineChars="200"/>
      <w:jc w:val="both"/>
    </w:pPr>
    <w:rPr>
      <w:rFonts w:ascii="Times New Roman" w:hAnsi="Times New Roman" w:cs="Times New Roman"/>
      <w:color w:val="000000"/>
      <w:kern w:val="2"/>
      <w:sz w:val="24"/>
      <w:szCs w:val="24"/>
      <w:lang w:val="en-US" w:bidi="ar-SA"/>
    </w:rPr>
  </w:style>
  <w:style w:type="character" w:customStyle="1" w:styleId="870">
    <w:name w:val="内容 Char Char"/>
    <w:link w:val="869"/>
    <w:qFormat/>
    <w:uiPriority w:val="0"/>
    <w:rPr>
      <w:color w:val="000000"/>
      <w:kern w:val="2"/>
      <w:sz w:val="24"/>
      <w:szCs w:val="24"/>
    </w:rPr>
  </w:style>
  <w:style w:type="paragraph" w:customStyle="1" w:styleId="871">
    <w:name w:val="小五表文"/>
    <w:qFormat/>
    <w:uiPriority w:val="99"/>
    <w:pPr>
      <w:spacing w:beforeLines="50"/>
      <w:ind w:firstLine="3304" w:firstLineChars="1180"/>
    </w:pPr>
    <w:rPr>
      <w:rFonts w:ascii="Times New Roman" w:hAnsi="Times New Roman" w:eastAsia="黑体" w:cs="Times New Roman"/>
      <w:bCs/>
      <w:spacing w:val="20"/>
      <w:sz w:val="24"/>
      <w:lang w:val="en-US" w:eastAsia="zh-CN" w:bidi="ar-SA"/>
    </w:rPr>
  </w:style>
  <w:style w:type="paragraph" w:customStyle="1" w:styleId="872">
    <w:name w:val="文章总标题"/>
    <w:basedOn w:val="1"/>
    <w:next w:val="1"/>
    <w:qFormat/>
    <w:uiPriority w:val="99"/>
    <w:pPr>
      <w:widowControl/>
      <w:autoSpaceDE/>
      <w:autoSpaceDN/>
      <w:spacing w:before="566" w:after="544" w:line="566" w:lineRule="atLeast"/>
      <w:jc w:val="center"/>
      <w:textAlignment w:val="baseline"/>
    </w:pPr>
    <w:rPr>
      <w:rFonts w:ascii="Arial" w:hAnsi="Times New Roman" w:eastAsia="黑体" w:cs="Arial"/>
      <w:bCs/>
      <w:color w:val="000000"/>
      <w:sz w:val="54"/>
      <w:szCs w:val="54"/>
      <w:u w:color="000000"/>
      <w:lang w:val="en-US" w:bidi="ar-SA"/>
    </w:rPr>
  </w:style>
  <w:style w:type="paragraph" w:customStyle="1" w:styleId="873">
    <w:name w:val="插图标题"/>
    <w:basedOn w:val="1"/>
    <w:qFormat/>
    <w:uiPriority w:val="99"/>
    <w:pPr>
      <w:tabs>
        <w:tab w:val="center" w:pos="6804"/>
        <w:tab w:val="right" w:pos="7371"/>
      </w:tabs>
      <w:overflowPunct w:val="0"/>
      <w:autoSpaceDE/>
      <w:autoSpaceDN/>
      <w:adjustRightInd w:val="0"/>
      <w:ind w:firstLine="567"/>
      <w:jc w:val="center"/>
      <w:textAlignment w:val="baseline"/>
    </w:pPr>
    <w:rPr>
      <w:rFonts w:ascii="黑体" w:hAnsi="Times New Roman" w:eastAsia="黑体" w:cs="Times New Roman"/>
      <w:sz w:val="28"/>
      <w:szCs w:val="20"/>
      <w:lang w:val="en-US" w:bidi="ar-SA"/>
    </w:rPr>
  </w:style>
  <w:style w:type="paragraph" w:customStyle="1" w:styleId="874">
    <w:name w:val="CM62"/>
    <w:basedOn w:val="101"/>
    <w:next w:val="101"/>
    <w:qFormat/>
    <w:uiPriority w:val="99"/>
    <w:pPr>
      <w:snapToGrid w:val="0"/>
      <w:spacing w:beforeLines="0" w:after="160" w:afterLines="0" w:line="360" w:lineRule="auto"/>
    </w:pPr>
    <w:rPr>
      <w:rFonts w:ascii="Times New Roman" w:cs="Times New Roman"/>
      <w:b w:val="0"/>
      <w:color w:val="auto"/>
      <w:kern w:val="0"/>
      <w:sz w:val="24"/>
      <w:szCs w:val="24"/>
    </w:rPr>
  </w:style>
  <w:style w:type="paragraph" w:customStyle="1" w:styleId="875">
    <w:name w:val="xl78"/>
    <w:basedOn w:val="1"/>
    <w:qFormat/>
    <w:uiPriority w:val="0"/>
    <w:pPr>
      <w:widowControl/>
      <w:pBdr>
        <w:top w:val="single" w:color="auto" w:sz="8" w:space="0"/>
        <w:bottom w:val="single" w:color="auto" w:sz="8" w:space="0"/>
        <w:right w:val="single" w:color="auto" w:sz="8" w:space="0"/>
      </w:pBdr>
      <w:autoSpaceDE/>
      <w:autoSpaceDN/>
      <w:spacing w:before="100" w:beforeAutospacing="1" w:after="100" w:afterAutospacing="1"/>
      <w:jc w:val="center"/>
    </w:pPr>
    <w:rPr>
      <w:rFonts w:ascii="Times New Roman" w:hAnsi="Times New Roman" w:cs="Times New Roman"/>
      <w:color w:val="000000"/>
      <w:sz w:val="18"/>
      <w:szCs w:val="18"/>
      <w:lang w:val="en-US" w:bidi="ar-SA"/>
    </w:rPr>
  </w:style>
  <w:style w:type="paragraph" w:customStyle="1" w:styleId="876">
    <w:name w:val="小表右密"/>
    <w:basedOn w:val="1"/>
    <w:qFormat/>
    <w:uiPriority w:val="99"/>
    <w:pPr>
      <w:keepNext/>
      <w:tabs>
        <w:tab w:val="left" w:pos="719"/>
        <w:tab w:val="left" w:pos="3156"/>
        <w:tab w:val="left" w:pos="4105"/>
        <w:tab w:val="left" w:pos="5054"/>
        <w:tab w:val="left" w:pos="6003"/>
        <w:tab w:val="left" w:pos="7183"/>
        <w:tab w:val="left" w:pos="8159"/>
        <w:tab w:val="left" w:pos="9312"/>
        <w:tab w:val="left" w:pos="10261"/>
        <w:tab w:val="left" w:pos="11210"/>
        <w:tab w:val="left" w:pos="12159"/>
        <w:tab w:val="left" w:pos="13108"/>
        <w:tab w:val="left" w:pos="14057"/>
        <w:tab w:val="left" w:pos="15006"/>
        <w:tab w:val="left" w:pos="15955"/>
        <w:tab w:val="left" w:pos="16904"/>
        <w:tab w:val="left" w:pos="17853"/>
        <w:tab w:val="left" w:pos="18802"/>
        <w:tab w:val="left" w:pos="19751"/>
        <w:tab w:val="left" w:pos="20700"/>
      </w:tabs>
      <w:autoSpaceDE/>
      <w:autoSpaceDN/>
      <w:adjustRightInd w:val="0"/>
      <w:snapToGrid w:val="0"/>
      <w:spacing w:line="240" w:lineRule="atLeast"/>
      <w:ind w:right="28" w:rightChars="10"/>
      <w:jc w:val="right"/>
    </w:pPr>
    <w:rPr>
      <w:rFonts w:cs="Times New Roman"/>
      <w:kern w:val="2"/>
      <w:sz w:val="18"/>
      <w:szCs w:val="18"/>
      <w:lang w:val="en-US" w:bidi="ar-SA"/>
    </w:rPr>
  </w:style>
  <w:style w:type="character" w:customStyle="1" w:styleId="877">
    <w:name w:val="正文文本 2 Char3"/>
    <w:basedOn w:val="83"/>
    <w:qFormat/>
    <w:uiPriority w:val="0"/>
    <w:rPr>
      <w:rFonts w:ascii="宋体" w:hAnsi="宋体" w:cs="宋体"/>
      <w:sz w:val="24"/>
      <w:szCs w:val="24"/>
    </w:rPr>
  </w:style>
  <w:style w:type="paragraph" w:customStyle="1" w:styleId="878">
    <w:name w:val="Char Char Char Char Char Char Char Char Char Char Char1 Char Char Char Char"/>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879">
    <w:name w:val="样式  + 首行缩进:  0.75 厘米"/>
    <w:basedOn w:val="1"/>
    <w:qFormat/>
    <w:uiPriority w:val="0"/>
    <w:pPr>
      <w:autoSpaceDE/>
      <w:autoSpaceDN/>
      <w:ind w:firstLine="425"/>
    </w:pPr>
    <w:rPr>
      <w:rFonts w:ascii="Times New Roman" w:hAnsi="Times New Roman" w:cs="Times New Roman"/>
      <w:bCs/>
      <w:kern w:val="2"/>
      <w:sz w:val="24"/>
      <w:szCs w:val="24"/>
      <w:lang w:val="en-US" w:bidi="ar-SA"/>
    </w:rPr>
  </w:style>
  <w:style w:type="character" w:customStyle="1" w:styleId="880">
    <w:name w:val="注释标题 Char3"/>
    <w:basedOn w:val="83"/>
    <w:qFormat/>
    <w:uiPriority w:val="0"/>
    <w:rPr>
      <w:rFonts w:ascii="宋体" w:hAnsi="宋体" w:cs="宋体"/>
      <w:sz w:val="24"/>
      <w:szCs w:val="24"/>
    </w:rPr>
  </w:style>
  <w:style w:type="paragraph" w:customStyle="1" w:styleId="881">
    <w:name w:val="样式 湛江钢铁表 +"/>
    <w:basedOn w:val="1"/>
    <w:next w:val="1"/>
    <w:qFormat/>
    <w:uiPriority w:val="99"/>
    <w:pPr>
      <w:autoSpaceDE/>
      <w:autoSpaceDN/>
      <w:adjustRightInd w:val="0"/>
      <w:snapToGrid w:val="0"/>
      <w:spacing w:beforeLines="20" w:afterLines="20"/>
      <w:jc w:val="center"/>
      <w:textAlignment w:val="baseline"/>
    </w:pPr>
    <w:rPr>
      <w:rFonts w:ascii="Times New Roman" w:hAnsi="Times New Roman" w:eastAsia="仿宋_GB2312" w:cs="Times New Roman"/>
      <w:snapToGrid w:val="0"/>
      <w:sz w:val="21"/>
      <w:szCs w:val="21"/>
      <w:lang w:val="en-US" w:bidi="ar-SA"/>
    </w:rPr>
  </w:style>
  <w:style w:type="paragraph" w:customStyle="1" w:styleId="882">
    <w:name w:val="调研内容"/>
    <w:basedOn w:val="1"/>
    <w:qFormat/>
    <w:uiPriority w:val="99"/>
    <w:pPr>
      <w:autoSpaceDE/>
      <w:autoSpaceDN/>
      <w:spacing w:line="360" w:lineRule="auto"/>
      <w:jc w:val="both"/>
    </w:pPr>
    <w:rPr>
      <w:rFonts w:ascii="Times New Roman" w:hAnsi="Times New Roman" w:cs="Times New Roman"/>
      <w:kern w:val="2"/>
      <w:sz w:val="21"/>
      <w:szCs w:val="20"/>
      <w:lang w:val="en-US" w:bidi="ar-SA"/>
    </w:rPr>
  </w:style>
  <w:style w:type="paragraph" w:customStyle="1" w:styleId="883">
    <w:name w:val="CM22"/>
    <w:basedOn w:val="101"/>
    <w:next w:val="101"/>
    <w:qFormat/>
    <w:uiPriority w:val="99"/>
    <w:pPr>
      <w:snapToGrid w:val="0"/>
      <w:spacing w:beforeLines="0" w:afterLines="0" w:line="360" w:lineRule="auto"/>
    </w:pPr>
    <w:rPr>
      <w:rFonts w:ascii="Times New Roman" w:cs="Times New Roman"/>
      <w:b w:val="0"/>
      <w:color w:val="auto"/>
      <w:kern w:val="0"/>
      <w:sz w:val="24"/>
      <w:szCs w:val="24"/>
    </w:rPr>
  </w:style>
  <w:style w:type="character" w:customStyle="1" w:styleId="884">
    <w:name w:val="签名 Char2"/>
    <w:basedOn w:val="83"/>
    <w:qFormat/>
    <w:uiPriority w:val="0"/>
    <w:rPr>
      <w:rFonts w:ascii="宋体" w:hAnsi="宋体" w:cs="宋体"/>
      <w:sz w:val="24"/>
      <w:szCs w:val="24"/>
    </w:rPr>
  </w:style>
  <w:style w:type="paragraph" w:customStyle="1" w:styleId="885">
    <w:name w:val="正文3"/>
    <w:qFormat/>
    <w:uiPriority w:val="99"/>
    <w:pPr>
      <w:widowControl w:val="0"/>
      <w:adjustRightInd w:val="0"/>
      <w:spacing w:line="360" w:lineRule="atLeast"/>
    </w:pPr>
    <w:rPr>
      <w:rFonts w:hint="eastAsia" w:ascii="宋体" w:hAnsi="Times New Roman" w:eastAsia="宋体" w:cs="Times New Roman"/>
      <w:sz w:val="24"/>
      <w:lang w:val="en-US" w:eastAsia="zh-CN" w:bidi="ar-SA"/>
    </w:rPr>
  </w:style>
  <w:style w:type="paragraph" w:customStyle="1" w:styleId="886">
    <w:name w:val="列表 2J"/>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887">
    <w:name w:val="图文框"/>
    <w:basedOn w:val="1"/>
    <w:qFormat/>
    <w:uiPriority w:val="99"/>
    <w:pPr>
      <w:tabs>
        <w:tab w:val="left" w:pos="0"/>
      </w:tabs>
      <w:adjustRightInd w:val="0"/>
      <w:snapToGrid w:val="0"/>
      <w:ind w:right="-107" w:rightChars="-51"/>
      <w:jc w:val="center"/>
      <w:textAlignment w:val="baseline"/>
    </w:pPr>
    <w:rPr>
      <w:rFonts w:cs="Times New Roman"/>
      <w:color w:val="000000"/>
      <w:kern w:val="2"/>
      <w:sz w:val="21"/>
      <w:szCs w:val="21"/>
      <w:lang w:val="en-US" w:bidi="ar-SA"/>
    </w:rPr>
  </w:style>
  <w:style w:type="character" w:customStyle="1" w:styleId="888">
    <w:name w:val="日期 Char2"/>
    <w:basedOn w:val="83"/>
    <w:qFormat/>
    <w:uiPriority w:val="0"/>
    <w:rPr>
      <w:rFonts w:ascii="宋体" w:hAnsi="宋体" w:cs="宋体"/>
      <w:sz w:val="24"/>
      <w:szCs w:val="24"/>
    </w:rPr>
  </w:style>
  <w:style w:type="paragraph" w:customStyle="1" w:styleId="889">
    <w:name w:val="列表 4Q"/>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890">
    <w:name w:val="表题 Char Char"/>
    <w:basedOn w:val="1"/>
    <w:qFormat/>
    <w:uiPriority w:val="99"/>
    <w:pPr>
      <w:autoSpaceDE/>
      <w:autoSpaceDN/>
      <w:spacing w:line="360" w:lineRule="auto"/>
      <w:ind w:firstLine="480" w:firstLineChars="200"/>
      <w:jc w:val="both"/>
    </w:pPr>
    <w:rPr>
      <w:rFonts w:cs="Times New Roman"/>
      <w:bCs/>
      <w:kern w:val="2"/>
      <w:sz w:val="24"/>
      <w:szCs w:val="24"/>
      <w:lang w:val="en-US" w:bidi="ar-SA"/>
    </w:rPr>
  </w:style>
  <w:style w:type="paragraph" w:customStyle="1" w:styleId="891">
    <w:name w:val="列表 4W"/>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892">
    <w:name w:val="正文文字进缩1"/>
    <w:basedOn w:val="1"/>
    <w:qFormat/>
    <w:uiPriority w:val="0"/>
    <w:pPr>
      <w:autoSpaceDE/>
      <w:autoSpaceDN/>
      <w:spacing w:line="360" w:lineRule="auto"/>
      <w:ind w:left="555"/>
      <w:jc w:val="both"/>
    </w:pPr>
    <w:rPr>
      <w:rFonts w:ascii="黑体" w:hAnsi="Times New Roman" w:eastAsia="黑体" w:cs="Times New Roman"/>
      <w:b/>
      <w:bCs/>
      <w:iCs/>
      <w:kern w:val="2"/>
      <w:sz w:val="28"/>
      <w:szCs w:val="24"/>
      <w:lang w:val="en-US" w:bidi="ar-SA"/>
    </w:rPr>
  </w:style>
  <w:style w:type="paragraph" w:customStyle="1" w:styleId="893">
    <w:name w:val="xl97"/>
    <w:basedOn w:val="1"/>
    <w:qFormat/>
    <w:uiPriority w:val="0"/>
    <w:pPr>
      <w:widowControl/>
      <w:pBdr>
        <w:left w:val="single" w:color="auto" w:sz="8" w:space="0"/>
        <w:right w:val="single" w:color="auto" w:sz="4" w:space="0"/>
      </w:pBdr>
      <w:autoSpaceDE/>
      <w:autoSpaceDN/>
      <w:spacing w:before="100" w:beforeAutospacing="1" w:after="100" w:afterAutospacing="1"/>
      <w:jc w:val="center"/>
      <w:textAlignment w:val="center"/>
    </w:pPr>
    <w:rPr>
      <w:rFonts w:ascii="Times New Roman" w:hAnsi="Times New Roman" w:eastAsia="Arial Unicode MS" w:cs="Times New Roman"/>
      <w:sz w:val="16"/>
      <w:szCs w:val="16"/>
      <w:lang w:val="en-US" w:bidi="ar-SA"/>
    </w:rPr>
  </w:style>
  <w:style w:type="paragraph" w:customStyle="1" w:styleId="894">
    <w:name w:val="Char Char Char1 Char3"/>
    <w:basedOn w:val="1"/>
    <w:qFormat/>
    <w:uiPriority w:val="0"/>
    <w:pPr>
      <w:autoSpaceDE/>
      <w:autoSpaceDN/>
      <w:jc w:val="both"/>
    </w:pPr>
    <w:rPr>
      <w:rFonts w:ascii="Times New Roman" w:hAnsi="Times New Roman" w:cs="Times New Roman"/>
      <w:kern w:val="2"/>
      <w:sz w:val="21"/>
      <w:szCs w:val="20"/>
      <w:lang w:val="en-US" w:bidi="ar-SA"/>
    </w:rPr>
  </w:style>
  <w:style w:type="paragraph" w:customStyle="1" w:styleId="895">
    <w:name w:val="表8.1-1"/>
    <w:basedOn w:val="1"/>
    <w:qFormat/>
    <w:uiPriority w:val="99"/>
    <w:pPr>
      <w:tabs>
        <w:tab w:val="left" w:pos="726"/>
      </w:tabs>
      <w:autoSpaceDE/>
      <w:autoSpaceDN/>
      <w:adjustRightInd w:val="0"/>
      <w:snapToGrid w:val="0"/>
      <w:spacing w:beforeLines="100" w:line="0" w:lineRule="atLeast"/>
      <w:ind w:left="2" w:firstLine="4"/>
      <w:jc w:val="center"/>
    </w:pPr>
    <w:rPr>
      <w:rFonts w:ascii="黑体" w:hAnsi="Times New Roman" w:eastAsia="黑体" w:cs="Times New Roman"/>
      <w:b/>
      <w:kern w:val="2"/>
      <w:sz w:val="24"/>
      <w:szCs w:val="24"/>
      <w:lang w:val="en-US" w:bidi="ar-SA"/>
    </w:rPr>
  </w:style>
  <w:style w:type="paragraph" w:customStyle="1" w:styleId="896">
    <w:name w:val="正文 + 首行缩进:  2 字符"/>
    <w:basedOn w:val="1"/>
    <w:qFormat/>
    <w:uiPriority w:val="99"/>
    <w:pPr>
      <w:autoSpaceDE/>
      <w:autoSpaceDN/>
      <w:spacing w:line="460" w:lineRule="atLeast"/>
      <w:ind w:firstLine="528" w:firstLineChars="200"/>
      <w:jc w:val="both"/>
    </w:pPr>
    <w:rPr>
      <w:rFonts w:ascii="Times New Roman" w:hAnsi="Times New Roman" w:cs="Times New Roman"/>
      <w:spacing w:val="12"/>
      <w:kern w:val="2"/>
      <w:sz w:val="24"/>
      <w:szCs w:val="20"/>
      <w:lang w:val="en-US" w:bidi="ar-SA"/>
    </w:rPr>
  </w:style>
  <w:style w:type="paragraph" w:customStyle="1" w:styleId="897">
    <w:name w:val="表格02"/>
    <w:basedOn w:val="1"/>
    <w:qFormat/>
    <w:uiPriority w:val="99"/>
    <w:pPr>
      <w:autoSpaceDE/>
      <w:autoSpaceDN/>
      <w:spacing w:line="400" w:lineRule="exact"/>
      <w:jc w:val="center"/>
    </w:pPr>
    <w:rPr>
      <w:rFonts w:ascii="Times New Roman" w:hAnsi="Times New Roman" w:cs="Times New Roman"/>
      <w:snapToGrid w:val="0"/>
      <w:kern w:val="2"/>
      <w:sz w:val="24"/>
      <w:szCs w:val="24"/>
      <w:lang w:val="en-GB" w:bidi="ar-SA"/>
    </w:rPr>
  </w:style>
  <w:style w:type="paragraph" w:customStyle="1" w:styleId="898">
    <w:name w:val="样式 左  0 字符 首行缩进:  2 字符"/>
    <w:basedOn w:val="1"/>
    <w:qFormat/>
    <w:uiPriority w:val="0"/>
    <w:pPr>
      <w:autoSpaceDE/>
      <w:autoSpaceDN/>
      <w:ind w:firstLine="200" w:firstLineChars="200"/>
      <w:jc w:val="both"/>
    </w:pPr>
    <w:rPr>
      <w:rFonts w:ascii="Times New Roman" w:hAnsi="Times New Roman" w:cs="Times New Roman"/>
      <w:kern w:val="2"/>
      <w:sz w:val="28"/>
      <w:szCs w:val="28"/>
      <w:lang w:val="en-US" w:bidi="ar-SA"/>
    </w:rPr>
  </w:style>
  <w:style w:type="paragraph" w:customStyle="1" w:styleId="899">
    <w:name w:val="Char Char Char Char Char Char Char Char Char Char1"/>
    <w:basedOn w:val="1"/>
    <w:qFormat/>
    <w:uiPriority w:val="0"/>
    <w:pPr>
      <w:autoSpaceDE/>
      <w:autoSpaceDN/>
      <w:jc w:val="both"/>
    </w:pPr>
    <w:rPr>
      <w:color w:val="000000"/>
      <w:kern w:val="2"/>
      <w:sz w:val="21"/>
      <w:szCs w:val="21"/>
      <w:lang w:val="en-US" w:bidi="ar-SA"/>
    </w:rPr>
  </w:style>
  <w:style w:type="paragraph" w:customStyle="1" w:styleId="900">
    <w:name w:val="样式7"/>
    <w:basedOn w:val="5"/>
    <w:qFormat/>
    <w:uiPriority w:val="0"/>
    <w:pPr>
      <w:widowControl/>
      <w:autoSpaceDE/>
      <w:autoSpaceDN/>
      <w:adjustRightInd w:val="0"/>
      <w:snapToGrid w:val="0"/>
      <w:spacing w:beforeLines="30" w:afterLines="50" w:line="360" w:lineRule="auto"/>
      <w:ind w:left="0" w:firstLine="0"/>
      <w:textAlignment w:val="baseline"/>
    </w:pPr>
    <w:rPr>
      <w:rFonts w:hAnsi="Courier New" w:cs="Times New Roman"/>
      <w:bCs w:val="0"/>
      <w:szCs w:val="20"/>
      <w:lang w:val="en-US" w:bidi="ar-SA"/>
    </w:rPr>
  </w:style>
  <w:style w:type="paragraph" w:customStyle="1" w:styleId="901">
    <w:name w:val="表标题8.1"/>
    <w:basedOn w:val="570"/>
    <w:qFormat/>
    <w:uiPriority w:val="99"/>
    <w:pPr>
      <w:tabs>
        <w:tab w:val="center" w:pos="4060"/>
        <w:tab w:val="right" w:pos="8261"/>
        <w:tab w:val="clear" w:pos="360"/>
        <w:tab w:val="clear" w:pos="726"/>
      </w:tabs>
      <w:suppressAutoHyphens/>
      <w:adjustRightInd w:val="0"/>
      <w:spacing w:beforeLines="100" w:line="0" w:lineRule="atLeast"/>
    </w:pPr>
    <w:rPr>
      <w:rFonts w:ascii="黑体" w:eastAsia="黑体" w:cs="宋体"/>
      <w:b/>
      <w:bCs/>
      <w:spacing w:val="6"/>
      <w:sz w:val="24"/>
    </w:rPr>
  </w:style>
  <w:style w:type="character" w:customStyle="1" w:styleId="902">
    <w:name w:val="脚注文本 Char2"/>
    <w:basedOn w:val="83"/>
    <w:qFormat/>
    <w:uiPriority w:val="0"/>
    <w:rPr>
      <w:rFonts w:ascii="宋体" w:hAnsi="宋体" w:cs="宋体"/>
      <w:sz w:val="18"/>
      <w:szCs w:val="18"/>
    </w:rPr>
  </w:style>
  <w:style w:type="paragraph" w:customStyle="1" w:styleId="903">
    <w:name w:val="填表内容"/>
    <w:basedOn w:val="1"/>
    <w:qFormat/>
    <w:uiPriority w:val="99"/>
    <w:pPr>
      <w:autoSpaceDE/>
      <w:autoSpaceDN/>
      <w:adjustRightInd w:val="0"/>
      <w:spacing w:line="480" w:lineRule="exact"/>
      <w:ind w:firstLine="560" w:firstLineChars="200"/>
      <w:textAlignment w:val="baseline"/>
    </w:pPr>
    <w:rPr>
      <w:rFonts w:ascii="楷体_GB2312" w:hAnsi="Times New Roman" w:eastAsia="楷体_GB2312" w:cs="Times New Roman"/>
      <w:kern w:val="2"/>
      <w:sz w:val="28"/>
      <w:szCs w:val="20"/>
      <w:lang w:val="en-US" w:bidi="ar-SA"/>
    </w:rPr>
  </w:style>
  <w:style w:type="paragraph" w:customStyle="1" w:styleId="904">
    <w:name w:val="样式 样式 正文首行缩进正文首行缩进 Char + 首行缩进:  2 字符 + 首行缩进:  2 字符"/>
    <w:basedOn w:val="1"/>
    <w:qFormat/>
    <w:uiPriority w:val="99"/>
    <w:pPr>
      <w:autoSpaceDE/>
      <w:autoSpaceDN/>
      <w:adjustRightInd w:val="0"/>
      <w:snapToGrid w:val="0"/>
      <w:spacing w:line="360" w:lineRule="auto"/>
      <w:ind w:firstLine="480" w:firstLineChars="200"/>
      <w:jc w:val="both"/>
      <w:textAlignment w:val="baseline"/>
    </w:pPr>
    <w:rPr>
      <w:rFonts w:hAnsi="Times New Roman"/>
      <w:kern w:val="2"/>
      <w:sz w:val="24"/>
      <w:szCs w:val="20"/>
      <w:lang w:bidi="ar-SA"/>
    </w:rPr>
  </w:style>
  <w:style w:type="paragraph" w:customStyle="1" w:styleId="905">
    <w:name w:val="章标题(不加入目录内)"/>
    <w:basedOn w:val="76"/>
    <w:qFormat/>
    <w:uiPriority w:val="99"/>
    <w:pPr>
      <w:keepLines/>
      <w:pageBreakBefore/>
      <w:spacing w:after="120"/>
      <w:ind w:right="0" w:firstLine="0"/>
      <w:jc w:val="center"/>
      <w:outlineLvl w:val="9"/>
    </w:pPr>
    <w:rPr>
      <w:rFonts w:ascii="Times New Roman" w:hAnsi="Times New Roman" w:eastAsia="黑体"/>
      <w:sz w:val="36"/>
      <w:szCs w:val="22"/>
    </w:rPr>
  </w:style>
  <w:style w:type="paragraph" w:customStyle="1" w:styleId="906">
    <w:name w:val="xl60"/>
    <w:basedOn w:val="1"/>
    <w:qFormat/>
    <w:uiPriority w:val="0"/>
    <w:pPr>
      <w:widowControl/>
      <w:pBdr>
        <w:top w:val="single" w:color="auto" w:sz="4" w:space="0"/>
        <w:bottom w:val="single" w:color="auto" w:sz="8" w:space="0"/>
      </w:pBdr>
      <w:autoSpaceDE/>
      <w:autoSpaceDN/>
      <w:spacing w:before="100" w:beforeAutospacing="1" w:after="100" w:afterAutospacing="1"/>
      <w:jc w:val="center"/>
    </w:pPr>
    <w:rPr>
      <w:rFonts w:eastAsia="仿宋_GB2312" w:cs="Times New Roman"/>
      <w:b/>
      <w:bCs/>
      <w:position w:val="-6"/>
      <w:sz w:val="24"/>
      <w:szCs w:val="24"/>
      <w:lang w:val="en-US" w:bidi="ar-SA"/>
    </w:rPr>
  </w:style>
  <w:style w:type="paragraph" w:customStyle="1" w:styleId="907">
    <w:name w:val="xl61"/>
    <w:basedOn w:val="1"/>
    <w:qFormat/>
    <w:uiPriority w:val="0"/>
    <w:pPr>
      <w:widowControl/>
      <w:pBdr>
        <w:bottom w:val="single" w:color="auto" w:sz="8" w:space="0"/>
        <w:right w:val="single" w:color="auto" w:sz="4" w:space="0"/>
      </w:pBdr>
      <w:autoSpaceDE/>
      <w:autoSpaceDN/>
      <w:spacing w:before="100" w:beforeAutospacing="1" w:after="100" w:afterAutospacing="1"/>
      <w:jc w:val="center"/>
    </w:pPr>
    <w:rPr>
      <w:rFonts w:eastAsia="仿宋_GB2312" w:cs="Times New Roman"/>
      <w:position w:val="-6"/>
      <w:sz w:val="24"/>
      <w:szCs w:val="21"/>
      <w:lang w:val="en-US" w:bidi="ar-SA"/>
    </w:rPr>
  </w:style>
  <w:style w:type="character" w:customStyle="1" w:styleId="908">
    <w:name w:val="标题 Char5"/>
    <w:basedOn w:val="83"/>
    <w:qFormat/>
    <w:uiPriority w:val="0"/>
    <w:rPr>
      <w:rFonts w:ascii="Calibri Light" w:hAnsi="Calibri Light" w:cs="Times New Roman"/>
      <w:b/>
      <w:bCs/>
      <w:sz w:val="32"/>
      <w:szCs w:val="32"/>
    </w:rPr>
  </w:style>
  <w:style w:type="paragraph" w:customStyle="1" w:styleId="909">
    <w:name w:val="CM4"/>
    <w:basedOn w:val="101"/>
    <w:next w:val="101"/>
    <w:qFormat/>
    <w:uiPriority w:val="99"/>
    <w:pPr>
      <w:snapToGrid w:val="0"/>
      <w:spacing w:beforeLines="0" w:afterLines="0" w:line="468" w:lineRule="atLeast"/>
    </w:pPr>
    <w:rPr>
      <w:rFonts w:ascii="Times New Roman" w:cs="Times New Roman"/>
      <w:b w:val="0"/>
      <w:color w:val="auto"/>
      <w:kern w:val="0"/>
      <w:sz w:val="24"/>
      <w:szCs w:val="24"/>
    </w:rPr>
  </w:style>
  <w:style w:type="paragraph" w:customStyle="1" w:styleId="910">
    <w:name w:val="Char1 Char Char Char"/>
    <w:basedOn w:val="1"/>
    <w:qFormat/>
    <w:uiPriority w:val="0"/>
    <w:pPr>
      <w:widowControl/>
      <w:autoSpaceDE/>
      <w:autoSpaceDN/>
      <w:spacing w:after="160" w:line="240" w:lineRule="exact"/>
    </w:pPr>
    <w:rPr>
      <w:rFonts w:ascii="Verdana" w:hAnsi="Verdana" w:cs="Times New Roman"/>
      <w:sz w:val="20"/>
      <w:szCs w:val="20"/>
      <w:lang w:val="en-US" w:eastAsia="en-US" w:bidi="ar-SA"/>
    </w:rPr>
  </w:style>
  <w:style w:type="character" w:customStyle="1" w:styleId="911">
    <w:name w:val="正文文本缩进 2 Char3"/>
    <w:basedOn w:val="83"/>
    <w:qFormat/>
    <w:uiPriority w:val="0"/>
    <w:rPr>
      <w:rFonts w:ascii="宋体" w:hAnsi="宋体" w:cs="宋体"/>
      <w:sz w:val="24"/>
      <w:szCs w:val="24"/>
    </w:rPr>
  </w:style>
  <w:style w:type="paragraph" w:customStyle="1" w:styleId="912">
    <w:name w:val="样式 样式 标题 1标题 1 Char标1章 + 段前: 0.5 行 段后: 0.5 行 + 段前: 0.5 行 段后: 0...."/>
    <w:basedOn w:val="1"/>
    <w:qFormat/>
    <w:uiPriority w:val="99"/>
    <w:pPr>
      <w:keepNext/>
      <w:widowControl/>
      <w:tabs>
        <w:tab w:val="left" w:pos="0"/>
      </w:tabs>
      <w:autoSpaceDE/>
      <w:autoSpaceDN/>
      <w:spacing w:beforeLines="50" w:afterLines="50"/>
      <w:jc w:val="both"/>
      <w:outlineLvl w:val="0"/>
    </w:pPr>
    <w:rPr>
      <w:rFonts w:ascii="黑体" w:hAnsi="Arial" w:eastAsia="黑体"/>
      <w:color w:val="000000"/>
      <w:kern w:val="24"/>
      <w:sz w:val="28"/>
      <w:szCs w:val="20"/>
      <w:lang w:bidi="ar-SA"/>
    </w:rPr>
  </w:style>
  <w:style w:type="paragraph" w:customStyle="1" w:styleId="913">
    <w:name w:val="正文缩进12"/>
    <w:basedOn w:val="1"/>
    <w:qFormat/>
    <w:uiPriority w:val="99"/>
    <w:pPr>
      <w:autoSpaceDE/>
      <w:autoSpaceDN/>
      <w:ind w:firstLine="420"/>
      <w:jc w:val="both"/>
    </w:pPr>
    <w:rPr>
      <w:rFonts w:ascii="Times New Roman" w:hAnsi="Times New Roman" w:cs="Times New Roman"/>
      <w:kern w:val="2"/>
      <w:sz w:val="24"/>
      <w:szCs w:val="20"/>
      <w:lang w:val="en-US" w:bidi="ar-SA"/>
    </w:rPr>
  </w:style>
  <w:style w:type="paragraph" w:customStyle="1" w:styleId="914">
    <w:name w:val="xl22"/>
    <w:basedOn w:val="1"/>
    <w:qFormat/>
    <w:uiPriority w:val="0"/>
    <w:pPr>
      <w:widowControl/>
      <w:autoSpaceDE/>
      <w:autoSpaceDN/>
      <w:spacing w:before="100" w:beforeAutospacing="1" w:after="100" w:afterAutospacing="1"/>
      <w:jc w:val="center"/>
    </w:pPr>
    <w:rPr>
      <w:rFonts w:ascii="Arial Unicode MS" w:hAnsi="Arial Unicode MS" w:eastAsia="Arial Unicode MS" w:cs="Times New Roman"/>
      <w:sz w:val="21"/>
      <w:szCs w:val="21"/>
      <w:lang w:val="en-US" w:bidi="ar-SA"/>
    </w:rPr>
  </w:style>
  <w:style w:type="paragraph" w:customStyle="1" w:styleId="915">
    <w:name w:val="连续正文文字"/>
    <w:basedOn w:val="31"/>
    <w:qFormat/>
    <w:uiPriority w:val="99"/>
    <w:pPr>
      <w:keepNext/>
      <w:widowControl/>
      <w:autoSpaceDE/>
      <w:autoSpaceDN/>
      <w:spacing w:after="220" w:line="280" w:lineRule="exact"/>
      <w:jc w:val="center"/>
    </w:pPr>
    <w:rPr>
      <w:rFonts w:ascii="Times New Roman" w:hAnsi="Times New Roman" w:cs="Times New Roman"/>
      <w:sz w:val="30"/>
      <w:szCs w:val="20"/>
      <w:lang w:val="en-US" w:bidi="ar-SA"/>
    </w:rPr>
  </w:style>
  <w:style w:type="paragraph" w:customStyle="1" w:styleId="916">
    <w:name w:val="表格2"/>
    <w:basedOn w:val="24"/>
    <w:qFormat/>
    <w:uiPriority w:val="99"/>
    <w:pPr>
      <w:shd w:val="clear" w:color="auto" w:fill="auto"/>
      <w:spacing w:beforeLines="5"/>
      <w:jc w:val="center"/>
    </w:pPr>
    <w:rPr>
      <w:rFonts w:ascii="宋体"/>
      <w:szCs w:val="20"/>
    </w:rPr>
  </w:style>
  <w:style w:type="paragraph" w:customStyle="1" w:styleId="917">
    <w:name w:val="Char Char Char Char Char Char Char Char Char"/>
    <w:basedOn w:val="1"/>
    <w:qFormat/>
    <w:uiPriority w:val="0"/>
    <w:pPr>
      <w:autoSpaceDE/>
      <w:autoSpaceDN/>
      <w:jc w:val="both"/>
    </w:pPr>
    <w:rPr>
      <w:rFonts w:ascii="Times New Roman" w:hAnsi="Times New Roman" w:cs="Times New Roman"/>
      <w:kern w:val="2"/>
      <w:sz w:val="21"/>
      <w:szCs w:val="20"/>
      <w:lang w:val="en-US" w:bidi="ar-SA"/>
    </w:rPr>
  </w:style>
  <w:style w:type="paragraph" w:customStyle="1" w:styleId="918">
    <w:name w:val="Char Char Char Char Char Char Char Char"/>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919">
    <w:name w:val="普通(网站)1"/>
    <w:basedOn w:val="1"/>
    <w:qFormat/>
    <w:uiPriority w:val="0"/>
    <w:pPr>
      <w:widowControl/>
      <w:autoSpaceDE/>
      <w:autoSpaceDN/>
      <w:spacing w:before="100" w:beforeAutospacing="1" w:after="100" w:afterAutospacing="1"/>
    </w:pPr>
    <w:rPr>
      <w:rFonts w:hint="eastAsia" w:cs="Times New Roman"/>
      <w:kern w:val="2"/>
      <w:sz w:val="24"/>
      <w:szCs w:val="20"/>
      <w:lang w:val="en-US" w:bidi="ar-SA"/>
    </w:rPr>
  </w:style>
  <w:style w:type="paragraph" w:customStyle="1" w:styleId="920">
    <w:name w:val="表标题16.9"/>
    <w:basedOn w:val="1"/>
    <w:qFormat/>
    <w:uiPriority w:val="99"/>
    <w:pPr>
      <w:tabs>
        <w:tab w:val="left" w:pos="726"/>
        <w:tab w:val="center" w:pos="4060"/>
        <w:tab w:val="right" w:pos="8261"/>
      </w:tabs>
      <w:suppressAutoHyphens/>
      <w:autoSpaceDE/>
      <w:autoSpaceDN/>
      <w:adjustRightInd w:val="0"/>
      <w:spacing w:before="240" w:line="0" w:lineRule="atLeast"/>
      <w:ind w:left="2" w:firstLine="4"/>
      <w:jc w:val="both"/>
    </w:pPr>
    <w:rPr>
      <w:rFonts w:ascii="黑体" w:hAnsi="Times New Roman" w:eastAsia="黑体" w:cs="Times New Roman"/>
      <w:b/>
      <w:spacing w:val="6"/>
      <w:sz w:val="26"/>
      <w:szCs w:val="26"/>
      <w:lang w:val="en-US" w:bidi="ar-SA"/>
    </w:rPr>
  </w:style>
  <w:style w:type="paragraph" w:customStyle="1" w:styleId="921">
    <w:name w:val="列表 2R"/>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922">
    <w:name w:val="CM60"/>
    <w:basedOn w:val="101"/>
    <w:next w:val="101"/>
    <w:qFormat/>
    <w:uiPriority w:val="99"/>
    <w:pPr>
      <w:snapToGrid w:val="0"/>
      <w:spacing w:beforeLines="0" w:after="343" w:afterLines="0" w:line="360" w:lineRule="auto"/>
    </w:pPr>
    <w:rPr>
      <w:rFonts w:ascii="Times New Roman" w:cs="Times New Roman"/>
      <w:b w:val="0"/>
      <w:color w:val="auto"/>
      <w:kern w:val="0"/>
      <w:sz w:val="24"/>
      <w:szCs w:val="24"/>
    </w:rPr>
  </w:style>
  <w:style w:type="paragraph" w:customStyle="1" w:styleId="923">
    <w:name w:val="Char Char Char1 Char Char Char Char Char Char Char"/>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924">
    <w:name w:val="样式111"/>
    <w:qFormat/>
    <w:uiPriority w:val="99"/>
    <w:pPr>
      <w:adjustRightInd w:val="0"/>
      <w:snapToGrid w:val="0"/>
      <w:jc w:val="both"/>
    </w:pPr>
    <w:rPr>
      <w:rFonts w:ascii="宋体" w:hAnsi="Times New Roman" w:eastAsia="宋体" w:cs="Times New Roman"/>
      <w:sz w:val="21"/>
      <w:lang w:val="en-US" w:eastAsia="zh-CN" w:bidi="ar-SA"/>
    </w:rPr>
  </w:style>
  <w:style w:type="paragraph" w:customStyle="1" w:styleId="925">
    <w:name w:val="样式 标题 3条标题1.1.1 + 宋体 加粗 段前: 13 磅 段后: 13 磅 行距: 多倍行距 1.73 字行"/>
    <w:basedOn w:val="5"/>
    <w:qFormat/>
    <w:uiPriority w:val="99"/>
    <w:pPr>
      <w:keepNext/>
      <w:keepLines/>
      <w:autoSpaceDE/>
      <w:autoSpaceDN/>
      <w:adjustRightInd w:val="0"/>
      <w:snapToGrid w:val="0"/>
      <w:spacing w:beforeLines="50" w:afterLines="50" w:line="416" w:lineRule="auto"/>
      <w:ind w:left="0" w:firstLine="0"/>
      <w:jc w:val="both"/>
    </w:pPr>
    <w:rPr>
      <w:rFonts w:ascii="Arial" w:hAnsi="Arial" w:cs="Times New Roman"/>
      <w:b w:val="0"/>
      <w:sz w:val="28"/>
      <w:szCs w:val="28"/>
      <w:lang w:val="en-US" w:bidi="ar-SA"/>
    </w:rPr>
  </w:style>
  <w:style w:type="paragraph" w:customStyle="1" w:styleId="926">
    <w:name w:val="xl71"/>
    <w:basedOn w:val="1"/>
    <w:qFormat/>
    <w:uiPriority w:val="0"/>
    <w:pPr>
      <w:widowControl/>
      <w:pBdr>
        <w:top w:val="single" w:color="auto" w:sz="8" w:space="0"/>
        <w:left w:val="single" w:color="auto" w:sz="8" w:space="0"/>
      </w:pBdr>
      <w:autoSpaceDE/>
      <w:autoSpaceDN/>
      <w:spacing w:before="100" w:beforeAutospacing="1" w:after="100" w:afterAutospacing="1"/>
      <w:jc w:val="center"/>
    </w:pPr>
    <w:rPr>
      <w:rFonts w:eastAsia="仿宋_GB2312" w:cs="Times New Roman"/>
      <w:position w:val="-6"/>
      <w:sz w:val="24"/>
      <w:szCs w:val="21"/>
      <w:lang w:val="en-US" w:bidi="ar-SA"/>
    </w:rPr>
  </w:style>
  <w:style w:type="paragraph" w:customStyle="1" w:styleId="927">
    <w:name w:val="表内式样"/>
    <w:qFormat/>
    <w:uiPriority w:val="99"/>
    <w:pPr>
      <w:widowControl w:val="0"/>
      <w:jc w:val="center"/>
    </w:pPr>
    <w:rPr>
      <w:rFonts w:ascii="Times New Roman" w:hAnsi="Times New Roman" w:eastAsia="宋体" w:cs="Times New Roman"/>
      <w:sz w:val="18"/>
      <w:szCs w:val="24"/>
      <w:lang w:val="en-US" w:eastAsia="zh-CN" w:bidi="ar-SA"/>
    </w:rPr>
  </w:style>
  <w:style w:type="character" w:customStyle="1" w:styleId="928">
    <w:name w:val="信息标题 Char1"/>
    <w:basedOn w:val="83"/>
    <w:qFormat/>
    <w:uiPriority w:val="0"/>
    <w:rPr>
      <w:rFonts w:ascii="Calibri Light" w:hAnsi="Calibri Light" w:eastAsia="宋体" w:cs="Times New Roman"/>
      <w:sz w:val="24"/>
      <w:szCs w:val="24"/>
      <w:shd w:val="pct20" w:color="auto" w:fill="auto"/>
    </w:rPr>
  </w:style>
  <w:style w:type="paragraph" w:customStyle="1" w:styleId="929">
    <w:name w:val="内蒙2"/>
    <w:basedOn w:val="4"/>
    <w:qFormat/>
    <w:uiPriority w:val="99"/>
    <w:pPr>
      <w:keepNext/>
      <w:keepLines/>
      <w:autoSpaceDE/>
      <w:autoSpaceDN/>
      <w:spacing w:line="480" w:lineRule="exact"/>
      <w:ind w:left="0" w:firstLine="0"/>
      <w:jc w:val="both"/>
    </w:pPr>
    <w:rPr>
      <w:rFonts w:ascii="Times New Roman" w:hAnsi="Times New Roman" w:eastAsia="黑体" w:cs="Times New Roman"/>
      <w:b/>
      <w:color w:val="FF0000"/>
      <w:spacing w:val="20"/>
      <w:sz w:val="28"/>
      <w:szCs w:val="28"/>
      <w:lang w:val="en-US" w:bidi="ar-SA"/>
    </w:rPr>
  </w:style>
  <w:style w:type="character" w:customStyle="1" w:styleId="930">
    <w:name w:val="文档结构图 Char3"/>
    <w:basedOn w:val="83"/>
    <w:qFormat/>
    <w:uiPriority w:val="0"/>
    <w:rPr>
      <w:rFonts w:ascii="Microsoft YaHei UI" w:hAnsi="宋体" w:eastAsia="Microsoft YaHei UI" w:cs="宋体"/>
      <w:sz w:val="18"/>
      <w:szCs w:val="18"/>
    </w:rPr>
  </w:style>
  <w:style w:type="paragraph" w:customStyle="1" w:styleId="931">
    <w:name w:val="CM68"/>
    <w:basedOn w:val="101"/>
    <w:next w:val="101"/>
    <w:qFormat/>
    <w:uiPriority w:val="99"/>
    <w:pPr>
      <w:snapToGrid w:val="0"/>
      <w:spacing w:beforeLines="0" w:after="265" w:afterLines="0" w:line="360" w:lineRule="auto"/>
    </w:pPr>
    <w:rPr>
      <w:rFonts w:ascii="Times New Roman" w:cs="Times New Roman"/>
      <w:b w:val="0"/>
      <w:color w:val="auto"/>
      <w:kern w:val="0"/>
      <w:sz w:val="24"/>
      <w:szCs w:val="24"/>
    </w:rPr>
  </w:style>
  <w:style w:type="character" w:customStyle="1" w:styleId="932">
    <w:name w:val="电子邮件签名 Char2"/>
    <w:basedOn w:val="83"/>
    <w:qFormat/>
    <w:uiPriority w:val="0"/>
    <w:rPr>
      <w:rFonts w:ascii="宋体" w:hAnsi="宋体" w:cs="宋体"/>
      <w:sz w:val="24"/>
      <w:szCs w:val="24"/>
    </w:rPr>
  </w:style>
  <w:style w:type="paragraph" w:customStyle="1" w:styleId="933">
    <w:name w:val="样式 表格备注"/>
    <w:basedOn w:val="1"/>
    <w:qFormat/>
    <w:uiPriority w:val="99"/>
    <w:pPr>
      <w:keepNext/>
      <w:tabs>
        <w:tab w:val="left" w:pos="628"/>
        <w:tab w:val="left" w:pos="1727"/>
        <w:tab w:val="left" w:pos="1884"/>
        <w:tab w:val="left" w:pos="4680"/>
        <w:tab w:val="left" w:pos="4900"/>
      </w:tabs>
      <w:autoSpaceDE/>
      <w:autoSpaceDN/>
      <w:adjustRightInd w:val="0"/>
      <w:snapToGrid w:val="0"/>
      <w:spacing w:line="360" w:lineRule="auto"/>
      <w:ind w:firstLine="480" w:firstLineChars="200"/>
      <w:jc w:val="both"/>
    </w:pPr>
    <w:rPr>
      <w:rFonts w:eastAsia="楷体_GB2312" w:cs="Times New Roman"/>
      <w:sz w:val="24"/>
      <w:szCs w:val="20"/>
      <w:lang w:val="en-US" w:bidi="ar-SA"/>
    </w:rPr>
  </w:style>
  <w:style w:type="paragraph" w:customStyle="1" w:styleId="934">
    <w:name w:val="CM1"/>
    <w:basedOn w:val="101"/>
    <w:next w:val="101"/>
    <w:qFormat/>
    <w:uiPriority w:val="99"/>
    <w:pPr>
      <w:snapToGrid w:val="0"/>
      <w:spacing w:beforeLines="0" w:afterLines="0" w:line="360" w:lineRule="auto"/>
    </w:pPr>
    <w:rPr>
      <w:rFonts w:ascii="宋体"/>
      <w:b w:val="0"/>
      <w:color w:val="auto"/>
      <w:kern w:val="0"/>
      <w:sz w:val="24"/>
      <w:szCs w:val="24"/>
    </w:rPr>
  </w:style>
  <w:style w:type="paragraph" w:customStyle="1" w:styleId="935">
    <w:name w:val="xl80"/>
    <w:basedOn w:val="1"/>
    <w:qFormat/>
    <w:uiPriority w:val="0"/>
    <w:pPr>
      <w:widowControl/>
      <w:pBdr>
        <w:bottom w:val="single" w:color="auto" w:sz="4" w:space="0"/>
        <w:right w:val="single" w:color="auto" w:sz="8" w:space="0"/>
      </w:pBdr>
      <w:autoSpaceDE/>
      <w:autoSpaceDN/>
      <w:spacing w:before="100" w:beforeAutospacing="1" w:after="100" w:afterAutospacing="1"/>
      <w:jc w:val="center"/>
      <w:textAlignment w:val="center"/>
    </w:pPr>
    <w:rPr>
      <w:rFonts w:ascii="Arial Unicode MS" w:hAnsi="Arial Unicode MS" w:eastAsia="Arial Unicode MS" w:cs="Arial Unicode MS"/>
      <w:sz w:val="16"/>
      <w:szCs w:val="16"/>
      <w:lang w:val="en-US" w:bidi="ar-SA"/>
    </w:rPr>
  </w:style>
  <w:style w:type="paragraph" w:customStyle="1" w:styleId="936">
    <w:name w:val="Achievement"/>
    <w:basedOn w:val="31"/>
    <w:qFormat/>
    <w:uiPriority w:val="99"/>
    <w:pPr>
      <w:widowControl/>
      <w:autoSpaceDE/>
      <w:autoSpaceDN/>
      <w:spacing w:after="60" w:line="220" w:lineRule="atLeast"/>
      <w:ind w:left="245" w:right="-360" w:hanging="245"/>
    </w:pPr>
    <w:rPr>
      <w:rFonts w:ascii="Times New Roman" w:hAnsi="Times New Roman" w:cs="Times New Roman"/>
      <w:sz w:val="20"/>
      <w:szCs w:val="20"/>
      <w:lang w:val="en-US" w:bidi="ar-SA"/>
    </w:rPr>
  </w:style>
  <w:style w:type="paragraph" w:customStyle="1" w:styleId="937">
    <w:name w:val="Exhibit--Caption"/>
    <w:basedOn w:val="938"/>
    <w:next w:val="31"/>
    <w:semiHidden/>
    <w:qFormat/>
    <w:uiPriority w:val="99"/>
    <w:rPr>
      <w:i/>
    </w:rPr>
  </w:style>
  <w:style w:type="paragraph" w:customStyle="1" w:styleId="938">
    <w:name w:val="Exhibit--Title"/>
    <w:basedOn w:val="939"/>
    <w:next w:val="937"/>
    <w:qFormat/>
    <w:uiPriority w:val="0"/>
    <w:rPr>
      <w:b w:val="0"/>
      <w:sz w:val="20"/>
    </w:rPr>
  </w:style>
  <w:style w:type="paragraph" w:customStyle="1" w:styleId="939">
    <w:name w:val="Exhibit--Number"/>
    <w:basedOn w:val="940"/>
    <w:next w:val="938"/>
    <w:semiHidden/>
    <w:qFormat/>
    <w:uiPriority w:val="99"/>
  </w:style>
  <w:style w:type="paragraph" w:customStyle="1" w:styleId="940">
    <w:name w:val="Main-Head"/>
    <w:basedOn w:val="1"/>
    <w:next w:val="31"/>
    <w:semiHidden/>
    <w:qFormat/>
    <w:uiPriority w:val="99"/>
    <w:pPr>
      <w:autoSpaceDE/>
      <w:autoSpaceDN/>
      <w:jc w:val="both"/>
    </w:pPr>
    <w:rPr>
      <w:rFonts w:ascii="Arial Narrow" w:hAnsi="Arial Narrow" w:eastAsia="仿宋_GB2312" w:cs="Times New Roman"/>
      <w:b/>
      <w:kern w:val="2"/>
      <w:szCs w:val="24"/>
      <w:lang w:val="en-US" w:bidi="ar-SA"/>
    </w:rPr>
  </w:style>
  <w:style w:type="paragraph" w:customStyle="1" w:styleId="941">
    <w:name w:val="列表 4R"/>
    <w:basedOn w:val="69"/>
    <w:qFormat/>
    <w:uiPriority w:val="99"/>
    <w:pPr>
      <w:tabs>
        <w:tab w:val="left" w:pos="907"/>
      </w:tabs>
      <w:topLinePunct w:val="0"/>
      <w:spacing w:beforeLines="50" w:afterLines="30" w:line="288" w:lineRule="auto"/>
      <w:ind w:left="907" w:leftChars="0" w:hanging="567" w:firstLineChars="0"/>
      <w:jc w:val="both"/>
    </w:pPr>
    <w:rPr>
      <w:rFonts w:ascii="Arial" w:hAnsi="Arial" w:eastAsia="宋体"/>
      <w:color w:val="CCFFFF"/>
      <w:sz w:val="24"/>
    </w:rPr>
  </w:style>
  <w:style w:type="paragraph" w:customStyle="1" w:styleId="942">
    <w:name w:val="小标题2"/>
    <w:basedOn w:val="1"/>
    <w:qFormat/>
    <w:uiPriority w:val="0"/>
    <w:pPr>
      <w:tabs>
        <w:tab w:val="left" w:pos="5400"/>
      </w:tabs>
      <w:overflowPunct w:val="0"/>
      <w:autoSpaceDE/>
      <w:autoSpaceDN/>
      <w:spacing w:line="336" w:lineRule="auto"/>
      <w:ind w:firstLine="480" w:firstLineChars="200"/>
      <w:jc w:val="both"/>
    </w:pPr>
    <w:rPr>
      <w:rFonts w:ascii="Times New Roman" w:hAnsi="Times New Roman" w:cs="Times New Roman"/>
      <w:kern w:val="2"/>
      <w:sz w:val="24"/>
      <w:szCs w:val="24"/>
      <w:lang w:val="en-US" w:bidi="ar-SA"/>
    </w:rPr>
  </w:style>
  <w:style w:type="paragraph" w:customStyle="1" w:styleId="943">
    <w:name w:val="font7"/>
    <w:basedOn w:val="1"/>
    <w:qFormat/>
    <w:uiPriority w:val="0"/>
    <w:pPr>
      <w:widowControl/>
      <w:autoSpaceDE/>
      <w:autoSpaceDN/>
      <w:spacing w:before="100" w:beforeAutospacing="1" w:after="100" w:afterAutospacing="1"/>
    </w:pPr>
    <w:rPr>
      <w:rFonts w:ascii="Times New Roman" w:hAnsi="Times New Roman" w:eastAsia="Arial Unicode MS" w:cs="Times New Roman"/>
      <w:b/>
      <w:bCs/>
      <w:sz w:val="32"/>
      <w:szCs w:val="32"/>
      <w:lang w:val="en-US" w:bidi="ar-SA"/>
    </w:rPr>
  </w:style>
  <w:style w:type="paragraph" w:customStyle="1" w:styleId="944">
    <w:name w:val="报告表  段"/>
    <w:basedOn w:val="1"/>
    <w:qFormat/>
    <w:uiPriority w:val="99"/>
    <w:pPr>
      <w:autoSpaceDE/>
      <w:autoSpaceDN/>
      <w:adjustRightInd w:val="0"/>
      <w:spacing w:line="360" w:lineRule="auto"/>
      <w:ind w:firstLine="505"/>
      <w:jc w:val="both"/>
      <w:textAlignment w:val="baseline"/>
    </w:pPr>
    <w:rPr>
      <w:rFonts w:hAnsi="Times New Roman" w:cs="Times New Roman"/>
      <w:sz w:val="24"/>
      <w:szCs w:val="20"/>
      <w:lang w:val="en-US" w:bidi="ar-SA"/>
    </w:rPr>
  </w:style>
  <w:style w:type="character" w:customStyle="1" w:styleId="945">
    <w:name w:val="正文首行缩进 2 Char2"/>
    <w:basedOn w:val="203"/>
    <w:qFormat/>
    <w:uiPriority w:val="0"/>
    <w:rPr>
      <w:rFonts w:ascii="宋体" w:hAnsi="宋体" w:eastAsia="仿宋_GB2312" w:cs="宋体"/>
      <w:spacing w:val="-2"/>
      <w:sz w:val="24"/>
      <w:szCs w:val="24"/>
    </w:rPr>
  </w:style>
  <w:style w:type="character" w:customStyle="1" w:styleId="946">
    <w:name w:val="称呼 Char2"/>
    <w:basedOn w:val="83"/>
    <w:qFormat/>
    <w:uiPriority w:val="0"/>
    <w:rPr>
      <w:rFonts w:ascii="宋体" w:hAnsi="宋体" w:cs="宋体"/>
      <w:sz w:val="24"/>
      <w:szCs w:val="24"/>
    </w:rPr>
  </w:style>
  <w:style w:type="paragraph" w:customStyle="1" w:styleId="947">
    <w:name w:val="列表 E"/>
    <w:basedOn w:val="59"/>
    <w:qFormat/>
    <w:uiPriority w:val="99"/>
    <w:pPr>
      <w:tabs>
        <w:tab w:val="left" w:pos="425"/>
        <w:tab w:val="clear" w:pos="3480"/>
      </w:tabs>
      <w:autoSpaceDE/>
      <w:autoSpaceDN/>
      <w:spacing w:beforeLines="100" w:afterLines="50" w:line="288" w:lineRule="auto"/>
      <w:ind w:left="425" w:hanging="425"/>
      <w:jc w:val="both"/>
    </w:pPr>
    <w:rPr>
      <w:rFonts w:ascii="Arial" w:hAnsi="Arial" w:eastAsia="宋体" w:cs="Times New Roman"/>
      <w:b/>
      <w:bCs/>
      <w:color w:val="FF99CC"/>
      <w:sz w:val="24"/>
      <w:szCs w:val="20"/>
      <w:lang w:val="en-US" w:bidi="ar-SA"/>
    </w:rPr>
  </w:style>
  <w:style w:type="character" w:customStyle="1" w:styleId="948">
    <w:name w:val="HTML 预设格式 Char2"/>
    <w:basedOn w:val="83"/>
    <w:qFormat/>
    <w:uiPriority w:val="0"/>
    <w:rPr>
      <w:rFonts w:ascii="Courier New" w:hAnsi="Courier New" w:cs="Courier New"/>
    </w:rPr>
  </w:style>
  <w:style w:type="paragraph" w:customStyle="1" w:styleId="949">
    <w:name w:val="粗体字"/>
    <w:basedOn w:val="1"/>
    <w:qFormat/>
    <w:uiPriority w:val="99"/>
    <w:pPr>
      <w:autoSpaceDE/>
      <w:autoSpaceDN/>
      <w:spacing w:line="360" w:lineRule="auto"/>
      <w:ind w:firstLine="200" w:firstLineChars="200"/>
      <w:jc w:val="both"/>
    </w:pPr>
    <w:rPr>
      <w:rFonts w:cs="Times New Roman"/>
      <w:b/>
      <w:bCs/>
      <w:sz w:val="24"/>
      <w:szCs w:val="20"/>
      <w:lang w:val="en-US" w:bidi="ar-SA"/>
    </w:rPr>
  </w:style>
  <w:style w:type="paragraph" w:customStyle="1" w:styleId="950">
    <w:name w:val="样式 样式 宋体 13 磅 白色 首行缩进:  0.74 厘米 + 自动设置 首行缩进:  2 字符"/>
    <w:basedOn w:val="1"/>
    <w:qFormat/>
    <w:uiPriority w:val="99"/>
    <w:pPr>
      <w:autoSpaceDE/>
      <w:autoSpaceDN/>
      <w:ind w:firstLine="520" w:firstLineChars="200"/>
      <w:jc w:val="both"/>
    </w:pPr>
    <w:rPr>
      <w:kern w:val="2"/>
      <w:sz w:val="27"/>
      <w:szCs w:val="27"/>
      <w:lang w:val="en-US" w:bidi="ar-SA"/>
    </w:rPr>
  </w:style>
  <w:style w:type="paragraph" w:customStyle="1" w:styleId="951">
    <w:name w:val="xl25"/>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textAlignment w:val="center"/>
    </w:pPr>
    <w:rPr>
      <w:rFonts w:ascii="Arial Unicode MS" w:hAnsi="Arial Unicode MS" w:eastAsia="Arial Unicode MS" w:cs="Arial Unicode MS"/>
      <w:sz w:val="24"/>
      <w:szCs w:val="20"/>
      <w:lang w:val="en-US" w:bidi="ar-SA"/>
    </w:rPr>
  </w:style>
  <w:style w:type="paragraph" w:customStyle="1" w:styleId="952">
    <w:name w:val="图表目录11"/>
    <w:basedOn w:val="300"/>
    <w:next w:val="300"/>
    <w:qFormat/>
    <w:uiPriority w:val="99"/>
    <w:pPr>
      <w:tabs>
        <w:tab w:val="right" w:leader="dot" w:pos="8051"/>
      </w:tabs>
      <w:ind w:left="840" w:hanging="840"/>
    </w:pPr>
  </w:style>
  <w:style w:type="paragraph" w:customStyle="1" w:styleId="953">
    <w:name w:val="正文一"/>
    <w:basedOn w:val="1"/>
    <w:qFormat/>
    <w:uiPriority w:val="99"/>
    <w:pPr>
      <w:autoSpaceDE/>
      <w:autoSpaceDN/>
      <w:adjustRightInd w:val="0"/>
      <w:spacing w:line="520" w:lineRule="exact"/>
      <w:ind w:firstLine="200" w:firstLineChars="200"/>
      <w:jc w:val="both"/>
      <w:textAlignment w:val="baseline"/>
    </w:pPr>
    <w:rPr>
      <w:rFonts w:cs="Times New Roman"/>
      <w:sz w:val="24"/>
      <w:szCs w:val="24"/>
      <w:lang w:val="en-US" w:bidi="ar-SA"/>
    </w:rPr>
  </w:style>
  <w:style w:type="paragraph" w:customStyle="1" w:styleId="954">
    <w:name w:val="排序（1）（2）"/>
    <w:basedOn w:val="1"/>
    <w:qFormat/>
    <w:uiPriority w:val="99"/>
    <w:pPr>
      <w:autoSpaceDE/>
      <w:autoSpaceDN/>
      <w:spacing w:line="460" w:lineRule="atLeast"/>
      <w:jc w:val="both"/>
    </w:pPr>
    <w:rPr>
      <w:rFonts w:ascii="Times New Roman" w:hAnsi="Times New Roman" w:cs="Times New Roman"/>
      <w:spacing w:val="12"/>
      <w:kern w:val="2"/>
      <w:sz w:val="24"/>
      <w:szCs w:val="24"/>
      <w:lang w:val="en-US" w:bidi="ar-SA"/>
    </w:rPr>
  </w:style>
  <w:style w:type="paragraph" w:customStyle="1" w:styleId="955">
    <w:name w:val="xl101"/>
    <w:basedOn w:val="1"/>
    <w:qFormat/>
    <w:uiPriority w:val="0"/>
    <w:pPr>
      <w:widowControl/>
      <w:pBdr>
        <w:top w:val="single" w:color="auto" w:sz="4" w:space="0"/>
        <w:left w:val="single" w:color="auto" w:sz="4" w:space="0"/>
        <w:bottom w:val="single" w:color="auto" w:sz="4" w:space="0"/>
      </w:pBdr>
      <w:autoSpaceDE/>
      <w:autoSpaceDN/>
      <w:spacing w:before="100" w:beforeAutospacing="1" w:after="100" w:afterAutospacing="1"/>
      <w:jc w:val="center"/>
    </w:pPr>
    <w:rPr>
      <w:rFonts w:ascii="Arial Unicode MS" w:hAnsi="Arial Unicode MS" w:eastAsia="Arial Unicode MS" w:cs="Arial Unicode MS"/>
      <w:sz w:val="16"/>
      <w:szCs w:val="16"/>
      <w:lang w:val="en-US" w:bidi="ar-SA"/>
    </w:rPr>
  </w:style>
  <w:style w:type="paragraph" w:customStyle="1" w:styleId="956">
    <w:name w:val="样式 正文首行缩进 + 四号 首行缩进:  1 字符 段后: 2.5 磅 行距: 1.5 倍行距"/>
    <w:basedOn w:val="78"/>
    <w:qFormat/>
    <w:uiPriority w:val="99"/>
    <w:pPr>
      <w:widowControl w:val="0"/>
      <w:spacing w:after="0" w:line="360" w:lineRule="auto"/>
      <w:ind w:firstLine="100"/>
    </w:pPr>
    <w:rPr>
      <w:rFonts w:ascii="Times New Roman" w:hAnsi="Times New Roman"/>
      <w:sz w:val="28"/>
    </w:rPr>
  </w:style>
  <w:style w:type="paragraph" w:customStyle="1" w:styleId="957">
    <w:name w:val="南郊正文"/>
    <w:basedOn w:val="1"/>
    <w:next w:val="1"/>
    <w:qFormat/>
    <w:uiPriority w:val="99"/>
    <w:pPr>
      <w:autoSpaceDE/>
      <w:autoSpaceDN/>
      <w:jc w:val="both"/>
    </w:pPr>
    <w:rPr>
      <w:rFonts w:ascii="Times New Roman" w:hAnsi="Times New Roman" w:cs="Times New Roman"/>
      <w:kern w:val="2"/>
      <w:sz w:val="24"/>
      <w:szCs w:val="24"/>
      <w:lang w:val="en-US" w:bidi="ar-SA"/>
    </w:rPr>
  </w:style>
  <w:style w:type="paragraph" w:customStyle="1" w:styleId="958">
    <w:name w:val="表标题3.10"/>
    <w:basedOn w:val="856"/>
    <w:qFormat/>
    <w:uiPriority w:val="99"/>
  </w:style>
  <w:style w:type="paragraph" w:customStyle="1" w:styleId="959">
    <w:name w:val="Char Char Char Char Char Char Char Char Char Char"/>
    <w:basedOn w:val="1"/>
    <w:qFormat/>
    <w:uiPriority w:val="0"/>
    <w:pPr>
      <w:autoSpaceDE/>
      <w:autoSpaceDN/>
      <w:jc w:val="both"/>
    </w:pPr>
    <w:rPr>
      <w:color w:val="000000"/>
      <w:kern w:val="2"/>
      <w:sz w:val="21"/>
      <w:szCs w:val="21"/>
      <w:lang w:val="en-US" w:bidi="ar-SA"/>
    </w:rPr>
  </w:style>
  <w:style w:type="paragraph" w:customStyle="1" w:styleId="960">
    <w:name w:val="xl98"/>
    <w:basedOn w:val="1"/>
    <w:qFormat/>
    <w:uiPriority w:val="0"/>
    <w:pPr>
      <w:widowControl/>
      <w:pBdr>
        <w:left w:val="single" w:color="auto" w:sz="8" w:space="0"/>
        <w:bottom w:val="single" w:color="auto" w:sz="8" w:space="0"/>
        <w:right w:val="single" w:color="auto" w:sz="4" w:space="0"/>
      </w:pBdr>
      <w:autoSpaceDE/>
      <w:autoSpaceDN/>
      <w:spacing w:before="100" w:beforeAutospacing="1" w:after="100" w:afterAutospacing="1"/>
      <w:jc w:val="center"/>
      <w:textAlignment w:val="center"/>
    </w:pPr>
    <w:rPr>
      <w:rFonts w:ascii="Times New Roman" w:hAnsi="Times New Roman" w:eastAsia="Arial Unicode MS" w:cs="Times New Roman"/>
      <w:sz w:val="16"/>
      <w:szCs w:val="16"/>
      <w:lang w:val="en-US" w:bidi="ar-SA"/>
    </w:rPr>
  </w:style>
  <w:style w:type="paragraph" w:customStyle="1" w:styleId="961">
    <w:name w:val="列表 2N"/>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962">
    <w:name w:val="列表 5N"/>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963">
    <w:name w:val="条(二级)"/>
    <w:basedOn w:val="4"/>
    <w:next w:val="1"/>
    <w:qFormat/>
    <w:uiPriority w:val="99"/>
    <w:pPr>
      <w:keepNext/>
      <w:keepLines/>
      <w:adjustRightInd w:val="0"/>
      <w:spacing w:line="460" w:lineRule="exact"/>
      <w:ind w:left="0" w:firstLine="0"/>
      <w:textAlignment w:val="baseline"/>
      <w:outlineLvl w:val="9"/>
    </w:pPr>
    <w:rPr>
      <w:rFonts w:hAnsi="Times New Roman" w:cs="Times New Roman"/>
      <w:b/>
      <w:spacing w:val="3"/>
      <w:kern w:val="24"/>
      <w:sz w:val="26"/>
      <w:szCs w:val="20"/>
      <w:lang w:val="en-US" w:bidi="ar-SA"/>
    </w:rPr>
  </w:style>
  <w:style w:type="paragraph" w:customStyle="1" w:styleId="964">
    <w:name w:val="新标题2"/>
    <w:basedOn w:val="1"/>
    <w:next w:val="78"/>
    <w:qFormat/>
    <w:uiPriority w:val="99"/>
    <w:pPr>
      <w:autoSpaceDE/>
      <w:autoSpaceDN/>
      <w:spacing w:beforeLines="50" w:afterLines="50" w:line="360" w:lineRule="auto"/>
      <w:ind w:firstLine="200" w:firstLineChars="200"/>
      <w:jc w:val="center"/>
    </w:pPr>
    <w:rPr>
      <w:sz w:val="24"/>
      <w:szCs w:val="24"/>
      <w:lang w:val="en-US" w:bidi="ar-SA"/>
    </w:rPr>
  </w:style>
  <w:style w:type="paragraph" w:customStyle="1" w:styleId="965">
    <w:name w:val="条(三级)"/>
    <w:basedOn w:val="963"/>
    <w:next w:val="966"/>
    <w:qFormat/>
    <w:uiPriority w:val="99"/>
    <w:rPr>
      <w:b w:val="0"/>
    </w:rPr>
  </w:style>
  <w:style w:type="paragraph" w:customStyle="1" w:styleId="966">
    <w:name w:val="条(四级)"/>
    <w:basedOn w:val="1"/>
    <w:next w:val="1"/>
    <w:qFormat/>
    <w:uiPriority w:val="99"/>
    <w:pPr>
      <w:keepNext/>
      <w:keepLines/>
      <w:adjustRightInd w:val="0"/>
      <w:spacing w:line="460" w:lineRule="exact"/>
      <w:textAlignment w:val="baseline"/>
    </w:pPr>
    <w:rPr>
      <w:rFonts w:hAnsi="Times New Roman" w:cs="Times New Roman"/>
      <w:spacing w:val="3"/>
      <w:kern w:val="24"/>
      <w:sz w:val="26"/>
      <w:szCs w:val="20"/>
      <w:lang w:val="en-US" w:bidi="ar-SA"/>
    </w:rPr>
  </w:style>
  <w:style w:type="paragraph" w:customStyle="1" w:styleId="967">
    <w:name w:val="Char Char Char1 Char Char Char Char Char Char Char2"/>
    <w:basedOn w:val="1"/>
    <w:qFormat/>
    <w:uiPriority w:val="99"/>
    <w:pPr>
      <w:autoSpaceDE/>
      <w:autoSpaceDN/>
      <w:jc w:val="both"/>
    </w:pPr>
    <w:rPr>
      <w:rFonts w:ascii="Times New Roman" w:hAnsi="Times New Roman" w:cs="Times New Roman"/>
      <w:kern w:val="2"/>
      <w:sz w:val="21"/>
      <w:szCs w:val="24"/>
      <w:lang w:val="en-US" w:bidi="ar-SA"/>
    </w:rPr>
  </w:style>
  <w:style w:type="paragraph" w:customStyle="1" w:styleId="968">
    <w:name w:val="Char Char Char Char Char Char1 Char"/>
    <w:basedOn w:val="1"/>
    <w:qFormat/>
    <w:uiPriority w:val="0"/>
    <w:pPr>
      <w:widowControl/>
      <w:autoSpaceDE/>
      <w:autoSpaceDN/>
      <w:spacing w:after="160" w:line="240" w:lineRule="exact"/>
    </w:pPr>
    <w:rPr>
      <w:rFonts w:ascii="Arial" w:hAnsi="Arial" w:eastAsia="Times New Roman" w:cs="Times New Roman"/>
      <w:b/>
      <w:sz w:val="24"/>
      <w:szCs w:val="20"/>
      <w:lang w:val="en-US" w:eastAsia="en-US" w:bidi="ar-SA"/>
    </w:rPr>
  </w:style>
  <w:style w:type="paragraph" w:customStyle="1" w:styleId="969">
    <w:name w:val="xl53"/>
    <w:basedOn w:val="1"/>
    <w:qFormat/>
    <w:uiPriority w:val="0"/>
    <w:pPr>
      <w:widowControl/>
      <w:pBdr>
        <w:top w:val="single" w:color="auto" w:sz="8" w:space="0"/>
        <w:left w:val="single" w:color="auto" w:sz="4" w:space="0"/>
        <w:bottom w:val="single" w:color="auto" w:sz="8" w:space="0"/>
      </w:pBdr>
      <w:autoSpaceDE/>
      <w:autoSpaceDN/>
      <w:spacing w:before="100" w:beforeAutospacing="1" w:after="100" w:afterAutospacing="1"/>
    </w:pPr>
    <w:rPr>
      <w:rFonts w:eastAsia="仿宋_GB2312" w:cs="Times New Roman"/>
      <w:b/>
      <w:bCs/>
      <w:position w:val="-6"/>
      <w:sz w:val="24"/>
      <w:szCs w:val="21"/>
      <w:lang w:val="en-US" w:bidi="ar-SA"/>
    </w:rPr>
  </w:style>
  <w:style w:type="paragraph" w:customStyle="1" w:styleId="970">
    <w:name w:val="标题样式3"/>
    <w:basedOn w:val="5"/>
    <w:qFormat/>
    <w:uiPriority w:val="99"/>
    <w:pPr>
      <w:keepLines/>
      <w:autoSpaceDE/>
      <w:autoSpaceDN/>
      <w:spacing w:line="360" w:lineRule="auto"/>
      <w:ind w:left="0" w:firstLine="0"/>
      <w:jc w:val="both"/>
    </w:pPr>
    <w:rPr>
      <w:rFonts w:ascii="黑体" w:hAnsi="Times New Roman" w:eastAsia="黑体" w:cs="黑体"/>
      <w:color w:val="000000"/>
      <w:sz w:val="28"/>
      <w:szCs w:val="28"/>
      <w:lang w:bidi="ar-SA"/>
    </w:rPr>
  </w:style>
  <w:style w:type="paragraph" w:customStyle="1" w:styleId="971">
    <w:name w:val="Char Char Char1 Char Char Char"/>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972">
    <w:name w:val="Char Char Char Char Char Char Char Char Char Char Char Char Char Char Char Char Char"/>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973">
    <w:name w:val="列表 5R"/>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974">
    <w:name w:val="xl64"/>
    <w:basedOn w:val="1"/>
    <w:qFormat/>
    <w:uiPriority w:val="0"/>
    <w:pPr>
      <w:widowControl/>
      <w:pBdr>
        <w:left w:val="single" w:color="auto" w:sz="4" w:space="0"/>
      </w:pBdr>
      <w:autoSpaceDE/>
      <w:autoSpaceDN/>
      <w:spacing w:before="100" w:beforeAutospacing="1" w:after="100" w:afterAutospacing="1"/>
      <w:jc w:val="right"/>
    </w:pPr>
    <w:rPr>
      <w:rFonts w:eastAsia="仿宋_GB2312" w:cs="Times New Roman"/>
      <w:position w:val="-6"/>
      <w:sz w:val="24"/>
      <w:szCs w:val="24"/>
      <w:lang w:val="en-US" w:bidi="ar-SA"/>
    </w:rPr>
  </w:style>
  <w:style w:type="paragraph" w:customStyle="1" w:styleId="975">
    <w:name w:val="封面标准文稿类别"/>
    <w:semiHidden/>
    <w:qFormat/>
    <w:uiPriority w:val="99"/>
    <w:pPr>
      <w:spacing w:before="440" w:line="400" w:lineRule="exact"/>
      <w:jc w:val="center"/>
    </w:pPr>
    <w:rPr>
      <w:rFonts w:ascii="宋体" w:hAnsi="Times New Roman" w:eastAsia="宋体" w:cs="Times New Roman"/>
      <w:sz w:val="24"/>
      <w:lang w:val="en-US" w:eastAsia="zh-CN" w:bidi="ar-SA"/>
    </w:rPr>
  </w:style>
  <w:style w:type="paragraph" w:customStyle="1" w:styleId="976">
    <w:name w:val="xl51"/>
    <w:basedOn w:val="1"/>
    <w:qFormat/>
    <w:uiPriority w:val="0"/>
    <w:pPr>
      <w:widowControl/>
      <w:pBdr>
        <w:top w:val="single" w:color="auto" w:sz="8" w:space="0"/>
        <w:left w:val="single" w:color="auto" w:sz="4" w:space="0"/>
        <w:bottom w:val="single" w:color="auto" w:sz="4" w:space="0"/>
        <w:right w:val="single" w:color="auto" w:sz="8" w:space="0"/>
      </w:pBdr>
      <w:autoSpaceDE/>
      <w:autoSpaceDN/>
      <w:spacing w:before="100" w:beforeAutospacing="1" w:after="100" w:afterAutospacing="1"/>
      <w:jc w:val="center"/>
      <w:textAlignment w:val="center"/>
    </w:pPr>
    <w:rPr>
      <w:rFonts w:ascii="Arial Unicode MS" w:hAnsi="Arial Unicode MS" w:eastAsia="Arial Unicode MS" w:cs="Arial Unicode MS"/>
      <w:b/>
      <w:bCs/>
      <w:sz w:val="24"/>
      <w:szCs w:val="20"/>
      <w:lang w:val="en-US" w:bidi="ar-SA"/>
    </w:rPr>
  </w:style>
  <w:style w:type="paragraph" w:customStyle="1" w:styleId="977">
    <w:name w:val="标题11"/>
    <w:basedOn w:val="1"/>
    <w:next w:val="1"/>
    <w:qFormat/>
    <w:uiPriority w:val="99"/>
    <w:pPr>
      <w:autoSpaceDE/>
      <w:autoSpaceDN/>
      <w:spacing w:beforeLines="100" w:afterLines="50" w:line="360" w:lineRule="auto"/>
      <w:outlineLvl w:val="0"/>
    </w:pPr>
    <w:rPr>
      <w:rFonts w:ascii="仿宋_GB2312" w:hAnsi="Times New Roman" w:eastAsia="黑体" w:cs="Times New Roman"/>
      <w:b/>
      <w:kern w:val="2"/>
      <w:sz w:val="28"/>
      <w:szCs w:val="20"/>
      <w:lang w:val="en-US" w:bidi="ar-SA"/>
    </w:rPr>
  </w:style>
  <w:style w:type="paragraph" w:customStyle="1" w:styleId="978">
    <w:name w:val="样式 标题 2 + Times New Roman 小三 居中 行距: 固定值 20 磅"/>
    <w:basedOn w:val="4"/>
    <w:qFormat/>
    <w:uiPriority w:val="99"/>
    <w:pPr>
      <w:keepNext/>
      <w:keepLines/>
      <w:widowControl/>
      <w:autoSpaceDE/>
      <w:autoSpaceDN/>
      <w:spacing w:before="260" w:after="260" w:line="400" w:lineRule="exact"/>
      <w:ind w:left="0" w:firstLine="538" w:firstLineChars="192"/>
    </w:pPr>
    <w:rPr>
      <w:rFonts w:ascii="Times New Roman" w:hAnsi="Times New Roman" w:eastAsia="黑体"/>
      <w:b/>
      <w:szCs w:val="20"/>
      <w:lang w:val="en-US" w:bidi="ar-SA"/>
    </w:rPr>
  </w:style>
  <w:style w:type="paragraph" w:customStyle="1" w:styleId="979">
    <w:name w:val="Char Char Char Char Char Char1 Char1"/>
    <w:basedOn w:val="1"/>
    <w:qFormat/>
    <w:uiPriority w:val="99"/>
    <w:pPr>
      <w:autoSpaceDE/>
      <w:autoSpaceDN/>
      <w:jc w:val="both"/>
    </w:pPr>
    <w:rPr>
      <w:rFonts w:ascii="Times New Roman" w:hAnsi="Times New Roman" w:cs="Times New Roman"/>
      <w:kern w:val="2"/>
      <w:sz w:val="21"/>
      <w:szCs w:val="24"/>
      <w:lang w:val="en-US" w:bidi="ar-SA"/>
    </w:rPr>
  </w:style>
  <w:style w:type="paragraph" w:customStyle="1" w:styleId="980">
    <w:name w:val="标题样工7"/>
    <w:basedOn w:val="1"/>
    <w:qFormat/>
    <w:uiPriority w:val="99"/>
    <w:pPr>
      <w:widowControl/>
      <w:autoSpaceDE/>
      <w:autoSpaceDN/>
      <w:jc w:val="both"/>
    </w:pPr>
    <w:rPr>
      <w:rFonts w:ascii="华文楷体" w:hAnsi="华文楷体" w:eastAsia="仿宋_GB2312" w:cs="Times New Roman"/>
      <w:position w:val="-6"/>
      <w:sz w:val="24"/>
      <w:szCs w:val="20"/>
      <w:lang w:val="en-US" w:bidi="ar-SA"/>
    </w:rPr>
  </w:style>
  <w:style w:type="paragraph" w:customStyle="1" w:styleId="981">
    <w:name w:val="xl109"/>
    <w:basedOn w:val="1"/>
    <w:qFormat/>
    <w:uiPriority w:val="0"/>
    <w:pPr>
      <w:widowControl/>
      <w:pBdr>
        <w:top w:val="single" w:color="auto" w:sz="4" w:space="0"/>
        <w:right w:val="single" w:color="auto" w:sz="8" w:space="0"/>
      </w:pBdr>
      <w:autoSpaceDE/>
      <w:autoSpaceDN/>
      <w:spacing w:before="100" w:beforeAutospacing="1" w:after="100" w:afterAutospacing="1"/>
      <w:jc w:val="center"/>
      <w:textAlignment w:val="center"/>
    </w:pPr>
    <w:rPr>
      <w:rFonts w:ascii="Arial Unicode MS" w:hAnsi="Arial Unicode MS" w:eastAsia="Arial Unicode MS" w:cs="Arial Unicode MS"/>
      <w:sz w:val="16"/>
      <w:szCs w:val="16"/>
      <w:lang w:val="en-US" w:bidi="ar-SA"/>
    </w:rPr>
  </w:style>
  <w:style w:type="paragraph" w:customStyle="1" w:styleId="982">
    <w:name w:val="xl49"/>
    <w:basedOn w:val="1"/>
    <w:qFormat/>
    <w:uiPriority w:val="0"/>
    <w:pPr>
      <w:widowControl/>
      <w:pBdr>
        <w:top w:val="single" w:color="auto" w:sz="8" w:space="0"/>
        <w:left w:val="single" w:color="auto" w:sz="8" w:space="0"/>
        <w:bottom w:val="single" w:color="auto" w:sz="4" w:space="0"/>
        <w:right w:val="single" w:color="auto" w:sz="4" w:space="0"/>
      </w:pBdr>
      <w:autoSpaceDE/>
      <w:autoSpaceDN/>
      <w:spacing w:before="100" w:beforeAutospacing="1" w:after="100" w:afterAutospacing="1"/>
      <w:jc w:val="center"/>
      <w:textAlignment w:val="center"/>
    </w:pPr>
    <w:rPr>
      <w:rFonts w:ascii="Arial Unicode MS" w:hAnsi="Arial Unicode MS" w:eastAsia="Arial Unicode MS" w:cs="Arial Unicode MS"/>
      <w:b/>
      <w:bCs/>
      <w:sz w:val="24"/>
      <w:szCs w:val="20"/>
      <w:lang w:val="en-US" w:bidi="ar-SA"/>
    </w:rPr>
  </w:style>
  <w:style w:type="paragraph" w:customStyle="1" w:styleId="983">
    <w:name w:val="CM8"/>
    <w:basedOn w:val="101"/>
    <w:next w:val="101"/>
    <w:qFormat/>
    <w:uiPriority w:val="99"/>
    <w:pPr>
      <w:snapToGrid w:val="0"/>
      <w:spacing w:beforeLines="0" w:afterLines="0" w:line="466" w:lineRule="atLeast"/>
    </w:pPr>
    <w:rPr>
      <w:rFonts w:ascii="Times New Roman" w:cs="Times New Roman"/>
      <w:b w:val="0"/>
      <w:color w:val="auto"/>
      <w:kern w:val="0"/>
      <w:sz w:val="24"/>
      <w:szCs w:val="24"/>
    </w:rPr>
  </w:style>
  <w:style w:type="paragraph" w:customStyle="1" w:styleId="984">
    <w:name w:val="CM17"/>
    <w:basedOn w:val="101"/>
    <w:next w:val="101"/>
    <w:qFormat/>
    <w:uiPriority w:val="99"/>
    <w:pPr>
      <w:snapToGrid w:val="0"/>
      <w:spacing w:beforeLines="0" w:afterLines="0" w:line="360" w:lineRule="auto"/>
    </w:pPr>
    <w:rPr>
      <w:rFonts w:ascii="Times New Roman" w:cs="Times New Roman"/>
      <w:b w:val="0"/>
      <w:color w:val="auto"/>
      <w:kern w:val="0"/>
      <w:sz w:val="24"/>
      <w:szCs w:val="24"/>
    </w:rPr>
  </w:style>
  <w:style w:type="paragraph" w:customStyle="1" w:styleId="985">
    <w:name w:val="湛江钢铁表标题"/>
    <w:basedOn w:val="1"/>
    <w:qFormat/>
    <w:uiPriority w:val="99"/>
    <w:pPr>
      <w:autoSpaceDE/>
      <w:autoSpaceDN/>
      <w:spacing w:beforeLines="50" w:line="360" w:lineRule="auto"/>
      <w:ind w:firstLine="480" w:firstLineChars="200"/>
      <w:jc w:val="center"/>
    </w:pPr>
    <w:rPr>
      <w:rFonts w:ascii="Times New Roman" w:hAnsi="Times New Roman" w:eastAsia="仿宋_GB2312" w:cs="Times New Roman"/>
      <w:color w:val="000000"/>
      <w:sz w:val="24"/>
      <w:szCs w:val="24"/>
      <w:lang w:val="en-US" w:bidi="ar-SA"/>
    </w:rPr>
  </w:style>
  <w:style w:type="paragraph" w:customStyle="1" w:styleId="986">
    <w:name w:val="样式 四号 行距: 1.5 倍行距"/>
    <w:basedOn w:val="1"/>
    <w:qFormat/>
    <w:uiPriority w:val="0"/>
    <w:pPr>
      <w:autoSpaceDE/>
      <w:autoSpaceDN/>
      <w:spacing w:line="360" w:lineRule="auto"/>
      <w:ind w:firstLine="560" w:firstLineChars="200"/>
      <w:jc w:val="both"/>
    </w:pPr>
    <w:rPr>
      <w:rFonts w:ascii="Times New Roman" w:hAnsi="Times New Roman"/>
      <w:kern w:val="2"/>
      <w:sz w:val="28"/>
      <w:szCs w:val="20"/>
      <w:lang w:val="en-US" w:bidi="ar-SA"/>
    </w:rPr>
  </w:style>
  <w:style w:type="paragraph" w:customStyle="1" w:styleId="987">
    <w:name w:val="表中文字----------------"/>
    <w:basedOn w:val="1"/>
    <w:qFormat/>
    <w:uiPriority w:val="99"/>
    <w:pPr>
      <w:autoSpaceDE/>
      <w:autoSpaceDN/>
      <w:jc w:val="center"/>
    </w:pPr>
    <w:rPr>
      <w:rFonts w:ascii="Times New Roman" w:hAnsi="Times New Roman" w:cs="Times New Roman"/>
      <w:kern w:val="2"/>
      <w:sz w:val="21"/>
      <w:szCs w:val="20"/>
      <w:lang w:val="en-US" w:bidi="ar-SA"/>
    </w:rPr>
  </w:style>
  <w:style w:type="paragraph" w:customStyle="1" w:styleId="988">
    <w:name w:val="nub2.4"/>
    <w:qFormat/>
    <w:uiPriority w:val="0"/>
    <w:pPr>
      <w:widowControl w:val="0"/>
      <w:tabs>
        <w:tab w:val="left" w:pos="288"/>
        <w:tab w:val="left" w:pos="1721"/>
        <w:tab w:val="left" w:pos="2776"/>
        <w:tab w:val="left" w:pos="3568"/>
        <w:tab w:val="left" w:pos="4392"/>
        <w:tab w:val="left" w:pos="5052"/>
        <w:tab w:val="left" w:pos="5943"/>
        <w:tab w:val="left" w:pos="6553"/>
        <w:tab w:val="left" w:pos="6982"/>
        <w:tab w:val="left" w:pos="7807"/>
      </w:tabs>
      <w:autoSpaceDE w:val="0"/>
      <w:autoSpaceDN w:val="0"/>
      <w:adjustRightInd w:val="0"/>
      <w:spacing w:before="43" w:after="43" w:line="302" w:lineRule="atLeast"/>
      <w:ind w:left="604"/>
    </w:pPr>
    <w:rPr>
      <w:rFonts w:ascii="Arial" w:hAnsi="Arial" w:eastAsia="宋体" w:cs="Times New Roman"/>
      <w:color w:val="000000"/>
      <w:lang w:val="en-US" w:eastAsia="zh-CN" w:bidi="ar-SA"/>
    </w:rPr>
  </w:style>
  <w:style w:type="paragraph" w:customStyle="1" w:styleId="989">
    <w:name w:val="样式 标题 3 + 宋体 小四 非加粗"/>
    <w:basedOn w:val="5"/>
    <w:qFormat/>
    <w:uiPriority w:val="99"/>
    <w:pPr>
      <w:keepNext/>
      <w:keepLines/>
      <w:tabs>
        <w:tab w:val="left" w:pos="720"/>
      </w:tabs>
      <w:autoSpaceDE/>
      <w:autoSpaceDN/>
      <w:spacing w:before="260" w:after="260" w:line="416" w:lineRule="auto"/>
      <w:ind w:left="720" w:hanging="720"/>
      <w:jc w:val="both"/>
    </w:pPr>
    <w:rPr>
      <w:rFonts w:cs="Times New Roman"/>
      <w:b w:val="0"/>
      <w:bCs w:val="0"/>
      <w:szCs w:val="32"/>
      <w:lang w:val="en-US" w:bidi="ar-SA"/>
    </w:rPr>
  </w:style>
  <w:style w:type="paragraph" w:customStyle="1" w:styleId="990">
    <w:name w:val="xl68"/>
    <w:basedOn w:val="1"/>
    <w:qFormat/>
    <w:uiPriority w:val="0"/>
    <w:pPr>
      <w:widowControl/>
      <w:pBdr>
        <w:bottom w:val="single" w:color="auto" w:sz="4" w:space="0"/>
        <w:right w:val="single" w:color="auto" w:sz="8" w:space="0"/>
      </w:pBdr>
      <w:autoSpaceDE/>
      <w:autoSpaceDN/>
      <w:spacing w:before="100" w:beforeAutospacing="1" w:after="100" w:afterAutospacing="1"/>
      <w:jc w:val="center"/>
    </w:pPr>
    <w:rPr>
      <w:rFonts w:eastAsia="仿宋_GB2312" w:cs="Times New Roman"/>
      <w:position w:val="-6"/>
      <w:sz w:val="24"/>
      <w:szCs w:val="21"/>
      <w:lang w:val="en-US" w:bidi="ar-SA"/>
    </w:rPr>
  </w:style>
  <w:style w:type="paragraph" w:customStyle="1" w:styleId="991">
    <w:name w:val="小5"/>
    <w:basedOn w:val="1"/>
    <w:qFormat/>
    <w:uiPriority w:val="99"/>
    <w:pPr>
      <w:widowControl/>
      <w:autoSpaceDE/>
      <w:autoSpaceDN/>
      <w:adjustRightInd w:val="0"/>
      <w:snapToGrid w:val="0"/>
      <w:spacing w:line="400" w:lineRule="exact"/>
      <w:jc w:val="center"/>
    </w:pPr>
    <w:rPr>
      <w:rFonts w:cs="Times New Roman"/>
      <w:sz w:val="21"/>
      <w:szCs w:val="21"/>
      <w:lang w:val="en-US" w:bidi="ar-SA"/>
    </w:rPr>
  </w:style>
  <w:style w:type="paragraph" w:customStyle="1" w:styleId="992">
    <w:name w:val="列表 2U"/>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993">
    <w:name w:val="表内小5中"/>
    <w:basedOn w:val="1"/>
    <w:qFormat/>
    <w:uiPriority w:val="99"/>
    <w:pPr>
      <w:autoSpaceDE/>
      <w:autoSpaceDN/>
      <w:jc w:val="both"/>
    </w:pPr>
    <w:rPr>
      <w:rFonts w:hAnsi="Times New Roman" w:cs="Times New Roman"/>
      <w:kern w:val="2"/>
      <w:sz w:val="18"/>
      <w:szCs w:val="18"/>
      <w:lang w:val="en-US" w:bidi="ar-SA"/>
    </w:rPr>
  </w:style>
  <w:style w:type="paragraph" w:customStyle="1" w:styleId="994">
    <w:name w:val="样式 标题 2节标题 1.1标题节第一层条H2Heading 2 HiddenHeading 2 CCBSPIM2..."/>
    <w:basedOn w:val="4"/>
    <w:qFormat/>
    <w:uiPriority w:val="99"/>
    <w:pPr>
      <w:keepNext/>
      <w:keepLines/>
      <w:autoSpaceDE/>
      <w:autoSpaceDN/>
      <w:spacing w:before="260" w:after="260" w:line="415" w:lineRule="auto"/>
      <w:ind w:left="0" w:firstLine="0"/>
      <w:jc w:val="both"/>
    </w:pPr>
    <w:rPr>
      <w:rFonts w:ascii="Arial" w:hAnsi="Arial" w:eastAsia="黑体" w:cs="Times New Roman"/>
      <w:b/>
      <w:bCs/>
      <w:sz w:val="32"/>
      <w:szCs w:val="20"/>
      <w:lang w:val="en-US" w:bidi="ar-SA"/>
    </w:rPr>
  </w:style>
  <w:style w:type="paragraph" w:customStyle="1" w:styleId="995">
    <w:name w:val="font11"/>
    <w:basedOn w:val="1"/>
    <w:qFormat/>
    <w:uiPriority w:val="0"/>
    <w:pPr>
      <w:widowControl/>
      <w:autoSpaceDE/>
      <w:autoSpaceDN/>
      <w:spacing w:before="100" w:beforeAutospacing="1" w:after="100" w:afterAutospacing="1"/>
    </w:pPr>
    <w:rPr>
      <w:rFonts w:hint="eastAsia" w:cs="Arial Unicode MS"/>
      <w:b/>
      <w:bCs/>
      <w:sz w:val="20"/>
      <w:szCs w:val="20"/>
      <w:lang w:val="en-US" w:bidi="ar-SA"/>
    </w:rPr>
  </w:style>
  <w:style w:type="paragraph" w:customStyle="1" w:styleId="996">
    <w:name w:val="表格内容格式"/>
    <w:basedOn w:val="1"/>
    <w:qFormat/>
    <w:uiPriority w:val="99"/>
    <w:pPr>
      <w:autoSpaceDE/>
      <w:autoSpaceDN/>
      <w:adjustRightInd w:val="0"/>
      <w:snapToGrid w:val="0"/>
      <w:jc w:val="center"/>
      <w:textAlignment w:val="baseline"/>
    </w:pPr>
    <w:rPr>
      <w:rFonts w:cs="Times New Roman"/>
      <w:snapToGrid w:val="0"/>
      <w:sz w:val="21"/>
      <w:szCs w:val="20"/>
      <w:lang w:val="en-US" w:bidi="ar-SA"/>
    </w:rPr>
  </w:style>
  <w:style w:type="paragraph" w:customStyle="1" w:styleId="997">
    <w:name w:val="xl76"/>
    <w:basedOn w:val="1"/>
    <w:qFormat/>
    <w:uiPriority w:val="0"/>
    <w:pPr>
      <w:widowControl/>
      <w:pBdr>
        <w:top w:val="single" w:color="auto" w:sz="8" w:space="0"/>
        <w:left w:val="single" w:color="auto" w:sz="4" w:space="0"/>
        <w:bottom w:val="single" w:color="auto" w:sz="8" w:space="0"/>
        <w:right w:val="single" w:color="auto" w:sz="4" w:space="0"/>
      </w:pBdr>
      <w:autoSpaceDE/>
      <w:autoSpaceDN/>
      <w:spacing w:before="100" w:beforeAutospacing="1" w:after="100" w:afterAutospacing="1"/>
      <w:jc w:val="center"/>
      <w:textAlignment w:val="center"/>
    </w:pPr>
    <w:rPr>
      <w:rFonts w:ascii="Arial Unicode MS" w:hAnsi="Arial Unicode MS" w:eastAsia="Arial Unicode MS" w:cs="Arial Unicode MS"/>
      <w:sz w:val="16"/>
      <w:szCs w:val="16"/>
      <w:lang w:val="en-US" w:bidi="ar-SA"/>
    </w:rPr>
  </w:style>
  <w:style w:type="paragraph" w:customStyle="1" w:styleId="998">
    <w:name w:val="xl56"/>
    <w:basedOn w:val="1"/>
    <w:qFormat/>
    <w:uiPriority w:val="0"/>
    <w:pPr>
      <w:widowControl/>
      <w:pBdr>
        <w:top w:val="single" w:color="auto" w:sz="8" w:space="0"/>
        <w:left w:val="single" w:color="auto" w:sz="4" w:space="0"/>
        <w:bottom w:val="single" w:color="auto" w:sz="4" w:space="0"/>
      </w:pBdr>
      <w:autoSpaceDE/>
      <w:autoSpaceDN/>
      <w:spacing w:before="100" w:beforeAutospacing="1" w:after="100" w:afterAutospacing="1"/>
      <w:jc w:val="center"/>
    </w:pPr>
    <w:rPr>
      <w:rFonts w:eastAsia="仿宋_GB2312" w:cs="Times New Roman"/>
      <w:position w:val="-6"/>
      <w:sz w:val="24"/>
      <w:szCs w:val="21"/>
      <w:lang w:val="en-US" w:bidi="ar-SA"/>
    </w:rPr>
  </w:style>
  <w:style w:type="paragraph" w:customStyle="1" w:styleId="999">
    <w:name w:val="列表 4M"/>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000">
    <w:name w:val="Job Title"/>
    <w:next w:val="936"/>
    <w:qFormat/>
    <w:uiPriority w:val="99"/>
    <w:pPr>
      <w:spacing w:after="40" w:line="220" w:lineRule="atLeast"/>
    </w:pPr>
    <w:rPr>
      <w:rFonts w:ascii="Arial" w:hAnsi="Arial" w:eastAsia="宋体" w:cs="Times New Roman"/>
      <w:b/>
      <w:spacing w:val="-10"/>
      <w:lang w:val="en-US" w:eastAsia="zh-CN" w:bidi="ar-SA"/>
    </w:rPr>
  </w:style>
  <w:style w:type="paragraph" w:customStyle="1" w:styleId="1001">
    <w:name w:val="列表 M"/>
    <w:basedOn w:val="59"/>
    <w:qFormat/>
    <w:uiPriority w:val="99"/>
    <w:pPr>
      <w:tabs>
        <w:tab w:val="left" w:pos="425"/>
        <w:tab w:val="clear" w:pos="3480"/>
      </w:tabs>
      <w:autoSpaceDE/>
      <w:autoSpaceDN/>
      <w:spacing w:beforeLines="100" w:afterLines="50" w:line="288" w:lineRule="auto"/>
      <w:ind w:left="425" w:hanging="425"/>
      <w:jc w:val="both"/>
    </w:pPr>
    <w:rPr>
      <w:rFonts w:ascii="Arial" w:hAnsi="Arial" w:eastAsia="宋体" w:cs="Times New Roman"/>
      <w:b/>
      <w:bCs/>
      <w:color w:val="FF99CC"/>
      <w:sz w:val="24"/>
      <w:szCs w:val="20"/>
      <w:lang w:val="en-US" w:bidi="ar-SA"/>
    </w:rPr>
  </w:style>
  <w:style w:type="paragraph" w:customStyle="1" w:styleId="1002">
    <w:name w:val="编制人员"/>
    <w:basedOn w:val="1"/>
    <w:qFormat/>
    <w:uiPriority w:val="99"/>
    <w:pPr>
      <w:keepNext/>
      <w:tabs>
        <w:tab w:val="left" w:pos="2190"/>
      </w:tabs>
      <w:autoSpaceDE/>
      <w:autoSpaceDN/>
      <w:adjustRightInd w:val="0"/>
      <w:snapToGrid w:val="0"/>
      <w:spacing w:line="360" w:lineRule="auto"/>
      <w:jc w:val="center"/>
    </w:pPr>
    <w:rPr>
      <w:rFonts w:ascii="黑体" w:eastAsia="黑体" w:cs="Times New Roman"/>
      <w:kern w:val="2"/>
      <w:sz w:val="32"/>
      <w:szCs w:val="28"/>
      <w:lang w:val="en-US" w:bidi="ar-SA"/>
    </w:rPr>
  </w:style>
  <w:style w:type="paragraph" w:customStyle="1" w:styleId="1003">
    <w:name w:val="样式 正文缩进 + 小四1"/>
    <w:basedOn w:val="20"/>
    <w:qFormat/>
    <w:uiPriority w:val="99"/>
    <w:pPr>
      <w:keepNext/>
      <w:tabs>
        <w:tab w:val="left" w:pos="1727"/>
        <w:tab w:val="left" w:pos="1884"/>
      </w:tabs>
      <w:autoSpaceDE/>
      <w:autoSpaceDN/>
      <w:spacing w:line="360" w:lineRule="auto"/>
      <w:ind w:firstLine="480"/>
      <w:outlineLvl w:val="0"/>
    </w:pPr>
    <w:rPr>
      <w:snapToGrid w:val="0"/>
      <w:color w:val="000000"/>
      <w:sz w:val="28"/>
      <w:szCs w:val="20"/>
      <w:lang w:val="en-US" w:bidi="ar-SA"/>
    </w:rPr>
  </w:style>
  <w:style w:type="character" w:customStyle="1" w:styleId="1004">
    <w:name w:val="z-窗体顶端 Char2"/>
    <w:basedOn w:val="83"/>
    <w:semiHidden/>
    <w:qFormat/>
    <w:uiPriority w:val="99"/>
    <w:rPr>
      <w:rFonts w:ascii="Arial" w:hAnsi="Arial" w:cs="Arial"/>
      <w:vanish/>
      <w:sz w:val="16"/>
      <w:szCs w:val="16"/>
    </w:rPr>
  </w:style>
  <w:style w:type="paragraph" w:customStyle="1" w:styleId="1005">
    <w:name w:val="内蒙4="/>
    <w:basedOn w:val="1"/>
    <w:qFormat/>
    <w:uiPriority w:val="99"/>
    <w:pPr>
      <w:autoSpaceDE/>
      <w:autoSpaceDN/>
      <w:spacing w:line="480" w:lineRule="exact"/>
      <w:jc w:val="both"/>
      <w:outlineLvl w:val="3"/>
    </w:pPr>
    <w:rPr>
      <w:rFonts w:ascii="Times New Roman" w:cs="Times New Roman"/>
      <w:b/>
      <w:color w:val="FF0000"/>
      <w:spacing w:val="20"/>
      <w:kern w:val="2"/>
      <w:sz w:val="24"/>
      <w:szCs w:val="24"/>
      <w:lang w:val="en-US" w:bidi="ar-SA"/>
    </w:rPr>
  </w:style>
  <w:style w:type="paragraph" w:customStyle="1" w:styleId="1006">
    <w:name w:val="小四表文左齐"/>
    <w:basedOn w:val="1"/>
    <w:qFormat/>
    <w:uiPriority w:val="99"/>
    <w:pPr>
      <w:widowControl/>
      <w:autoSpaceDE/>
      <w:autoSpaceDN/>
      <w:jc w:val="center"/>
    </w:pPr>
    <w:rPr>
      <w:rFonts w:ascii="Times New Roman" w:hAnsi="Times New Roman" w:eastAsia="仿宋_GB2312" w:cs="Times New Roman"/>
      <w:bCs/>
      <w:spacing w:val="6"/>
      <w:kern w:val="16"/>
      <w:sz w:val="28"/>
      <w:szCs w:val="21"/>
      <w:lang w:val="en-US" w:bidi="ar-SA"/>
    </w:rPr>
  </w:style>
  <w:style w:type="paragraph" w:customStyle="1" w:styleId="1007">
    <w:name w:val="xl57"/>
    <w:basedOn w:val="1"/>
    <w:qFormat/>
    <w:uiPriority w:val="0"/>
    <w:pPr>
      <w:widowControl/>
      <w:pBdr>
        <w:top w:val="single" w:color="auto" w:sz="8" w:space="0"/>
        <w:bottom w:val="single" w:color="auto" w:sz="4" w:space="0"/>
      </w:pBdr>
      <w:autoSpaceDE/>
      <w:autoSpaceDN/>
      <w:spacing w:before="100" w:beforeAutospacing="1" w:after="100" w:afterAutospacing="1"/>
      <w:jc w:val="center"/>
    </w:pPr>
    <w:rPr>
      <w:rFonts w:eastAsia="仿宋_GB2312" w:cs="Times New Roman"/>
      <w:position w:val="-6"/>
      <w:sz w:val="24"/>
      <w:szCs w:val="21"/>
      <w:lang w:val="en-US" w:bidi="ar-SA"/>
    </w:rPr>
  </w:style>
  <w:style w:type="paragraph" w:customStyle="1" w:styleId="1008">
    <w:name w:val="样式 标题 2h22Header 2nd PageA.B.C.h2 main h标题2 + 仿宋_GB2312 行距..."/>
    <w:basedOn w:val="4"/>
    <w:qFormat/>
    <w:uiPriority w:val="0"/>
    <w:pPr>
      <w:keepNext/>
      <w:keepLines/>
      <w:widowControl/>
      <w:autoSpaceDE/>
      <w:autoSpaceDN/>
      <w:spacing w:before="260" w:after="260" w:line="360" w:lineRule="auto"/>
      <w:ind w:left="0" w:firstLine="455" w:firstLineChars="162"/>
    </w:pPr>
    <w:rPr>
      <w:rFonts w:ascii="仿宋_GB2312" w:hAnsi="ˎ̥" w:eastAsia="仿宋_GB2312" w:cs="Times New Roman"/>
      <w:bCs/>
      <w:sz w:val="28"/>
      <w:szCs w:val="20"/>
      <w:lang w:val="en-US" w:bidi="ar-SA"/>
    </w:rPr>
  </w:style>
  <w:style w:type="paragraph" w:customStyle="1" w:styleId="1009">
    <w:name w:val="Char1 Char Char Char Char Char1 Char1"/>
    <w:basedOn w:val="1"/>
    <w:qFormat/>
    <w:uiPriority w:val="99"/>
    <w:pPr>
      <w:autoSpaceDE/>
      <w:autoSpaceDN/>
      <w:jc w:val="both"/>
    </w:pPr>
    <w:rPr>
      <w:rFonts w:ascii="Tahoma" w:hAnsi="Tahoma" w:cs="Times New Roman"/>
      <w:kern w:val="2"/>
      <w:sz w:val="24"/>
      <w:szCs w:val="20"/>
      <w:lang w:val="en-US" w:bidi="ar-SA"/>
    </w:rPr>
  </w:style>
  <w:style w:type="paragraph" w:customStyle="1" w:styleId="1010">
    <w:name w:val="样式 标题 1 + 两端对齐"/>
    <w:basedOn w:val="3"/>
    <w:qFormat/>
    <w:uiPriority w:val="99"/>
    <w:pPr>
      <w:keepLines/>
      <w:tabs>
        <w:tab w:val="left" w:pos="720"/>
      </w:tabs>
      <w:autoSpaceDE/>
      <w:autoSpaceDN/>
      <w:spacing w:before="0" w:beforeLines="100" w:afterLines="100" w:line="312" w:lineRule="auto"/>
      <w:ind w:left="-4" w:firstLine="4"/>
    </w:pPr>
    <w:rPr>
      <w:rFonts w:ascii="Times New Roman" w:hAnsi="Times New Roman" w:cs="宋体"/>
      <w:bCs/>
      <w:kern w:val="44"/>
      <w:sz w:val="32"/>
      <w:szCs w:val="20"/>
      <w:lang w:val="en-US" w:bidi="ar-SA"/>
    </w:rPr>
  </w:style>
  <w:style w:type="paragraph" w:customStyle="1" w:styleId="1011">
    <w:name w:val="121111111111"/>
    <w:basedOn w:val="1"/>
    <w:qFormat/>
    <w:uiPriority w:val="99"/>
    <w:pPr>
      <w:autoSpaceDE/>
      <w:autoSpaceDN/>
      <w:spacing w:line="460" w:lineRule="exact"/>
      <w:jc w:val="center"/>
    </w:pPr>
    <w:rPr>
      <w:rFonts w:ascii="Times New Roman" w:hAnsi="Times New Roman" w:eastAsia="黑体" w:cs="Times New Roman"/>
      <w:color w:val="000000"/>
      <w:spacing w:val="16"/>
      <w:kern w:val="2"/>
      <w:sz w:val="24"/>
      <w:szCs w:val="24"/>
      <w:lang w:val="en-US" w:bidi="ar-SA"/>
    </w:rPr>
  </w:style>
  <w:style w:type="paragraph" w:customStyle="1" w:styleId="1012">
    <w:name w:val="Main"/>
    <w:basedOn w:val="1"/>
    <w:qFormat/>
    <w:uiPriority w:val="0"/>
    <w:pPr>
      <w:autoSpaceDE/>
      <w:autoSpaceDN/>
      <w:spacing w:line="480" w:lineRule="atLeast"/>
      <w:ind w:left="400" w:leftChars="400" w:right="400" w:firstLine="200"/>
      <w:jc w:val="both"/>
    </w:pPr>
    <w:rPr>
      <w:rFonts w:hint="eastAsia" w:ascii="Tahoma" w:hAnsi="Tahoma" w:cs="Times New Roman"/>
      <w:kern w:val="2"/>
      <w:sz w:val="21"/>
      <w:szCs w:val="21"/>
      <w:lang w:val="en-US" w:bidi="ar-SA"/>
    </w:rPr>
  </w:style>
  <w:style w:type="paragraph" w:customStyle="1" w:styleId="1013">
    <w:name w:val="表标题1.7－2"/>
    <w:basedOn w:val="1"/>
    <w:qFormat/>
    <w:uiPriority w:val="0"/>
    <w:pPr>
      <w:autoSpaceDE/>
      <w:autoSpaceDN/>
      <w:spacing w:beforeLines="100" w:line="0" w:lineRule="atLeast"/>
      <w:jc w:val="both"/>
    </w:pPr>
    <w:rPr>
      <w:rFonts w:ascii="Times New Roman" w:hAnsi="Times New Roman" w:cs="Times New Roman"/>
      <w:color w:val="000000"/>
      <w:kern w:val="2"/>
      <w:sz w:val="24"/>
      <w:szCs w:val="24"/>
      <w:lang w:val="en-US" w:bidi="ar-SA"/>
    </w:rPr>
  </w:style>
  <w:style w:type="paragraph" w:customStyle="1" w:styleId="1014">
    <w:name w:val="样式 标题 3H3条标题1.1.11.1.1标题 3H31H32H33u3标题 3 Char Char Char...1"/>
    <w:basedOn w:val="5"/>
    <w:qFormat/>
    <w:uiPriority w:val="99"/>
    <w:pPr>
      <w:keepNext/>
      <w:keepLines/>
      <w:widowControl/>
      <w:autoSpaceDE/>
      <w:autoSpaceDN/>
      <w:spacing w:beforeLines="100" w:afterLines="50"/>
      <w:ind w:left="0" w:firstLine="0"/>
    </w:pPr>
    <w:rPr>
      <w:rFonts w:ascii="Times New Roman" w:hAnsi="Times New Roman" w:eastAsia="黑体"/>
      <w:kern w:val="28"/>
      <w:sz w:val="30"/>
      <w:szCs w:val="20"/>
      <w:lang w:val="en-US" w:bidi="ar-SA"/>
    </w:rPr>
  </w:style>
  <w:style w:type="paragraph" w:customStyle="1" w:styleId="1015">
    <w:name w:val="xl67"/>
    <w:basedOn w:val="1"/>
    <w:qFormat/>
    <w:uiPriority w:val="0"/>
    <w:pPr>
      <w:widowControl/>
      <w:pBdr>
        <w:bottom w:val="single" w:color="auto" w:sz="8" w:space="0"/>
      </w:pBdr>
      <w:autoSpaceDE/>
      <w:autoSpaceDN/>
      <w:spacing w:before="100" w:beforeAutospacing="1" w:after="100" w:afterAutospacing="1"/>
      <w:jc w:val="right"/>
    </w:pPr>
    <w:rPr>
      <w:rFonts w:eastAsia="仿宋_GB2312" w:cs="Times New Roman"/>
      <w:position w:val="-6"/>
      <w:sz w:val="24"/>
      <w:szCs w:val="21"/>
      <w:lang w:val="en-US" w:bidi="ar-SA"/>
    </w:rPr>
  </w:style>
  <w:style w:type="paragraph" w:customStyle="1" w:styleId="1016">
    <w:name w:val="表内5中9"/>
    <w:basedOn w:val="1"/>
    <w:qFormat/>
    <w:uiPriority w:val="99"/>
    <w:pPr>
      <w:autoSpaceDE/>
      <w:autoSpaceDN/>
      <w:adjustRightInd w:val="0"/>
      <w:snapToGrid w:val="0"/>
      <w:jc w:val="center"/>
    </w:pPr>
    <w:rPr>
      <w:rFonts w:ascii="Times New Roman" w:cs="Times New Roman"/>
      <w:snapToGrid w:val="0"/>
      <w:sz w:val="18"/>
      <w:szCs w:val="18"/>
      <w:lang w:val="en-US" w:bidi="ar-SA"/>
    </w:rPr>
  </w:style>
  <w:style w:type="paragraph" w:customStyle="1" w:styleId="1017">
    <w:name w:val="简单回函地址"/>
    <w:basedOn w:val="1"/>
    <w:qFormat/>
    <w:uiPriority w:val="99"/>
    <w:pPr>
      <w:autoSpaceDE/>
      <w:autoSpaceDN/>
      <w:jc w:val="both"/>
    </w:pPr>
    <w:rPr>
      <w:rFonts w:cs="Times New Roman"/>
      <w:kern w:val="2"/>
      <w:sz w:val="24"/>
      <w:szCs w:val="32"/>
      <w:lang w:val="en-US" w:bidi="ar-SA"/>
    </w:rPr>
  </w:style>
  <w:style w:type="paragraph" w:customStyle="1" w:styleId="1018">
    <w:name w:val="样式 页眉 + 宋体 黑色 段前: 0 磅 段后: 0 磅 行距: 固定值 12 磅2"/>
    <w:basedOn w:val="52"/>
    <w:qFormat/>
    <w:uiPriority w:val="0"/>
    <w:pPr>
      <w:pBdr>
        <w:top w:val="none" w:color="auto" w:sz="0" w:space="0"/>
        <w:left w:val="none" w:color="auto" w:sz="0" w:space="0"/>
        <w:bottom w:val="none" w:color="auto" w:sz="0" w:space="0"/>
        <w:right w:val="none" w:color="auto" w:sz="0" w:space="0"/>
      </w:pBdr>
      <w:tabs>
        <w:tab w:val="clear" w:pos="4153"/>
        <w:tab w:val="clear" w:pos="8306"/>
      </w:tabs>
      <w:autoSpaceDE/>
      <w:autoSpaceDN/>
      <w:snapToGrid/>
      <w:spacing w:line="240" w:lineRule="exact"/>
      <w:jc w:val="center"/>
    </w:pPr>
    <w:rPr>
      <w:rFonts w:cs="Times New Roman"/>
      <w:color w:val="000000"/>
      <w:sz w:val="21"/>
      <w:szCs w:val="20"/>
      <w:lang w:val="en-US" w:bidi="ar-SA"/>
    </w:rPr>
  </w:style>
  <w:style w:type="paragraph" w:customStyle="1" w:styleId="1019">
    <w:name w:val="tian"/>
    <w:basedOn w:val="1"/>
    <w:qFormat/>
    <w:uiPriority w:val="99"/>
    <w:pPr>
      <w:autoSpaceDE/>
      <w:autoSpaceDN/>
      <w:jc w:val="both"/>
    </w:pPr>
    <w:rPr>
      <w:rFonts w:ascii="Times New Roman" w:hAnsi="Times New Roman" w:cs="Times New Roman"/>
      <w:kern w:val="2"/>
      <w:sz w:val="24"/>
      <w:szCs w:val="20"/>
      <w:lang w:val="en-US" w:bidi="ar-SA"/>
    </w:rPr>
  </w:style>
  <w:style w:type="paragraph" w:customStyle="1" w:styleId="1020">
    <w:name w:val="xl75"/>
    <w:basedOn w:val="1"/>
    <w:qFormat/>
    <w:uiPriority w:val="0"/>
    <w:pPr>
      <w:widowControl/>
      <w:pBdr>
        <w:top w:val="single" w:color="auto" w:sz="4" w:space="0"/>
        <w:bottom w:val="single" w:color="auto" w:sz="4" w:space="0"/>
        <w:right w:val="single" w:color="auto" w:sz="4" w:space="0"/>
      </w:pBdr>
      <w:autoSpaceDE/>
      <w:autoSpaceDN/>
      <w:spacing w:before="100" w:beforeAutospacing="1" w:after="100" w:afterAutospacing="1"/>
    </w:pPr>
    <w:rPr>
      <w:rFonts w:eastAsia="仿宋_GB2312" w:cs="Times New Roman"/>
      <w:position w:val="-6"/>
      <w:sz w:val="24"/>
      <w:szCs w:val="24"/>
      <w:lang w:val="en-US" w:bidi="ar-SA"/>
    </w:rPr>
  </w:style>
  <w:style w:type="paragraph" w:customStyle="1" w:styleId="1021">
    <w:name w:val="xl23"/>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rFonts w:ascii="Arial Unicode MS" w:hAnsi="Arial Unicode MS" w:eastAsia="Arial Unicode MS" w:cs="Arial Unicode MS"/>
      <w:sz w:val="18"/>
      <w:szCs w:val="18"/>
      <w:lang w:val="en-US" w:bidi="ar-SA"/>
    </w:rPr>
  </w:style>
  <w:style w:type="paragraph" w:customStyle="1" w:styleId="1022">
    <w:name w:val="4级样式"/>
    <w:basedOn w:val="6"/>
    <w:qFormat/>
    <w:uiPriority w:val="0"/>
    <w:pPr>
      <w:spacing w:before="0" w:after="0" w:line="360" w:lineRule="auto"/>
    </w:pPr>
    <w:rPr>
      <w:rFonts w:ascii="黑体" w:hAnsi="黑体" w:eastAsia="黑体"/>
      <w:b w:val="0"/>
      <w:bCs w:val="0"/>
      <w:kern w:val="0"/>
      <w:sz w:val="24"/>
      <w:szCs w:val="24"/>
      <w:lang w:val="zh-CN"/>
    </w:rPr>
  </w:style>
  <w:style w:type="paragraph" w:customStyle="1" w:styleId="1023">
    <w:name w:val="表内字新"/>
    <w:next w:val="1"/>
    <w:qFormat/>
    <w:uiPriority w:val="99"/>
    <w:pPr>
      <w:suppressAutoHyphens/>
      <w:adjustRightInd w:val="0"/>
      <w:spacing w:line="0" w:lineRule="atLeast"/>
      <w:jc w:val="center"/>
    </w:pPr>
    <w:rPr>
      <w:rFonts w:ascii="Times New Roman" w:hAnsi="Times New Roman" w:eastAsia="宋体" w:cs="Times New Roman"/>
      <w:sz w:val="21"/>
      <w:lang w:val="en-US" w:eastAsia="zh-CN" w:bidi="ar-SA"/>
    </w:rPr>
  </w:style>
  <w:style w:type="paragraph" w:customStyle="1" w:styleId="1024">
    <w:name w:val="样式 标题 1 + 自动设置"/>
    <w:basedOn w:val="3"/>
    <w:qFormat/>
    <w:uiPriority w:val="0"/>
    <w:pPr>
      <w:keepNext/>
      <w:keepLines/>
      <w:tabs>
        <w:tab w:val="left" w:pos="700"/>
        <w:tab w:val="left" w:pos="1440"/>
      </w:tabs>
      <w:adjustRightInd w:val="0"/>
      <w:spacing w:before="0" w:line="700" w:lineRule="exact"/>
      <w:ind w:left="431" w:hanging="431"/>
      <w:jc w:val="center"/>
    </w:pPr>
    <w:rPr>
      <w:rFonts w:ascii="Times New Roman" w:hAnsi="Times New Roman" w:eastAsia="宋体" w:cs="Times New Roman"/>
      <w:bCs/>
      <w:kern w:val="44"/>
      <w:sz w:val="32"/>
      <w:szCs w:val="20"/>
      <w:lang w:val="en-US" w:bidi="ar-SA"/>
    </w:rPr>
  </w:style>
  <w:style w:type="paragraph" w:customStyle="1" w:styleId="1025">
    <w:name w:val="标题样式1"/>
    <w:basedOn w:val="31"/>
    <w:qFormat/>
    <w:uiPriority w:val="99"/>
    <w:pPr>
      <w:autoSpaceDE/>
      <w:autoSpaceDN/>
      <w:adjustRightInd w:val="0"/>
      <w:snapToGrid w:val="0"/>
      <w:spacing w:line="0" w:lineRule="atLeast"/>
      <w:jc w:val="center"/>
      <w:textAlignment w:val="baseline"/>
    </w:pPr>
    <w:rPr>
      <w:rFonts w:ascii="Times New Roman" w:hAnsi="Times New Roman" w:cs="Times New Roman"/>
      <w:b/>
      <w:bCs/>
      <w:snapToGrid w:val="0"/>
      <w:sz w:val="24"/>
      <w:szCs w:val="20"/>
      <w:lang w:val="en-US" w:bidi="ar-SA"/>
    </w:rPr>
  </w:style>
  <w:style w:type="paragraph" w:customStyle="1" w:styleId="1026">
    <w:name w:val="表格03"/>
    <w:basedOn w:val="1"/>
    <w:qFormat/>
    <w:uiPriority w:val="0"/>
    <w:pPr>
      <w:autoSpaceDE/>
      <w:autoSpaceDN/>
      <w:spacing w:line="400" w:lineRule="atLeast"/>
      <w:jc w:val="center"/>
    </w:pPr>
    <w:rPr>
      <w:rFonts w:ascii="Times New Roman" w:hAnsi="Times New Roman" w:cs="Times New Roman"/>
      <w:kern w:val="2"/>
      <w:sz w:val="21"/>
      <w:szCs w:val="21"/>
      <w:lang w:val="en-US" w:bidi="ar-SA"/>
    </w:rPr>
  </w:style>
  <w:style w:type="paragraph" w:customStyle="1" w:styleId="1027">
    <w:name w:val="样式4"/>
    <w:basedOn w:val="20"/>
    <w:qFormat/>
    <w:uiPriority w:val="0"/>
    <w:pPr>
      <w:autoSpaceDE/>
      <w:autoSpaceDN/>
      <w:adjustRightInd w:val="0"/>
      <w:snapToGrid w:val="0"/>
      <w:spacing w:line="360" w:lineRule="auto"/>
      <w:ind w:firstLine="420"/>
      <w:textAlignment w:val="baseline"/>
    </w:pPr>
    <w:rPr>
      <w:rFonts w:ascii="Times New Roman" w:hAnsi="Times New Roman" w:cs="Times New Roman"/>
      <w:sz w:val="24"/>
      <w:szCs w:val="20"/>
      <w:lang w:val="en-US" w:bidi="ar-SA"/>
    </w:rPr>
  </w:style>
  <w:style w:type="paragraph" w:customStyle="1" w:styleId="1028">
    <w:name w:val="CM10"/>
    <w:basedOn w:val="101"/>
    <w:next w:val="101"/>
    <w:qFormat/>
    <w:uiPriority w:val="99"/>
    <w:pPr>
      <w:snapToGrid w:val="0"/>
      <w:spacing w:beforeLines="0" w:afterLines="0" w:line="468" w:lineRule="atLeast"/>
    </w:pPr>
    <w:rPr>
      <w:rFonts w:ascii="Times New Roman" w:cs="Times New Roman"/>
      <w:b w:val="0"/>
      <w:color w:val="auto"/>
      <w:kern w:val="0"/>
      <w:sz w:val="24"/>
      <w:szCs w:val="24"/>
    </w:rPr>
  </w:style>
  <w:style w:type="paragraph" w:customStyle="1" w:styleId="1029">
    <w:name w:val="默认段落字体 Para Char Char Char Char Char Char Char Char Char Char Char Char Char Char Char Char"/>
    <w:basedOn w:val="1"/>
    <w:qFormat/>
    <w:uiPriority w:val="99"/>
    <w:pPr>
      <w:autoSpaceDE/>
      <w:autoSpaceDN/>
      <w:spacing w:line="360" w:lineRule="auto"/>
      <w:ind w:firstLine="200" w:firstLineChars="200"/>
      <w:jc w:val="both"/>
    </w:pPr>
    <w:rPr>
      <w:kern w:val="2"/>
      <w:sz w:val="24"/>
      <w:szCs w:val="24"/>
      <w:lang w:val="en-US" w:bidi="ar-SA"/>
    </w:rPr>
  </w:style>
  <w:style w:type="paragraph" w:customStyle="1" w:styleId="1030">
    <w:name w:val="lyh 正文"/>
    <w:basedOn w:val="64"/>
    <w:qFormat/>
    <w:uiPriority w:val="0"/>
    <w:pPr>
      <w:adjustRightInd w:val="0"/>
      <w:snapToGrid w:val="0"/>
      <w:spacing w:after="0" w:line="360" w:lineRule="auto"/>
      <w:ind w:left="0" w:leftChars="0" w:firstLine="200" w:firstLineChars="200"/>
    </w:pPr>
    <w:rPr>
      <w:rFonts w:ascii="宋体"/>
      <w:sz w:val="28"/>
      <w:szCs w:val="28"/>
    </w:rPr>
  </w:style>
  <w:style w:type="paragraph" w:customStyle="1" w:styleId="1031">
    <w:name w:val="Char1 Char Char Char Char Char1 Char"/>
    <w:basedOn w:val="1"/>
    <w:qFormat/>
    <w:uiPriority w:val="0"/>
    <w:pPr>
      <w:autoSpaceDE/>
      <w:autoSpaceDN/>
      <w:jc w:val="both"/>
    </w:pPr>
    <w:rPr>
      <w:rFonts w:ascii="Tahoma" w:hAnsi="Tahoma" w:cs="Times New Roman"/>
      <w:kern w:val="2"/>
      <w:sz w:val="24"/>
      <w:szCs w:val="20"/>
      <w:lang w:val="en-US" w:bidi="ar-SA"/>
    </w:rPr>
  </w:style>
  <w:style w:type="paragraph" w:customStyle="1" w:styleId="1032">
    <w:name w:val="CM70"/>
    <w:basedOn w:val="101"/>
    <w:next w:val="101"/>
    <w:qFormat/>
    <w:uiPriority w:val="99"/>
    <w:pPr>
      <w:snapToGrid w:val="0"/>
      <w:spacing w:beforeLines="0" w:after="300" w:afterLines="0" w:line="360" w:lineRule="auto"/>
    </w:pPr>
    <w:rPr>
      <w:rFonts w:ascii="Times New Roman" w:cs="Times New Roman"/>
      <w:b w:val="0"/>
      <w:color w:val="auto"/>
      <w:kern w:val="0"/>
      <w:sz w:val="24"/>
      <w:szCs w:val="24"/>
    </w:rPr>
  </w:style>
  <w:style w:type="paragraph" w:customStyle="1" w:styleId="1033">
    <w:name w:val="样式 燕山正文 + 首行缩进:  2 字符"/>
    <w:basedOn w:val="1"/>
    <w:qFormat/>
    <w:uiPriority w:val="99"/>
    <w:pPr>
      <w:tabs>
        <w:tab w:val="left" w:pos="4680"/>
      </w:tabs>
      <w:autoSpaceDE/>
      <w:autoSpaceDN/>
      <w:adjustRightInd w:val="0"/>
      <w:snapToGrid w:val="0"/>
      <w:spacing w:beforeLines="30" w:afterLines="30" w:line="360" w:lineRule="auto"/>
      <w:ind w:firstLine="480" w:firstLineChars="200"/>
    </w:pPr>
    <w:rPr>
      <w:rFonts w:ascii="Times New Roman" w:hAnsi="Times New Roman" w:cs="Times New Roman"/>
      <w:kern w:val="2"/>
      <w:sz w:val="24"/>
      <w:szCs w:val="20"/>
      <w:lang w:val="en-US" w:bidi="ar-SA"/>
    </w:rPr>
  </w:style>
  <w:style w:type="paragraph" w:customStyle="1" w:styleId="1034">
    <w:name w:val="表格标题2"/>
    <w:basedOn w:val="398"/>
    <w:next w:val="398"/>
    <w:qFormat/>
    <w:uiPriority w:val="0"/>
    <w:pPr>
      <w:spacing w:line="240" w:lineRule="auto"/>
    </w:pPr>
    <w:rPr>
      <w:rFonts w:eastAsia="宋体"/>
      <w:b/>
    </w:rPr>
  </w:style>
  <w:style w:type="paragraph" w:customStyle="1" w:styleId="1035">
    <w:name w:val="表内5"/>
    <w:basedOn w:val="372"/>
    <w:qFormat/>
    <w:uiPriority w:val="99"/>
    <w:pPr>
      <w:tabs>
        <w:tab w:val="left" w:pos="4305"/>
        <w:tab w:val="clear" w:pos="0"/>
      </w:tabs>
      <w:adjustRightInd w:val="0"/>
      <w:snapToGrid w:val="0"/>
      <w:spacing w:line="400" w:lineRule="exact"/>
      <w:ind w:firstLine="480" w:firstLineChars="200"/>
      <w:jc w:val="center"/>
    </w:pPr>
    <w:rPr>
      <w:rFonts w:ascii="宋体" w:hAnsi="宋体"/>
      <w:b w:val="0"/>
      <w:color w:val="000000"/>
      <w:sz w:val="21"/>
      <w:szCs w:val="21"/>
      <w:shd w:val="pct10" w:color="auto" w:fill="FFFFFF"/>
    </w:rPr>
  </w:style>
  <w:style w:type="paragraph" w:customStyle="1" w:styleId="1036">
    <w:name w:val="xl74"/>
    <w:basedOn w:val="1"/>
    <w:qFormat/>
    <w:uiPriority w:val="0"/>
    <w:pPr>
      <w:widowControl/>
      <w:pBdr>
        <w:right w:val="single" w:color="auto" w:sz="4" w:space="0"/>
      </w:pBdr>
      <w:autoSpaceDE/>
      <w:autoSpaceDN/>
      <w:spacing w:before="100" w:beforeAutospacing="1" w:after="100" w:afterAutospacing="1"/>
    </w:pPr>
    <w:rPr>
      <w:rFonts w:eastAsia="仿宋_GB2312" w:cs="Times New Roman"/>
      <w:position w:val="-6"/>
      <w:sz w:val="24"/>
      <w:szCs w:val="24"/>
      <w:lang w:val="en-US" w:bidi="ar-SA"/>
    </w:rPr>
  </w:style>
  <w:style w:type="paragraph" w:customStyle="1" w:styleId="1037">
    <w:name w:val="列表 3K"/>
    <w:basedOn w:val="12"/>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038">
    <w:name w:val="图表目录1"/>
    <w:basedOn w:val="218"/>
    <w:next w:val="218"/>
    <w:qFormat/>
    <w:uiPriority w:val="0"/>
    <w:pPr>
      <w:tabs>
        <w:tab w:val="right" w:leader="dot" w:pos="8051"/>
      </w:tabs>
      <w:ind w:left="840" w:hanging="840"/>
    </w:pPr>
    <w:rPr>
      <w:rFonts w:eastAsia="Times New Roman"/>
      <w:szCs w:val="22"/>
    </w:rPr>
  </w:style>
  <w:style w:type="paragraph" w:customStyle="1" w:styleId="1039">
    <w:name w:val="样式 标题 21.1标题 21.1标题2标题 2 Char1节_Heading 2标2二级标题1.1标题一..."/>
    <w:basedOn w:val="4"/>
    <w:qFormat/>
    <w:uiPriority w:val="99"/>
    <w:pPr>
      <w:keepNext/>
      <w:keepLines/>
      <w:tabs>
        <w:tab w:val="left" w:pos="840"/>
      </w:tabs>
      <w:autoSpaceDE/>
      <w:autoSpaceDN/>
      <w:spacing w:before="120" w:after="120" w:line="312" w:lineRule="auto"/>
      <w:ind w:left="840" w:hanging="420"/>
      <w:jc w:val="both"/>
    </w:pPr>
    <w:rPr>
      <w:rFonts w:ascii="Arial" w:hAnsi="Arial" w:eastAsia="黑体" w:cs="Times New Roman"/>
      <w:b/>
      <w:bCs/>
      <w:color w:val="000000"/>
      <w:sz w:val="24"/>
      <w:szCs w:val="24"/>
      <w:lang w:val="en-US" w:bidi="ar-SA"/>
    </w:rPr>
  </w:style>
  <w:style w:type="paragraph" w:customStyle="1" w:styleId="1040">
    <w:name w:val="表格文本"/>
    <w:basedOn w:val="1"/>
    <w:next w:val="1"/>
    <w:qFormat/>
    <w:uiPriority w:val="99"/>
    <w:pPr>
      <w:autoSpaceDE/>
      <w:autoSpaceDN/>
      <w:spacing w:line="240" w:lineRule="exact"/>
      <w:jc w:val="both"/>
    </w:pPr>
    <w:rPr>
      <w:rFonts w:ascii="Times New Roman" w:hAnsi="Times New Roman" w:cs="Times New Roman"/>
      <w:kern w:val="2"/>
      <w:sz w:val="21"/>
      <w:szCs w:val="20"/>
      <w:lang w:val="en-US" w:bidi="ar-SA"/>
    </w:rPr>
  </w:style>
  <w:style w:type="paragraph" w:customStyle="1" w:styleId="1041">
    <w:name w:val="CM29"/>
    <w:basedOn w:val="101"/>
    <w:next w:val="101"/>
    <w:qFormat/>
    <w:uiPriority w:val="99"/>
    <w:pPr>
      <w:snapToGrid w:val="0"/>
      <w:spacing w:beforeLines="0" w:afterLines="0" w:line="456" w:lineRule="atLeast"/>
    </w:pPr>
    <w:rPr>
      <w:rFonts w:ascii="宋体"/>
      <w:b w:val="0"/>
      <w:color w:val="auto"/>
      <w:kern w:val="0"/>
      <w:sz w:val="24"/>
      <w:szCs w:val="24"/>
    </w:rPr>
  </w:style>
  <w:style w:type="paragraph" w:customStyle="1" w:styleId="1042">
    <w:name w:val="In Table (II)"/>
    <w:basedOn w:val="1043"/>
    <w:qFormat/>
    <w:uiPriority w:val="99"/>
    <w:pPr>
      <w:tabs>
        <w:tab w:val="left" w:pos="2200"/>
        <w:tab w:val="left" w:pos="3960"/>
        <w:tab w:val="left" w:pos="5280"/>
      </w:tabs>
      <w:spacing w:beforeLines="25" w:afterLines="25"/>
      <w:ind w:left="52" w:leftChars="20"/>
      <w:jc w:val="left"/>
    </w:pPr>
    <w:rPr>
      <w:bCs/>
    </w:rPr>
  </w:style>
  <w:style w:type="paragraph" w:customStyle="1" w:styleId="1043">
    <w:name w:val="In Table"/>
    <w:basedOn w:val="1"/>
    <w:qFormat/>
    <w:uiPriority w:val="99"/>
    <w:pPr>
      <w:tabs>
        <w:tab w:val="left" w:pos="3960"/>
        <w:tab w:val="left" w:pos="5280"/>
      </w:tabs>
      <w:autoSpaceDE/>
      <w:autoSpaceDN/>
      <w:spacing w:before="96" w:after="96" w:line="0" w:lineRule="atLeast"/>
      <w:jc w:val="center"/>
    </w:pPr>
    <w:rPr>
      <w:rFonts w:ascii="Tahoma" w:hAnsi="Tahoma" w:eastAsia="华文中宋" w:cs="Times New Roman"/>
      <w:kern w:val="2"/>
      <w:sz w:val="21"/>
      <w:szCs w:val="20"/>
      <w:lang w:val="en-US" w:bidi="ar-SA"/>
    </w:rPr>
  </w:style>
  <w:style w:type="paragraph" w:customStyle="1" w:styleId="1044">
    <w:name w:val="CM9"/>
    <w:basedOn w:val="101"/>
    <w:next w:val="101"/>
    <w:qFormat/>
    <w:uiPriority w:val="0"/>
    <w:pPr>
      <w:snapToGrid w:val="0"/>
      <w:spacing w:beforeLines="0" w:afterLines="0" w:line="468" w:lineRule="atLeast"/>
    </w:pPr>
    <w:rPr>
      <w:rFonts w:ascii="Times New Roman" w:cs="Times New Roman"/>
      <w:b w:val="0"/>
      <w:color w:val="auto"/>
      <w:kern w:val="0"/>
      <w:sz w:val="24"/>
      <w:szCs w:val="24"/>
    </w:rPr>
  </w:style>
  <w:style w:type="paragraph" w:customStyle="1" w:styleId="1045">
    <w:name w:val="Char Char210"/>
    <w:basedOn w:val="1"/>
    <w:qFormat/>
    <w:uiPriority w:val="0"/>
    <w:pPr>
      <w:autoSpaceDE/>
      <w:autoSpaceDN/>
      <w:spacing w:beforeLines="100"/>
      <w:jc w:val="both"/>
    </w:pPr>
    <w:rPr>
      <w:rFonts w:ascii="Times New Roman" w:hAnsi="Times New Roman" w:cs="Times New Roman"/>
      <w:kern w:val="2"/>
      <w:sz w:val="21"/>
      <w:szCs w:val="24"/>
      <w:lang w:val="en-US" w:bidi="ar-SA"/>
    </w:rPr>
  </w:style>
  <w:style w:type="paragraph" w:customStyle="1" w:styleId="1046">
    <w:name w:val="样式 黑体 加粗 居中"/>
    <w:basedOn w:val="1"/>
    <w:qFormat/>
    <w:uiPriority w:val="99"/>
    <w:pPr>
      <w:autoSpaceDE/>
      <w:autoSpaceDN/>
      <w:spacing w:line="312" w:lineRule="auto"/>
      <w:ind w:firstLine="573"/>
      <w:jc w:val="center"/>
    </w:pPr>
    <w:rPr>
      <w:rFonts w:ascii="Times New Roman" w:hAnsi="Times New Roman" w:eastAsia="黑体"/>
      <w:b/>
      <w:bCs/>
      <w:kern w:val="2"/>
      <w:sz w:val="24"/>
      <w:szCs w:val="24"/>
      <w:lang w:val="en-US" w:bidi="ar-SA"/>
    </w:rPr>
  </w:style>
  <w:style w:type="paragraph" w:customStyle="1" w:styleId="1047">
    <w:name w:val="标题6"/>
    <w:basedOn w:val="1"/>
    <w:next w:val="78"/>
    <w:qFormat/>
    <w:uiPriority w:val="99"/>
    <w:pPr>
      <w:keepNext/>
      <w:autoSpaceDE/>
      <w:autoSpaceDN/>
      <w:spacing w:line="360" w:lineRule="auto"/>
      <w:ind w:firstLine="567"/>
      <w:outlineLvl w:val="5"/>
    </w:pPr>
    <w:rPr>
      <w:rFonts w:ascii="Times New Roman" w:hAnsi="Times New Roman" w:cs="Times New Roman"/>
      <w:kern w:val="2"/>
      <w:sz w:val="28"/>
      <w:szCs w:val="21"/>
      <w:lang w:val="en-US" w:bidi="ar-SA"/>
    </w:rPr>
  </w:style>
  <w:style w:type="paragraph" w:customStyle="1" w:styleId="1048">
    <w:name w:val="标题5"/>
    <w:basedOn w:val="218"/>
    <w:qFormat/>
    <w:uiPriority w:val="99"/>
    <w:pPr>
      <w:snapToGrid w:val="0"/>
      <w:spacing w:beforeLines="50" w:line="360" w:lineRule="auto"/>
      <w:ind w:firstLine="520" w:firstLineChars="200"/>
      <w:jc w:val="both"/>
      <w:textAlignment w:val="auto"/>
    </w:pPr>
    <w:rPr>
      <w:rFonts w:ascii="Times New Roman"/>
      <w:snapToGrid w:val="0"/>
      <w:color w:val="000000"/>
      <w:szCs w:val="24"/>
    </w:rPr>
  </w:style>
  <w:style w:type="paragraph" w:customStyle="1" w:styleId="1049">
    <w:name w:val="Char Char Char Char Char Char Char Char Char Char Char Char1 Char"/>
    <w:basedOn w:val="1"/>
    <w:next w:val="1"/>
    <w:qFormat/>
    <w:uiPriority w:val="0"/>
    <w:pPr>
      <w:autoSpaceDE/>
      <w:autoSpaceDN/>
      <w:spacing w:line="336" w:lineRule="auto"/>
      <w:ind w:firstLine="200" w:firstLineChars="200"/>
      <w:jc w:val="both"/>
    </w:pPr>
    <w:rPr>
      <w:rFonts w:eastAsia="汉鼎简书宋"/>
      <w:kern w:val="2"/>
      <w:sz w:val="24"/>
      <w:szCs w:val="24"/>
      <w:lang w:val="en-US" w:bidi="ar-SA"/>
    </w:rPr>
  </w:style>
  <w:style w:type="paragraph" w:customStyle="1" w:styleId="1050">
    <w:name w:val="正文标题3"/>
    <w:basedOn w:val="5"/>
    <w:qFormat/>
    <w:uiPriority w:val="99"/>
    <w:pPr>
      <w:keepNext/>
      <w:keepLines/>
      <w:autoSpaceDE/>
      <w:autoSpaceDN/>
      <w:ind w:left="0" w:firstLine="0"/>
      <w:jc w:val="both"/>
    </w:pPr>
    <w:rPr>
      <w:rFonts w:ascii="Times New Roman" w:hAnsi="Times New Roman" w:eastAsia="黑体" w:cs="Times New Roman"/>
      <w:b w:val="0"/>
      <w:sz w:val="28"/>
      <w:szCs w:val="32"/>
      <w:lang w:val="en-US" w:bidi="ar-SA"/>
    </w:rPr>
  </w:style>
  <w:style w:type="paragraph" w:customStyle="1" w:styleId="1051">
    <w:name w:val="正文文字缩进1"/>
    <w:basedOn w:val="46"/>
    <w:qFormat/>
    <w:uiPriority w:val="0"/>
    <w:pPr>
      <w:autoSpaceDE/>
      <w:autoSpaceDN/>
      <w:spacing w:after="0" w:line="360" w:lineRule="auto"/>
      <w:ind w:left="0" w:leftChars="0" w:firstLine="560"/>
    </w:pPr>
    <w:rPr>
      <w:rFonts w:ascii="黑体" w:hAnsi="Arial Black" w:eastAsia="黑体"/>
      <w:b/>
      <w:bCs/>
      <w:sz w:val="28"/>
      <w:szCs w:val="20"/>
      <w:lang w:val="en-US" w:bidi="ar-SA"/>
    </w:rPr>
  </w:style>
  <w:style w:type="paragraph" w:customStyle="1" w:styleId="1052">
    <w:name w:val="前言"/>
    <w:basedOn w:val="102"/>
    <w:qFormat/>
    <w:uiPriority w:val="99"/>
    <w:pPr>
      <w:widowControl/>
      <w:autoSpaceDE/>
      <w:autoSpaceDN/>
      <w:spacing w:beforeLines="0" w:afterLines="0" w:line="360" w:lineRule="auto"/>
      <w:ind w:firstLine="300" w:firstLineChars="300"/>
      <w:jc w:val="left"/>
      <w:outlineLvl w:val="0"/>
    </w:pPr>
    <w:rPr>
      <w:rFonts w:ascii="仿宋_GB2312" w:hAnsi="Times New Roman" w:eastAsia="宋体" w:cs="Times New Roman"/>
      <w:bCs/>
      <w:kern w:val="0"/>
      <w:sz w:val="24"/>
      <w:szCs w:val="28"/>
      <w:lang w:val="en-US" w:bidi="ar-SA"/>
    </w:rPr>
  </w:style>
  <w:style w:type="paragraph" w:customStyle="1" w:styleId="1053">
    <w:name w:val="默认段落字体 Para Char Char Char Char"/>
    <w:basedOn w:val="1"/>
    <w:qFormat/>
    <w:uiPriority w:val="99"/>
    <w:pPr>
      <w:autoSpaceDE/>
      <w:autoSpaceDN/>
      <w:jc w:val="both"/>
    </w:pPr>
    <w:rPr>
      <w:rFonts w:ascii="Times New Roman" w:hAnsi="Times New Roman" w:cs="Times New Roman"/>
      <w:kern w:val="2"/>
      <w:sz w:val="21"/>
      <w:szCs w:val="24"/>
      <w:lang w:val="en-US" w:bidi="ar-SA"/>
    </w:rPr>
  </w:style>
  <w:style w:type="paragraph" w:customStyle="1" w:styleId="1054">
    <w:name w:val="表标题1"/>
    <w:basedOn w:val="1"/>
    <w:qFormat/>
    <w:uiPriority w:val="99"/>
    <w:pPr>
      <w:keepNext/>
      <w:autoSpaceDE/>
      <w:autoSpaceDN/>
      <w:adjustRightInd w:val="0"/>
      <w:spacing w:before="60" w:after="60" w:line="397" w:lineRule="atLeast"/>
      <w:jc w:val="center"/>
      <w:textAlignment w:val="baseline"/>
    </w:pPr>
    <w:rPr>
      <w:rFonts w:ascii="Times New Roman" w:hAnsi="Times New Roman" w:cs="Times New Roman"/>
      <w:b/>
      <w:sz w:val="24"/>
      <w:szCs w:val="20"/>
      <w:lang w:val="en-US" w:bidi="ar-SA"/>
    </w:rPr>
  </w:style>
  <w:style w:type="paragraph" w:customStyle="1" w:styleId="1055">
    <w:name w:val="样式 样式 标题 1 + 两端对齐 + 居中"/>
    <w:basedOn w:val="1"/>
    <w:qFormat/>
    <w:uiPriority w:val="99"/>
    <w:pPr>
      <w:keepLines/>
      <w:tabs>
        <w:tab w:val="left" w:pos="1424"/>
      </w:tabs>
      <w:autoSpaceDE/>
      <w:autoSpaceDN/>
      <w:spacing w:before="840" w:after="360" w:line="312" w:lineRule="auto"/>
      <w:ind w:left="573"/>
      <w:jc w:val="center"/>
      <w:outlineLvl w:val="0"/>
    </w:pPr>
    <w:rPr>
      <w:rFonts w:ascii="Times New Roman" w:hAnsi="Times New Roman" w:eastAsia="黑体"/>
      <w:b/>
      <w:bCs/>
      <w:kern w:val="44"/>
      <w:sz w:val="36"/>
      <w:szCs w:val="36"/>
      <w:lang w:val="en-US" w:bidi="ar-SA"/>
    </w:rPr>
  </w:style>
  <w:style w:type="paragraph" w:customStyle="1" w:styleId="1056">
    <w:name w:val="正文-使用"/>
    <w:basedOn w:val="1"/>
    <w:qFormat/>
    <w:uiPriority w:val="0"/>
    <w:pPr>
      <w:autoSpaceDE/>
      <w:autoSpaceDN/>
      <w:spacing w:line="360" w:lineRule="auto"/>
      <w:ind w:firstLine="482" w:firstLineChars="200"/>
      <w:jc w:val="both"/>
    </w:pPr>
    <w:rPr>
      <w:rFonts w:ascii="Times New Roman" w:hAnsi="Times New Roman" w:cs="Times New Roman"/>
      <w:kern w:val="2"/>
      <w:sz w:val="24"/>
      <w:szCs w:val="20"/>
      <w:lang w:val="en-US" w:bidi="ar-SA"/>
    </w:rPr>
  </w:style>
  <w:style w:type="paragraph" w:customStyle="1" w:styleId="1057">
    <w:name w:val="xl89"/>
    <w:basedOn w:val="1"/>
    <w:qFormat/>
    <w:uiPriority w:val="0"/>
    <w:pPr>
      <w:widowControl/>
      <w:pBdr>
        <w:top w:val="single" w:color="auto" w:sz="4" w:space="0"/>
        <w:bottom w:val="single" w:color="auto" w:sz="4" w:space="0"/>
        <w:right w:val="single" w:color="auto" w:sz="4" w:space="0"/>
      </w:pBdr>
      <w:autoSpaceDE/>
      <w:autoSpaceDN/>
      <w:spacing w:before="100" w:beforeAutospacing="1" w:after="100" w:afterAutospacing="1"/>
    </w:pPr>
    <w:rPr>
      <w:rFonts w:ascii="Times New Roman" w:hAnsi="Times New Roman" w:eastAsia="Arial Unicode MS" w:cs="Times New Roman"/>
      <w:sz w:val="16"/>
      <w:szCs w:val="16"/>
      <w:lang w:val="en-US" w:bidi="ar-SA"/>
    </w:rPr>
  </w:style>
  <w:style w:type="paragraph" w:customStyle="1" w:styleId="1058">
    <w:name w:val="样式 小四"/>
    <w:basedOn w:val="1"/>
    <w:qFormat/>
    <w:uiPriority w:val="99"/>
    <w:pPr>
      <w:autoSpaceDE/>
      <w:autoSpaceDN/>
      <w:ind w:firstLine="200" w:firstLineChars="200"/>
      <w:jc w:val="both"/>
    </w:pPr>
    <w:rPr>
      <w:rFonts w:ascii="Times New Roman" w:hAnsi="Times New Roman"/>
      <w:kern w:val="2"/>
      <w:sz w:val="24"/>
      <w:szCs w:val="20"/>
      <w:lang w:val="en-US" w:bidi="ar-SA"/>
    </w:rPr>
  </w:style>
  <w:style w:type="paragraph" w:customStyle="1" w:styleId="1059">
    <w:name w:val="表中文字"/>
    <w:basedOn w:val="1"/>
    <w:link w:val="1060"/>
    <w:qFormat/>
    <w:uiPriority w:val="0"/>
    <w:pPr>
      <w:topLinePunct/>
      <w:autoSpaceDE/>
      <w:autoSpaceDN/>
      <w:spacing w:line="360" w:lineRule="auto"/>
      <w:jc w:val="center"/>
    </w:pPr>
    <w:rPr>
      <w:rFonts w:ascii="仿宋_GB2312" w:hAnsi="Times New Roman" w:eastAsia="仿宋_GB2312" w:cs="Times New Roman"/>
      <w:kern w:val="2"/>
      <w:sz w:val="28"/>
      <w:szCs w:val="20"/>
      <w:lang w:val="en-US" w:bidi="ar-SA"/>
    </w:rPr>
  </w:style>
  <w:style w:type="character" w:customStyle="1" w:styleId="1060">
    <w:name w:val="表中文字 Char"/>
    <w:link w:val="1059"/>
    <w:qFormat/>
    <w:uiPriority w:val="0"/>
    <w:rPr>
      <w:rFonts w:ascii="仿宋_GB2312" w:eastAsia="仿宋_GB2312"/>
      <w:kern w:val="2"/>
      <w:sz w:val="28"/>
    </w:rPr>
  </w:style>
  <w:style w:type="paragraph" w:customStyle="1" w:styleId="1061">
    <w:name w:val="Section Title"/>
    <w:basedOn w:val="1"/>
    <w:next w:val="1"/>
    <w:qFormat/>
    <w:uiPriority w:val="99"/>
    <w:pPr>
      <w:widowControl/>
      <w:pBdr>
        <w:top w:val="single" w:color="FFFFFF" w:sz="6" w:space="2"/>
        <w:left w:val="single" w:color="FFFFFF" w:sz="6" w:space="2"/>
        <w:bottom w:val="single" w:color="FFFFFF" w:sz="6" w:space="2"/>
        <w:right w:val="single" w:color="FFFFFF" w:sz="6" w:space="2"/>
      </w:pBdr>
      <w:shd w:val="pct10" w:color="auto" w:fill="auto"/>
      <w:autoSpaceDE/>
      <w:autoSpaceDN/>
      <w:spacing w:before="120" w:line="280" w:lineRule="atLeast"/>
    </w:pPr>
    <w:rPr>
      <w:rFonts w:ascii="Arial" w:hAnsi="Arial" w:cs="Times New Roman"/>
      <w:b/>
      <w:spacing w:val="-10"/>
      <w:position w:val="7"/>
      <w:sz w:val="20"/>
      <w:szCs w:val="20"/>
      <w:lang w:val="en-US" w:bidi="ar-SA"/>
    </w:rPr>
  </w:style>
  <w:style w:type="paragraph" w:customStyle="1" w:styleId="1062">
    <w:name w:val="样式 段落1 + 自动设置"/>
    <w:basedOn w:val="265"/>
    <w:qFormat/>
    <w:uiPriority w:val="99"/>
    <w:pPr>
      <w:ind w:firstLine="840" w:firstLineChars="400"/>
    </w:pPr>
    <w:rPr>
      <w:rFonts w:ascii="黑体" w:hAnsi="宋体"/>
      <w:bCs w:val="0"/>
      <w:spacing w:val="0"/>
      <w:szCs w:val="21"/>
    </w:rPr>
  </w:style>
  <w:style w:type="paragraph" w:customStyle="1" w:styleId="1063">
    <w:name w:val="02"/>
    <w:basedOn w:val="4"/>
    <w:qFormat/>
    <w:uiPriority w:val="99"/>
    <w:pPr>
      <w:keepNext/>
      <w:keepLines/>
      <w:autoSpaceDE/>
      <w:autoSpaceDN/>
      <w:spacing w:line="480" w:lineRule="auto"/>
      <w:ind w:left="0" w:firstLine="0"/>
      <w:jc w:val="both"/>
    </w:pPr>
    <w:rPr>
      <w:rFonts w:ascii="Times New Roman" w:hAnsi="Times New Roman" w:cs="Times New Roman"/>
      <w:b/>
      <w:bCs/>
      <w:color w:val="333333"/>
      <w:sz w:val="24"/>
      <w:szCs w:val="20"/>
      <w:lang w:val="en-US" w:bidi="ar-SA"/>
    </w:rPr>
  </w:style>
  <w:style w:type="paragraph" w:customStyle="1" w:styleId="1064">
    <w:name w:val="样式 样式 小四 段后: 6 磅 行距: 1.5 倍行距 + 首行缩进:  2 字符"/>
    <w:basedOn w:val="1"/>
    <w:qFormat/>
    <w:uiPriority w:val="99"/>
    <w:pPr>
      <w:keepNext/>
      <w:autoSpaceDE/>
      <w:autoSpaceDN/>
      <w:spacing w:line="360" w:lineRule="auto"/>
      <w:ind w:firstLine="200" w:firstLineChars="200"/>
    </w:pPr>
    <w:rPr>
      <w:kern w:val="2"/>
      <w:sz w:val="28"/>
      <w:szCs w:val="20"/>
      <w:lang w:val="en-US" w:bidi="ar-SA"/>
    </w:rPr>
  </w:style>
  <w:style w:type="paragraph" w:customStyle="1" w:styleId="1065">
    <w:name w:val="注×："/>
    <w:qFormat/>
    <w:uiPriority w:val="99"/>
    <w:pPr>
      <w:widowControl w:val="0"/>
      <w:tabs>
        <w:tab w:val="left" w:pos="630"/>
      </w:tabs>
      <w:autoSpaceDE w:val="0"/>
      <w:autoSpaceDN w:val="0"/>
      <w:jc w:val="both"/>
    </w:pPr>
    <w:rPr>
      <w:rFonts w:ascii="宋体" w:hAnsi="Times New Roman" w:eastAsia="宋体" w:cs="Times New Roman"/>
      <w:sz w:val="18"/>
      <w:lang w:val="en-US" w:eastAsia="zh-CN" w:bidi="ar-SA"/>
    </w:rPr>
  </w:style>
  <w:style w:type="paragraph" w:customStyle="1" w:styleId="1066">
    <w:name w:val="xl44"/>
    <w:basedOn w:val="1"/>
    <w:qFormat/>
    <w:uiPriority w:val="0"/>
    <w:pPr>
      <w:widowControl/>
      <w:pBdr>
        <w:top w:val="single" w:color="auto" w:sz="4" w:space="0"/>
        <w:left w:val="single" w:color="auto" w:sz="8" w:space="0"/>
        <w:bottom w:val="single" w:color="auto" w:sz="8" w:space="0"/>
        <w:right w:val="single" w:color="auto" w:sz="4" w:space="0"/>
      </w:pBdr>
      <w:autoSpaceDE/>
      <w:autoSpaceDN/>
      <w:spacing w:before="100" w:beforeAutospacing="1" w:after="100" w:afterAutospacing="1"/>
      <w:jc w:val="center"/>
      <w:textAlignment w:val="center"/>
    </w:pPr>
    <w:rPr>
      <w:rFonts w:ascii="Arial Unicode MS" w:hAnsi="Arial Unicode MS" w:eastAsia="Arial Unicode MS" w:cs="Arial Unicode MS"/>
      <w:b/>
      <w:bCs/>
      <w:sz w:val="24"/>
      <w:szCs w:val="20"/>
      <w:lang w:val="en-US" w:bidi="ar-SA"/>
    </w:rPr>
  </w:style>
  <w:style w:type="paragraph" w:customStyle="1" w:styleId="1067">
    <w:name w:val="表号文字"/>
    <w:basedOn w:val="1"/>
    <w:qFormat/>
    <w:uiPriority w:val="99"/>
    <w:pPr>
      <w:autoSpaceDE/>
      <w:autoSpaceDN/>
      <w:adjustRightInd w:val="0"/>
      <w:snapToGrid w:val="0"/>
      <w:spacing w:before="120" w:line="300" w:lineRule="auto"/>
    </w:pPr>
    <w:rPr>
      <w:rFonts w:ascii="Times New Roman" w:hAnsi="Times New Roman" w:eastAsia="黑体" w:cs="Times New Roman"/>
      <w:kern w:val="2"/>
      <w:sz w:val="24"/>
      <w:szCs w:val="24"/>
      <w:lang w:val="en-US" w:bidi="ar-SA"/>
    </w:rPr>
  </w:style>
  <w:style w:type="paragraph" w:customStyle="1" w:styleId="1068">
    <w:name w:val="0"/>
    <w:basedOn w:val="1"/>
    <w:qFormat/>
    <w:uiPriority w:val="0"/>
    <w:pPr>
      <w:widowControl/>
      <w:autoSpaceDE/>
      <w:autoSpaceDN/>
      <w:jc w:val="both"/>
    </w:pPr>
    <w:rPr>
      <w:rFonts w:ascii="Times New Roman" w:hAnsi="Times New Roman" w:cs="Times New Roman"/>
      <w:sz w:val="21"/>
      <w:szCs w:val="20"/>
      <w:lang w:val="en-US" w:bidi="ar-SA"/>
    </w:rPr>
  </w:style>
  <w:style w:type="paragraph" w:customStyle="1" w:styleId="1069">
    <w:name w:val="列表 2W"/>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070">
    <w:name w:val="列表 2T"/>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071">
    <w:name w:val="Char4 Char Char Char Char Char Char"/>
    <w:basedOn w:val="1"/>
    <w:qFormat/>
    <w:uiPriority w:val="0"/>
    <w:pPr>
      <w:autoSpaceDE/>
      <w:autoSpaceDN/>
      <w:spacing w:line="360" w:lineRule="auto"/>
      <w:ind w:firstLine="200" w:firstLineChars="200"/>
      <w:jc w:val="both"/>
    </w:pPr>
    <w:rPr>
      <w:kern w:val="2"/>
      <w:sz w:val="24"/>
      <w:szCs w:val="24"/>
      <w:lang w:val="en-US" w:bidi="ar-SA"/>
    </w:rPr>
  </w:style>
  <w:style w:type="paragraph" w:customStyle="1" w:styleId="1072">
    <w:name w:val="列表 5A"/>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073">
    <w:name w:val="xl29"/>
    <w:basedOn w:val="1"/>
    <w:qFormat/>
    <w:uiPriority w:val="0"/>
    <w:pPr>
      <w:widowControl/>
      <w:pBdr>
        <w:top w:val="single" w:color="auto" w:sz="4" w:space="0"/>
        <w:left w:val="single" w:color="auto" w:sz="4" w:space="0"/>
        <w:bottom w:val="single" w:color="auto" w:sz="8" w:space="0"/>
        <w:right w:val="single" w:color="auto" w:sz="8" w:space="0"/>
      </w:pBdr>
      <w:autoSpaceDE/>
      <w:autoSpaceDN/>
      <w:spacing w:before="100" w:beforeAutospacing="1" w:after="100" w:afterAutospacing="1"/>
      <w:jc w:val="center"/>
      <w:textAlignment w:val="center"/>
    </w:pPr>
    <w:rPr>
      <w:rFonts w:ascii="Arial Unicode MS" w:hAnsi="Arial Unicode MS" w:eastAsia="Arial Unicode MS" w:cs="Arial Unicode MS"/>
      <w:b/>
      <w:bCs/>
      <w:sz w:val="24"/>
      <w:szCs w:val="20"/>
      <w:lang w:val="en-US" w:bidi="ar-SA"/>
    </w:rPr>
  </w:style>
  <w:style w:type="paragraph" w:customStyle="1" w:styleId="1074">
    <w:name w:val="CM13"/>
    <w:basedOn w:val="101"/>
    <w:next w:val="101"/>
    <w:qFormat/>
    <w:uiPriority w:val="99"/>
    <w:pPr>
      <w:snapToGrid w:val="0"/>
      <w:spacing w:beforeLines="0" w:afterLines="0" w:line="468" w:lineRule="atLeast"/>
    </w:pPr>
    <w:rPr>
      <w:rFonts w:ascii="Times New Roman" w:cs="Times New Roman"/>
      <w:b w:val="0"/>
      <w:color w:val="auto"/>
      <w:kern w:val="0"/>
      <w:sz w:val="24"/>
      <w:szCs w:val="24"/>
    </w:rPr>
  </w:style>
  <w:style w:type="paragraph" w:customStyle="1" w:styleId="1075">
    <w:name w:val="表头样式"/>
    <w:basedOn w:val="1"/>
    <w:qFormat/>
    <w:uiPriority w:val="99"/>
    <w:pPr>
      <w:keepNext/>
      <w:widowControl/>
      <w:autoSpaceDE/>
      <w:autoSpaceDN/>
      <w:spacing w:beforeLines="50" w:afterLines="50" w:line="520" w:lineRule="exact"/>
      <w:ind w:firstLine="280" w:firstLineChars="100"/>
      <w:jc w:val="both"/>
    </w:pPr>
    <w:rPr>
      <w:bCs/>
      <w:kern w:val="2"/>
      <w:sz w:val="28"/>
      <w:szCs w:val="28"/>
      <w:lang w:val="en-US" w:bidi="ar-SA"/>
    </w:rPr>
  </w:style>
  <w:style w:type="paragraph" w:customStyle="1" w:styleId="1076">
    <w:name w:val="灯泡注释(打印无效)"/>
    <w:basedOn w:val="78"/>
    <w:qFormat/>
    <w:uiPriority w:val="99"/>
    <w:pPr>
      <w:widowControl w:val="0"/>
      <w:snapToGrid w:val="0"/>
      <w:spacing w:after="0"/>
      <w:ind w:firstLine="0" w:firstLineChars="0"/>
    </w:pPr>
    <w:rPr>
      <w:rFonts w:ascii="Times New Roman" w:hAnsi="Times New Roman"/>
      <w:i/>
      <w:vanish/>
      <w:color w:val="FF0000"/>
      <w:szCs w:val="21"/>
    </w:rPr>
  </w:style>
  <w:style w:type="paragraph" w:customStyle="1" w:styleId="1077">
    <w:name w:val="图文字"/>
    <w:basedOn w:val="1"/>
    <w:next w:val="1"/>
    <w:qFormat/>
    <w:uiPriority w:val="0"/>
    <w:pPr>
      <w:autoSpaceDE/>
      <w:autoSpaceDN/>
      <w:snapToGrid w:val="0"/>
      <w:jc w:val="both"/>
    </w:pPr>
    <w:rPr>
      <w:rFonts w:ascii="Arial" w:hAnsi="Arial" w:eastAsia="楷体_GB2312" w:cs="Times New Roman"/>
      <w:kern w:val="2"/>
      <w:sz w:val="24"/>
      <w:szCs w:val="20"/>
      <w:lang w:val="en-US" w:bidi="ar-SA"/>
    </w:rPr>
  </w:style>
  <w:style w:type="paragraph" w:customStyle="1" w:styleId="1078">
    <w:name w:val="表中样式"/>
    <w:basedOn w:val="1"/>
    <w:qFormat/>
    <w:uiPriority w:val="99"/>
    <w:pPr>
      <w:widowControl/>
      <w:autoSpaceDE/>
      <w:autoSpaceDN/>
      <w:spacing w:line="240" w:lineRule="exact"/>
      <w:ind w:left="-25" w:leftChars="-25" w:right="-31" w:rightChars="-31"/>
      <w:jc w:val="center"/>
    </w:pPr>
    <w:rPr>
      <w:bCs/>
      <w:sz w:val="21"/>
      <w:szCs w:val="32"/>
      <w:lang w:val="en-US" w:bidi="ar-SA"/>
    </w:rPr>
  </w:style>
  <w:style w:type="paragraph" w:customStyle="1" w:styleId="1079">
    <w:name w:val="表标题5.14"/>
    <w:basedOn w:val="1"/>
    <w:qFormat/>
    <w:uiPriority w:val="99"/>
    <w:pPr>
      <w:tabs>
        <w:tab w:val="left" w:pos="726"/>
      </w:tabs>
      <w:autoSpaceDE/>
      <w:autoSpaceDN/>
      <w:spacing w:beforeLines="100" w:line="0" w:lineRule="atLeast"/>
      <w:ind w:left="2" w:firstLine="4"/>
      <w:jc w:val="both"/>
    </w:pPr>
    <w:rPr>
      <w:rFonts w:ascii="Times New Roman" w:hAnsi="Times New Roman" w:eastAsia="黑体" w:cs="Times New Roman"/>
      <w:b/>
      <w:kern w:val="2"/>
      <w:sz w:val="24"/>
      <w:szCs w:val="24"/>
      <w:lang w:val="en-US" w:bidi="ar-SA"/>
    </w:rPr>
  </w:style>
  <w:style w:type="paragraph" w:customStyle="1" w:styleId="1080">
    <w:name w:val="Char Char Char1 Char Char Char1"/>
    <w:basedOn w:val="1"/>
    <w:qFormat/>
    <w:uiPriority w:val="99"/>
    <w:pPr>
      <w:autoSpaceDE/>
      <w:autoSpaceDN/>
      <w:jc w:val="both"/>
    </w:pPr>
    <w:rPr>
      <w:rFonts w:ascii="Times New Roman" w:hAnsi="Times New Roman" w:cs="Times New Roman"/>
      <w:kern w:val="2"/>
      <w:sz w:val="21"/>
      <w:szCs w:val="24"/>
      <w:lang w:val="en-US" w:bidi="ar-SA"/>
    </w:rPr>
  </w:style>
  <w:style w:type="paragraph" w:customStyle="1" w:styleId="1081">
    <w:name w:val="xl100"/>
    <w:basedOn w:val="1"/>
    <w:qFormat/>
    <w:uiPriority w:val="0"/>
    <w:pPr>
      <w:widowControl/>
      <w:pBdr>
        <w:top w:val="single" w:color="auto" w:sz="8" w:space="0"/>
        <w:bottom w:val="single" w:color="auto" w:sz="4" w:space="0"/>
        <w:right w:val="single" w:color="auto" w:sz="8" w:space="0"/>
      </w:pBdr>
      <w:autoSpaceDE/>
      <w:autoSpaceDN/>
      <w:spacing w:before="100" w:beforeAutospacing="1" w:after="100" w:afterAutospacing="1"/>
    </w:pPr>
    <w:rPr>
      <w:rFonts w:ascii="Arial Unicode MS" w:hAnsi="Arial Unicode MS" w:eastAsia="Arial Unicode MS" w:cs="Arial Unicode MS"/>
      <w:sz w:val="24"/>
      <w:szCs w:val="24"/>
      <w:lang w:val="en-US" w:bidi="ar-SA"/>
    </w:rPr>
  </w:style>
  <w:style w:type="paragraph" w:customStyle="1" w:styleId="1082">
    <w:name w:val="样式 标题 4款标题1.1.1.1 南陵标题 4标题 4 CharH4PIM 4h4First Subheadin..."/>
    <w:basedOn w:val="6"/>
    <w:qFormat/>
    <w:uiPriority w:val="0"/>
    <w:pPr>
      <w:keepNext w:val="0"/>
      <w:keepLines w:val="0"/>
      <w:spacing w:before="0" w:after="0" w:line="360" w:lineRule="auto"/>
    </w:pPr>
    <w:rPr>
      <w:rFonts w:ascii="黑体" w:hAnsi="Times New Roman" w:eastAsia="黑体"/>
      <w:b w:val="0"/>
      <w:color w:val="000000"/>
      <w:kern w:val="0"/>
      <w:sz w:val="24"/>
      <w:szCs w:val="20"/>
    </w:rPr>
  </w:style>
  <w:style w:type="paragraph" w:customStyle="1" w:styleId="1083">
    <w:name w:val="列表 4S"/>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084">
    <w:name w:val="条文2"/>
    <w:basedOn w:val="6"/>
    <w:qFormat/>
    <w:uiPriority w:val="99"/>
    <w:pPr>
      <w:keepNext w:val="0"/>
      <w:keepLines w:val="0"/>
      <w:tabs>
        <w:tab w:val="left" w:pos="360"/>
      </w:tabs>
      <w:adjustRightInd w:val="0"/>
      <w:spacing w:before="0" w:after="0" w:line="460" w:lineRule="exact"/>
      <w:ind w:left="1151" w:hanging="425"/>
      <w:jc w:val="left"/>
      <w:textAlignment w:val="baseline"/>
      <w:outlineLvl w:val="9"/>
    </w:pPr>
    <w:rPr>
      <w:rFonts w:ascii="宋体" w:hAnsi="Arial"/>
      <w:b w:val="0"/>
      <w:bCs w:val="0"/>
      <w:spacing w:val="3"/>
      <w:kern w:val="24"/>
      <w:sz w:val="24"/>
      <w:szCs w:val="20"/>
    </w:rPr>
  </w:style>
  <w:style w:type="paragraph" w:customStyle="1" w:styleId="1085">
    <w:name w:val="Char4 Char Char Char Char Char Char2"/>
    <w:basedOn w:val="1"/>
    <w:qFormat/>
    <w:uiPriority w:val="99"/>
    <w:pPr>
      <w:autoSpaceDE/>
      <w:autoSpaceDN/>
      <w:spacing w:line="360" w:lineRule="auto"/>
      <w:ind w:firstLine="200" w:firstLineChars="200"/>
      <w:jc w:val="both"/>
    </w:pPr>
    <w:rPr>
      <w:kern w:val="2"/>
      <w:sz w:val="24"/>
      <w:szCs w:val="24"/>
      <w:lang w:val="en-US" w:bidi="ar-SA"/>
    </w:rPr>
  </w:style>
  <w:style w:type="paragraph" w:customStyle="1" w:styleId="1086">
    <w:name w:val="表格11"/>
    <w:basedOn w:val="405"/>
    <w:qFormat/>
    <w:uiPriority w:val="99"/>
    <w:pPr>
      <w:widowControl w:val="0"/>
      <w:spacing w:line="240" w:lineRule="auto"/>
    </w:pPr>
    <w:rPr>
      <w:rFonts w:ascii="黑体" w:eastAsia="仿宋_GB2312"/>
      <w:szCs w:val="28"/>
    </w:rPr>
  </w:style>
  <w:style w:type="paragraph" w:customStyle="1" w:styleId="1087">
    <w:name w:val="xl87"/>
    <w:basedOn w:val="1"/>
    <w:qFormat/>
    <w:uiPriority w:val="0"/>
    <w:pPr>
      <w:widowControl/>
      <w:pBdr>
        <w:top w:val="single" w:color="auto" w:sz="8" w:space="0"/>
        <w:bottom w:val="single" w:color="auto" w:sz="4" w:space="0"/>
        <w:right w:val="single" w:color="auto" w:sz="4" w:space="0"/>
      </w:pBdr>
      <w:autoSpaceDE/>
      <w:autoSpaceDN/>
      <w:spacing w:before="100" w:beforeAutospacing="1" w:after="100" w:afterAutospacing="1"/>
    </w:pPr>
    <w:rPr>
      <w:rFonts w:ascii="Times New Roman" w:hAnsi="Times New Roman" w:eastAsia="Arial Unicode MS" w:cs="Times New Roman"/>
      <w:sz w:val="16"/>
      <w:szCs w:val="16"/>
      <w:lang w:val="en-US" w:bidi="ar-SA"/>
    </w:rPr>
  </w:style>
  <w:style w:type="paragraph" w:customStyle="1" w:styleId="1088">
    <w:name w:val="列表 2V"/>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089">
    <w:name w:val="列表 4A"/>
    <w:basedOn w:val="69"/>
    <w:qFormat/>
    <w:uiPriority w:val="99"/>
    <w:pPr>
      <w:tabs>
        <w:tab w:val="left" w:pos="360"/>
      </w:tabs>
      <w:topLinePunct w:val="0"/>
      <w:spacing w:beforeLines="50" w:afterLines="30" w:line="288" w:lineRule="auto"/>
      <w:ind w:left="360" w:leftChars="0" w:hanging="360"/>
      <w:jc w:val="both"/>
    </w:pPr>
    <w:rPr>
      <w:rFonts w:ascii="Arial" w:hAnsi="Arial" w:eastAsia="宋体"/>
      <w:color w:val="CCFFFF"/>
      <w:sz w:val="24"/>
    </w:rPr>
  </w:style>
  <w:style w:type="paragraph" w:customStyle="1" w:styleId="1090">
    <w:name w:val="正文王"/>
    <w:basedOn w:val="1"/>
    <w:qFormat/>
    <w:uiPriority w:val="99"/>
    <w:pPr>
      <w:widowControl/>
      <w:tabs>
        <w:tab w:val="left" w:pos="7080"/>
      </w:tabs>
      <w:autoSpaceDE/>
      <w:autoSpaceDN/>
      <w:adjustRightInd w:val="0"/>
      <w:snapToGrid w:val="0"/>
      <w:spacing w:line="360" w:lineRule="auto"/>
      <w:ind w:firstLine="480" w:firstLineChars="200"/>
      <w:jc w:val="both"/>
    </w:pPr>
    <w:rPr>
      <w:rFonts w:ascii="Times New Roman" w:hAnsi="Times New Roman" w:eastAsia="仿宋_GB2312" w:cs="Times New Roman"/>
      <w:snapToGrid w:val="0"/>
      <w:sz w:val="24"/>
      <w:szCs w:val="28"/>
      <w:lang w:val="en-US" w:bidi="ar-SA"/>
    </w:rPr>
  </w:style>
  <w:style w:type="paragraph" w:customStyle="1" w:styleId="1091">
    <w:name w:val="表标题17.21"/>
    <w:basedOn w:val="1"/>
    <w:qFormat/>
    <w:uiPriority w:val="99"/>
    <w:pPr>
      <w:tabs>
        <w:tab w:val="left" w:pos="284"/>
        <w:tab w:val="center" w:pos="4060"/>
        <w:tab w:val="right" w:pos="8261"/>
      </w:tabs>
      <w:suppressAutoHyphens/>
      <w:autoSpaceDE/>
      <w:autoSpaceDN/>
      <w:adjustRightInd w:val="0"/>
      <w:spacing w:before="240" w:line="0" w:lineRule="atLeast"/>
      <w:jc w:val="center"/>
    </w:pPr>
    <w:rPr>
      <w:rFonts w:ascii="黑体" w:hAnsi="Times New Roman" w:eastAsia="黑体" w:cs="Times New Roman"/>
      <w:b/>
      <w:spacing w:val="6"/>
      <w:sz w:val="24"/>
      <w:szCs w:val="24"/>
      <w:lang w:val="en-US" w:bidi="ar-SA"/>
    </w:rPr>
  </w:style>
  <w:style w:type="paragraph" w:customStyle="1" w:styleId="1092">
    <w:name w:val="style18"/>
    <w:basedOn w:val="1"/>
    <w:qFormat/>
    <w:uiPriority w:val="99"/>
    <w:pPr>
      <w:widowControl/>
      <w:autoSpaceDE/>
      <w:autoSpaceDN/>
      <w:spacing w:before="100" w:beforeAutospacing="1" w:after="100" w:afterAutospacing="1"/>
    </w:pPr>
    <w:rPr>
      <w:rFonts w:cs="Times New Roman"/>
      <w:color w:val="000000"/>
      <w:sz w:val="21"/>
      <w:szCs w:val="21"/>
      <w:lang w:val="en-US" w:bidi="ar-SA"/>
    </w:rPr>
  </w:style>
  <w:style w:type="paragraph" w:customStyle="1" w:styleId="1093">
    <w:name w:val="样式8"/>
    <w:basedOn w:val="5"/>
    <w:qFormat/>
    <w:uiPriority w:val="0"/>
    <w:pPr>
      <w:widowControl/>
      <w:autoSpaceDE/>
      <w:autoSpaceDN/>
      <w:adjustRightInd w:val="0"/>
      <w:snapToGrid w:val="0"/>
      <w:spacing w:beforeLines="20" w:afterLines="50" w:line="360" w:lineRule="auto"/>
      <w:ind w:left="0" w:firstLine="0"/>
      <w:textAlignment w:val="baseline"/>
    </w:pPr>
    <w:rPr>
      <w:rFonts w:hAnsi="Courier New" w:cs="Times New Roman"/>
      <w:bCs w:val="0"/>
      <w:szCs w:val="20"/>
      <w:lang w:val="en-US" w:bidi="ar-SA"/>
    </w:rPr>
  </w:style>
  <w:style w:type="paragraph" w:customStyle="1" w:styleId="1094">
    <w:name w:val="标标题1.9"/>
    <w:basedOn w:val="1"/>
    <w:qFormat/>
    <w:uiPriority w:val="99"/>
    <w:pPr>
      <w:tabs>
        <w:tab w:val="left" w:pos="726"/>
        <w:tab w:val="center" w:pos="4060"/>
        <w:tab w:val="right" w:pos="8261"/>
      </w:tabs>
      <w:suppressAutoHyphens/>
      <w:autoSpaceDE/>
      <w:autoSpaceDN/>
      <w:adjustRightInd w:val="0"/>
      <w:spacing w:before="240" w:line="0" w:lineRule="atLeast"/>
      <w:ind w:left="2" w:firstLine="4"/>
      <w:jc w:val="center"/>
    </w:pPr>
    <w:rPr>
      <w:rFonts w:ascii="黑体" w:hAnsi="Times New Roman" w:eastAsia="黑体" w:cs="Times New Roman"/>
      <w:b/>
      <w:spacing w:val="6"/>
      <w:sz w:val="26"/>
      <w:szCs w:val="26"/>
      <w:lang w:val="en-US" w:bidi="ar-SA"/>
    </w:rPr>
  </w:style>
  <w:style w:type="paragraph" w:customStyle="1" w:styleId="1095">
    <w:name w:val="CM66"/>
    <w:basedOn w:val="101"/>
    <w:next w:val="101"/>
    <w:qFormat/>
    <w:uiPriority w:val="99"/>
    <w:pPr>
      <w:snapToGrid w:val="0"/>
      <w:spacing w:beforeLines="0" w:after="215" w:afterLines="0" w:line="360" w:lineRule="auto"/>
    </w:pPr>
    <w:rPr>
      <w:rFonts w:ascii="Times New Roman" w:cs="Times New Roman"/>
      <w:b w:val="0"/>
      <w:color w:val="auto"/>
      <w:kern w:val="0"/>
      <w:sz w:val="24"/>
      <w:szCs w:val="24"/>
    </w:rPr>
  </w:style>
  <w:style w:type="paragraph" w:customStyle="1" w:styleId="1096">
    <w:name w:val="表右"/>
    <w:basedOn w:val="1"/>
    <w:qFormat/>
    <w:uiPriority w:val="99"/>
    <w:pPr>
      <w:keepNext/>
      <w:tabs>
        <w:tab w:val="left" w:pos="2190"/>
      </w:tabs>
      <w:autoSpaceDE/>
      <w:autoSpaceDN/>
      <w:adjustRightInd w:val="0"/>
      <w:snapToGrid w:val="0"/>
      <w:spacing w:line="240" w:lineRule="atLeast"/>
      <w:ind w:right="20" w:rightChars="20"/>
      <w:jc w:val="right"/>
    </w:pPr>
    <w:rPr>
      <w:rFonts w:cs="Times New Roman"/>
      <w:kern w:val="2"/>
      <w:sz w:val="24"/>
      <w:szCs w:val="28"/>
      <w:lang w:val="en-US" w:bidi="ar-SA"/>
    </w:rPr>
  </w:style>
  <w:style w:type="paragraph" w:customStyle="1" w:styleId="1097">
    <w:name w:val="副题目"/>
    <w:basedOn w:val="57"/>
    <w:qFormat/>
    <w:uiPriority w:val="99"/>
    <w:pPr>
      <w:keepNext/>
      <w:keepLines/>
      <w:spacing w:beforeLines="100" w:after="100" w:afterAutospacing="1" w:line="600" w:lineRule="atLeast"/>
      <w:outlineLvl w:val="9"/>
    </w:pPr>
    <w:rPr>
      <w:rFonts w:ascii="Arial" w:hAnsi="Arial" w:eastAsia="经典叠圆体简" w:cs="Times New Roman"/>
      <w:b w:val="0"/>
      <w:bCs w:val="0"/>
      <w:iCs/>
      <w:color w:val="CC99FF"/>
      <w:spacing w:val="36"/>
      <w:sz w:val="36"/>
      <w:szCs w:val="20"/>
      <w:lang w:bidi="he-IL"/>
    </w:rPr>
  </w:style>
  <w:style w:type="paragraph" w:customStyle="1" w:styleId="1098">
    <w:name w:val="样式 标题3"/>
    <w:basedOn w:val="5"/>
    <w:qFormat/>
    <w:uiPriority w:val="0"/>
    <w:pPr>
      <w:keepNext/>
      <w:keepLines/>
      <w:autoSpaceDE/>
      <w:autoSpaceDN/>
      <w:spacing w:beforeLines="50" w:afterLines="50" w:line="360" w:lineRule="auto"/>
      <w:ind w:left="0" w:firstLine="200"/>
    </w:pPr>
    <w:rPr>
      <w:sz w:val="28"/>
      <w:lang w:val="en-US" w:bidi="ar-SA"/>
    </w:rPr>
  </w:style>
  <w:style w:type="paragraph" w:customStyle="1" w:styleId="1099">
    <w:name w:val="列表 H"/>
    <w:basedOn w:val="59"/>
    <w:qFormat/>
    <w:uiPriority w:val="99"/>
    <w:pPr>
      <w:tabs>
        <w:tab w:val="left" w:pos="425"/>
        <w:tab w:val="clear" w:pos="3480"/>
      </w:tabs>
      <w:autoSpaceDE/>
      <w:autoSpaceDN/>
      <w:spacing w:beforeLines="100" w:afterLines="50" w:line="288" w:lineRule="auto"/>
      <w:ind w:left="425" w:hanging="425"/>
      <w:jc w:val="both"/>
    </w:pPr>
    <w:rPr>
      <w:rFonts w:ascii="Arial" w:hAnsi="Arial" w:eastAsia="宋体" w:cs="Times New Roman"/>
      <w:b/>
      <w:bCs/>
      <w:color w:val="FF99CC"/>
      <w:sz w:val="24"/>
      <w:szCs w:val="20"/>
      <w:lang w:val="en-US" w:bidi="ar-SA"/>
    </w:rPr>
  </w:style>
  <w:style w:type="paragraph" w:customStyle="1" w:styleId="1100">
    <w:name w:val="CM61"/>
    <w:basedOn w:val="101"/>
    <w:next w:val="101"/>
    <w:qFormat/>
    <w:uiPriority w:val="99"/>
    <w:pPr>
      <w:snapToGrid w:val="0"/>
      <w:spacing w:beforeLines="0" w:after="78" w:afterLines="0" w:line="360" w:lineRule="auto"/>
    </w:pPr>
    <w:rPr>
      <w:rFonts w:ascii="Times New Roman" w:cs="Times New Roman"/>
      <w:b w:val="0"/>
      <w:color w:val="auto"/>
      <w:kern w:val="0"/>
      <w:sz w:val="24"/>
      <w:szCs w:val="24"/>
    </w:rPr>
  </w:style>
  <w:style w:type="paragraph" w:customStyle="1" w:styleId="1101">
    <w:name w:val="xl30"/>
    <w:basedOn w:val="1"/>
    <w:qFormat/>
    <w:uiPriority w:val="0"/>
    <w:pPr>
      <w:widowControl/>
      <w:pBdr>
        <w:top w:val="single" w:color="auto" w:sz="4" w:space="0"/>
        <w:left w:val="single" w:color="auto" w:sz="8" w:space="0"/>
        <w:bottom w:val="single" w:color="auto" w:sz="8" w:space="0"/>
        <w:right w:val="single" w:color="auto" w:sz="4" w:space="0"/>
      </w:pBdr>
      <w:autoSpaceDE/>
      <w:autoSpaceDN/>
      <w:spacing w:before="100" w:beforeAutospacing="1" w:after="100" w:afterAutospacing="1"/>
      <w:jc w:val="center"/>
      <w:textAlignment w:val="center"/>
    </w:pPr>
    <w:rPr>
      <w:rFonts w:ascii="Arial Unicode MS" w:hAnsi="Arial Unicode MS" w:eastAsia="Arial Unicode MS" w:cs="Arial Unicode MS"/>
      <w:b/>
      <w:bCs/>
      <w:sz w:val="24"/>
      <w:szCs w:val="20"/>
      <w:lang w:val="en-US" w:bidi="ar-SA"/>
    </w:rPr>
  </w:style>
  <w:style w:type="paragraph" w:customStyle="1" w:styleId="1102">
    <w:name w:val="普通(Web)1"/>
    <w:basedOn w:val="1"/>
    <w:qFormat/>
    <w:uiPriority w:val="99"/>
    <w:pPr>
      <w:widowControl/>
      <w:autoSpaceDE/>
      <w:autoSpaceDN/>
    </w:pPr>
    <w:rPr>
      <w:rFonts w:eastAsia="仿宋_GB2312"/>
      <w:color w:val="000000"/>
      <w:sz w:val="24"/>
      <w:szCs w:val="24"/>
      <w:lang w:val="en-US" w:bidi="ar-SA"/>
    </w:rPr>
  </w:style>
  <w:style w:type="paragraph" w:customStyle="1" w:styleId="1103">
    <w:name w:val="xl94"/>
    <w:basedOn w:val="1"/>
    <w:qFormat/>
    <w:uiPriority w:val="0"/>
    <w:pPr>
      <w:widowControl/>
      <w:autoSpaceDE/>
      <w:autoSpaceDN/>
      <w:spacing w:before="100" w:beforeAutospacing="1" w:after="100" w:afterAutospacing="1"/>
      <w:jc w:val="center"/>
    </w:pPr>
    <w:rPr>
      <w:rFonts w:ascii="Times New Roman" w:hAnsi="Times New Roman" w:eastAsia="Arial Unicode MS" w:cs="Times New Roman"/>
      <w:sz w:val="20"/>
      <w:szCs w:val="20"/>
      <w:lang w:val="en-US" w:bidi="ar-SA"/>
    </w:rPr>
  </w:style>
  <w:style w:type="paragraph" w:customStyle="1" w:styleId="1104">
    <w:name w:val="标题2.5"/>
    <w:basedOn w:val="1105"/>
    <w:next w:val="360"/>
    <w:qFormat/>
    <w:uiPriority w:val="99"/>
    <w:pPr>
      <w:topLinePunct/>
      <w:spacing w:beforeLines="0" w:line="360" w:lineRule="auto"/>
    </w:pPr>
    <w:rPr>
      <w:rFonts w:ascii="仿宋_GB2312"/>
      <w:b w:val="0"/>
    </w:rPr>
  </w:style>
  <w:style w:type="paragraph" w:customStyle="1" w:styleId="1105">
    <w:name w:val="标题2"/>
    <w:basedOn w:val="1"/>
    <w:next w:val="1"/>
    <w:semiHidden/>
    <w:qFormat/>
    <w:uiPriority w:val="99"/>
    <w:pPr>
      <w:autoSpaceDE/>
      <w:autoSpaceDN/>
      <w:spacing w:beforeLines="100" w:afterLines="100" w:line="640" w:lineRule="exact"/>
      <w:outlineLvl w:val="1"/>
    </w:pPr>
    <w:rPr>
      <w:rFonts w:ascii="黑体" w:hAnsi="Times New Roman" w:eastAsia="黑体" w:cs="Times New Roman"/>
      <w:b/>
      <w:color w:val="000000"/>
      <w:kern w:val="2"/>
      <w:sz w:val="28"/>
      <w:szCs w:val="28"/>
      <w:lang w:val="en-US" w:bidi="ar-SA"/>
    </w:rPr>
  </w:style>
  <w:style w:type="paragraph" w:customStyle="1" w:styleId="1106">
    <w:name w:val="表格中"/>
    <w:basedOn w:val="1"/>
    <w:qFormat/>
    <w:uiPriority w:val="99"/>
    <w:pPr>
      <w:autoSpaceDE/>
      <w:autoSpaceDN/>
      <w:snapToGrid w:val="0"/>
      <w:spacing w:line="360" w:lineRule="auto"/>
      <w:jc w:val="both"/>
    </w:pPr>
    <w:rPr>
      <w:rFonts w:cs="Times New Roman"/>
      <w:spacing w:val="-20"/>
      <w:kern w:val="2"/>
      <w:sz w:val="28"/>
      <w:szCs w:val="28"/>
      <w:lang w:val="en-US" w:bidi="ar-SA"/>
    </w:rPr>
  </w:style>
  <w:style w:type="paragraph" w:customStyle="1" w:styleId="1107">
    <w:name w:val="表格编号"/>
    <w:basedOn w:val="1"/>
    <w:qFormat/>
    <w:uiPriority w:val="99"/>
    <w:pPr>
      <w:autoSpaceDE/>
      <w:autoSpaceDN/>
      <w:spacing w:line="400" w:lineRule="exact"/>
      <w:jc w:val="both"/>
    </w:pPr>
    <w:rPr>
      <w:rFonts w:ascii="Times New Roman" w:hAnsi="Times New Roman" w:cs="Times New Roman"/>
      <w:sz w:val="28"/>
      <w:szCs w:val="28"/>
      <w:lang w:val="en-US" w:bidi="ar-SA"/>
    </w:rPr>
  </w:style>
  <w:style w:type="paragraph" w:customStyle="1" w:styleId="1108">
    <w:name w:val="表字"/>
    <w:basedOn w:val="1"/>
    <w:qFormat/>
    <w:uiPriority w:val="0"/>
    <w:pPr>
      <w:autoSpaceDE/>
      <w:autoSpaceDN/>
      <w:jc w:val="center"/>
    </w:pPr>
    <w:rPr>
      <w:rFonts w:hAnsi="Times New Roman" w:cs="Times New Roman"/>
      <w:kern w:val="2"/>
      <w:sz w:val="21"/>
      <w:szCs w:val="20"/>
      <w:lang w:val="en-US" w:bidi="ar-SA"/>
    </w:rPr>
  </w:style>
  <w:style w:type="paragraph" w:customStyle="1" w:styleId="1109">
    <w:name w:val="xl33"/>
    <w:basedOn w:val="1"/>
    <w:qFormat/>
    <w:uiPriority w:val="0"/>
    <w:pPr>
      <w:widowControl/>
      <w:pBdr>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hint="eastAsia" w:ascii="仿宋_GB2312" w:eastAsia="仿宋_GB2312" w:cs="Times New Roman"/>
      <w:sz w:val="24"/>
      <w:szCs w:val="20"/>
      <w:lang w:val="en-US" w:bidi="ar-SA"/>
    </w:rPr>
  </w:style>
  <w:style w:type="paragraph" w:customStyle="1" w:styleId="1110">
    <w:name w:val="xl69"/>
    <w:basedOn w:val="1"/>
    <w:qFormat/>
    <w:uiPriority w:val="0"/>
    <w:pPr>
      <w:widowControl/>
      <w:pBdr>
        <w:bottom w:val="single" w:color="auto" w:sz="4" w:space="0"/>
      </w:pBdr>
      <w:autoSpaceDE/>
      <w:autoSpaceDN/>
      <w:spacing w:before="100" w:beforeAutospacing="1" w:after="100" w:afterAutospacing="1"/>
      <w:jc w:val="right"/>
    </w:pPr>
    <w:rPr>
      <w:rFonts w:eastAsia="仿宋_GB2312" w:cs="Times New Roman"/>
      <w:b/>
      <w:bCs/>
      <w:position w:val="-6"/>
      <w:sz w:val="24"/>
      <w:szCs w:val="24"/>
      <w:lang w:val="en-US" w:bidi="ar-SA"/>
    </w:rPr>
  </w:style>
  <w:style w:type="paragraph" w:customStyle="1" w:styleId="1111">
    <w:name w:val="样式 标题 4 + 左侧:  0 厘米 悬挂缩进: 8.64 字符 段前: 6 磅 段后: 6 磅 行距: 单倍行距"/>
    <w:basedOn w:val="6"/>
    <w:qFormat/>
    <w:uiPriority w:val="99"/>
    <w:pPr>
      <w:tabs>
        <w:tab w:val="left" w:pos="360"/>
      </w:tabs>
      <w:spacing w:before="120" w:after="120" w:line="312" w:lineRule="auto"/>
    </w:pPr>
    <w:rPr>
      <w:rFonts w:ascii="Arial" w:hAnsi="Arial" w:eastAsia="黑体" w:cs="宋体"/>
      <w:sz w:val="24"/>
      <w:szCs w:val="20"/>
    </w:rPr>
  </w:style>
  <w:style w:type="paragraph" w:customStyle="1" w:styleId="1112">
    <w:name w:val="样式 标题 4款标题1.1.1.1 南陵标题 4标题 4 CharH4PIM 4h4First Subheadin...2"/>
    <w:basedOn w:val="6"/>
    <w:qFormat/>
    <w:uiPriority w:val="0"/>
    <w:pPr>
      <w:keepNext w:val="0"/>
      <w:keepLines w:val="0"/>
      <w:spacing w:before="0" w:after="0" w:line="360" w:lineRule="auto"/>
    </w:pPr>
    <w:rPr>
      <w:rFonts w:ascii="黑体" w:hAnsi="Times New Roman" w:eastAsia="黑体" w:cs="宋体"/>
      <w:b w:val="0"/>
      <w:bCs w:val="0"/>
      <w:color w:val="000000"/>
      <w:sz w:val="24"/>
      <w:szCs w:val="24"/>
    </w:rPr>
  </w:style>
  <w:style w:type="paragraph" w:customStyle="1" w:styleId="1113">
    <w:name w:val="xl105"/>
    <w:basedOn w:val="1"/>
    <w:qFormat/>
    <w:uiPriority w:val="0"/>
    <w:pPr>
      <w:widowControl/>
      <w:pBdr>
        <w:top w:val="single" w:color="auto" w:sz="4" w:space="0"/>
        <w:right w:val="single" w:color="auto" w:sz="4" w:space="0"/>
      </w:pBdr>
      <w:autoSpaceDE/>
      <w:autoSpaceDN/>
      <w:spacing w:before="100" w:beforeAutospacing="1" w:after="100" w:afterAutospacing="1"/>
      <w:jc w:val="center"/>
      <w:textAlignment w:val="center"/>
    </w:pPr>
    <w:rPr>
      <w:rFonts w:ascii="Arial Unicode MS" w:hAnsi="Arial Unicode MS" w:eastAsia="Arial Unicode MS" w:cs="Arial Unicode MS"/>
      <w:sz w:val="16"/>
      <w:szCs w:val="16"/>
      <w:lang w:val="en-US" w:bidi="ar-SA"/>
    </w:rPr>
  </w:style>
  <w:style w:type="paragraph" w:customStyle="1" w:styleId="1114">
    <w:name w:val="表后空行"/>
    <w:basedOn w:val="1"/>
    <w:next w:val="1"/>
    <w:qFormat/>
    <w:uiPriority w:val="99"/>
    <w:pPr>
      <w:autoSpaceDE/>
      <w:autoSpaceDN/>
      <w:jc w:val="both"/>
    </w:pPr>
    <w:rPr>
      <w:rFonts w:ascii="Times New Roman" w:hAnsi="Times New Roman" w:cs="Times New Roman"/>
      <w:kern w:val="18"/>
      <w:sz w:val="18"/>
      <w:szCs w:val="24"/>
      <w:lang w:val="en-US" w:bidi="ar-SA"/>
    </w:rPr>
  </w:style>
  <w:style w:type="paragraph" w:customStyle="1" w:styleId="1115">
    <w:name w:val="项目点符号"/>
    <w:basedOn w:val="1"/>
    <w:qFormat/>
    <w:uiPriority w:val="99"/>
    <w:pPr>
      <w:autoSpaceDE/>
      <w:autoSpaceDN/>
      <w:snapToGrid w:val="0"/>
      <w:jc w:val="both"/>
    </w:pPr>
    <w:rPr>
      <w:rFonts w:ascii="Times New Roman" w:hAnsi="Times New Roman" w:cs="Times New Roman"/>
      <w:bCs/>
      <w:sz w:val="21"/>
      <w:szCs w:val="21"/>
      <w:lang w:val="en-US" w:bidi="ar-SA"/>
    </w:rPr>
  </w:style>
  <w:style w:type="paragraph" w:customStyle="1" w:styleId="1116">
    <w:name w:val="CM23"/>
    <w:basedOn w:val="101"/>
    <w:next w:val="101"/>
    <w:qFormat/>
    <w:uiPriority w:val="99"/>
    <w:pPr>
      <w:snapToGrid w:val="0"/>
      <w:spacing w:beforeLines="0" w:afterLines="0" w:line="360" w:lineRule="auto"/>
    </w:pPr>
    <w:rPr>
      <w:rFonts w:ascii="Times New Roman" w:cs="Times New Roman"/>
      <w:b w:val="0"/>
      <w:color w:val="auto"/>
      <w:kern w:val="0"/>
      <w:sz w:val="24"/>
      <w:szCs w:val="24"/>
    </w:rPr>
  </w:style>
  <w:style w:type="paragraph" w:customStyle="1" w:styleId="1117">
    <w:name w:val="样式 样式 注意 + 首行缩进:  2 字符 + 首行缩进:  2 字符"/>
    <w:basedOn w:val="78"/>
    <w:next w:val="78"/>
    <w:qFormat/>
    <w:uiPriority w:val="99"/>
    <w:pPr>
      <w:widowControl w:val="0"/>
      <w:tabs>
        <w:tab w:val="left" w:pos="628"/>
        <w:tab w:val="left" w:pos="1727"/>
        <w:tab w:val="left" w:pos="1884"/>
        <w:tab w:val="left" w:pos="2514"/>
        <w:tab w:val="left" w:pos="4900"/>
      </w:tabs>
      <w:autoSpaceDE w:val="0"/>
      <w:autoSpaceDN w:val="0"/>
      <w:adjustRightInd w:val="0"/>
      <w:snapToGrid w:val="0"/>
      <w:spacing w:after="0" w:line="360" w:lineRule="auto"/>
      <w:ind w:left="-2" w:leftChars="-1" w:right="-99" w:rightChars="-47" w:firstLine="480" w:firstLineChars="0"/>
    </w:pPr>
    <w:rPr>
      <w:color w:val="000000"/>
      <w:szCs w:val="21"/>
      <w:lang w:val="zh-CN"/>
    </w:rPr>
  </w:style>
  <w:style w:type="paragraph" w:customStyle="1" w:styleId="1118">
    <w:name w:val="表11"/>
    <w:basedOn w:val="11"/>
    <w:qFormat/>
    <w:uiPriority w:val="99"/>
    <w:pPr>
      <w:keepNext w:val="0"/>
      <w:keepLines w:val="0"/>
      <w:topLinePunct w:val="0"/>
      <w:adjustRightInd w:val="0"/>
      <w:snapToGrid w:val="0"/>
      <w:spacing w:before="0" w:after="0" w:line="360" w:lineRule="exact"/>
      <w:ind w:firstLine="0" w:firstLineChars="0"/>
      <w:outlineLvl w:val="9"/>
    </w:pPr>
    <w:rPr>
      <w:rFonts w:ascii="Times New Roman" w:hAnsi="Times New Roman" w:eastAsia="宋体"/>
      <w:sz w:val="21"/>
    </w:rPr>
  </w:style>
  <w:style w:type="paragraph" w:customStyle="1" w:styleId="1119">
    <w:name w:val="小表中密"/>
    <w:basedOn w:val="1"/>
    <w:qFormat/>
    <w:uiPriority w:val="99"/>
    <w:pPr>
      <w:keepNext/>
      <w:autoSpaceDE/>
      <w:autoSpaceDN/>
      <w:adjustRightInd w:val="0"/>
      <w:snapToGrid w:val="0"/>
      <w:spacing w:line="240" w:lineRule="atLeast"/>
      <w:jc w:val="center"/>
    </w:pPr>
    <w:rPr>
      <w:rFonts w:cs="Times New Roman"/>
      <w:kern w:val="2"/>
      <w:sz w:val="18"/>
      <w:szCs w:val="18"/>
      <w:lang w:val="en-US" w:bidi="ar-SA"/>
    </w:rPr>
  </w:style>
  <w:style w:type="paragraph" w:customStyle="1" w:styleId="1120">
    <w:name w:val="四级标题"/>
    <w:basedOn w:val="6"/>
    <w:next w:val="896"/>
    <w:qFormat/>
    <w:uiPriority w:val="0"/>
    <w:pPr>
      <w:keepNext w:val="0"/>
      <w:keepLines w:val="0"/>
      <w:snapToGrid w:val="0"/>
      <w:spacing w:before="0" w:after="0" w:line="480" w:lineRule="exact"/>
    </w:pPr>
    <w:rPr>
      <w:rFonts w:ascii="Times New Roman" w:hAnsi="Times New Roman" w:eastAsia="黑体"/>
      <w:b w:val="0"/>
      <w:color w:val="0070C0"/>
      <w:sz w:val="24"/>
    </w:rPr>
  </w:style>
  <w:style w:type="paragraph" w:customStyle="1" w:styleId="1121">
    <w:name w:val="样式 表标12.2 + 段前: 1 行"/>
    <w:basedOn w:val="1"/>
    <w:qFormat/>
    <w:uiPriority w:val="99"/>
    <w:pPr>
      <w:tabs>
        <w:tab w:val="left" w:pos="280"/>
        <w:tab w:val="left" w:pos="726"/>
      </w:tabs>
      <w:autoSpaceDE/>
      <w:autoSpaceDN/>
      <w:adjustRightInd w:val="0"/>
      <w:snapToGrid w:val="0"/>
      <w:spacing w:beforeLines="100" w:line="0" w:lineRule="atLeast"/>
      <w:ind w:left="2" w:firstLine="4"/>
      <w:jc w:val="center"/>
    </w:pPr>
    <w:rPr>
      <w:rFonts w:ascii="黑体" w:eastAsia="黑体"/>
      <w:b/>
      <w:bCs/>
      <w:kern w:val="2"/>
      <w:sz w:val="24"/>
      <w:szCs w:val="20"/>
      <w:lang w:val="en-US" w:bidi="ar-SA"/>
    </w:rPr>
  </w:style>
  <w:style w:type="paragraph" w:customStyle="1" w:styleId="1122">
    <w:name w:val="样式 燕山正文 + 首行缩进:  3.5 字符1"/>
    <w:basedOn w:val="801"/>
    <w:qFormat/>
    <w:uiPriority w:val="99"/>
    <w:pPr>
      <w:shd w:val="clear" w:color="auto" w:fill="auto"/>
      <w:ind w:firstLine="200"/>
      <w:jc w:val="both"/>
    </w:pPr>
    <w:rPr>
      <w:color w:val="000000"/>
      <w:sz w:val="28"/>
      <w:szCs w:val="20"/>
    </w:rPr>
  </w:style>
  <w:style w:type="paragraph" w:customStyle="1" w:styleId="1123">
    <w:name w:val="样式 标题 1 + 宋体 二号 加粗 两端对齐 段前: 17 磅 段后: 16.5 磅 行距: 多倍行距 2.41 ..."/>
    <w:basedOn w:val="3"/>
    <w:qFormat/>
    <w:uiPriority w:val="99"/>
    <w:pPr>
      <w:keepNext/>
      <w:keepLines/>
      <w:autoSpaceDE/>
      <w:autoSpaceDN/>
      <w:spacing w:before="0" w:beforeLines="100" w:afterLines="100" w:line="578" w:lineRule="auto"/>
      <w:ind w:left="0" w:firstLine="0"/>
      <w:jc w:val="both"/>
    </w:pPr>
    <w:rPr>
      <w:rFonts w:ascii="Arial" w:hAnsi="Arial" w:eastAsia="宋体" w:cs="Times New Roman"/>
      <w:bCs/>
      <w:kern w:val="44"/>
      <w:lang w:val="en-US" w:bidi="ar-SA"/>
    </w:rPr>
  </w:style>
  <w:style w:type="paragraph" w:customStyle="1" w:styleId="1124">
    <w:name w:val="Company Name"/>
    <w:basedOn w:val="1"/>
    <w:next w:val="1"/>
    <w:qFormat/>
    <w:uiPriority w:val="99"/>
    <w:pPr>
      <w:widowControl/>
      <w:tabs>
        <w:tab w:val="left" w:pos="2160"/>
        <w:tab w:val="right" w:pos="6480"/>
      </w:tabs>
      <w:autoSpaceDE/>
      <w:autoSpaceDN/>
      <w:spacing w:before="220" w:after="40" w:line="220" w:lineRule="atLeast"/>
      <w:ind w:right="-360"/>
    </w:pPr>
    <w:rPr>
      <w:rFonts w:ascii="Times New Roman" w:hAnsi="Times New Roman" w:cs="Times New Roman"/>
      <w:sz w:val="20"/>
      <w:szCs w:val="20"/>
      <w:lang w:val="en-US" w:bidi="ar-SA"/>
    </w:rPr>
  </w:style>
  <w:style w:type="paragraph" w:customStyle="1" w:styleId="1125">
    <w:name w:val="表格字2"/>
    <w:basedOn w:val="1"/>
    <w:qFormat/>
    <w:uiPriority w:val="0"/>
    <w:pPr>
      <w:autoSpaceDE/>
      <w:autoSpaceDN/>
      <w:jc w:val="both"/>
    </w:pPr>
    <w:rPr>
      <w:rFonts w:cs="Times New Roman"/>
      <w:color w:val="000000"/>
      <w:kern w:val="16"/>
      <w:sz w:val="21"/>
      <w:szCs w:val="21"/>
      <w:lang w:val="en-US" w:bidi="ar-SA"/>
    </w:rPr>
  </w:style>
  <w:style w:type="paragraph" w:customStyle="1" w:styleId="1126">
    <w:name w:val="表内5中4"/>
    <w:basedOn w:val="1035"/>
    <w:qFormat/>
    <w:uiPriority w:val="99"/>
    <w:pPr>
      <w:tabs>
        <w:tab w:val="clear" w:pos="4305"/>
      </w:tabs>
      <w:spacing w:line="240" w:lineRule="auto"/>
      <w:ind w:firstLine="0" w:firstLineChars="0"/>
    </w:pPr>
    <w:rPr>
      <w:rFonts w:hAnsi="Times New Roman"/>
      <w:bCs/>
      <w:color w:val="auto"/>
      <w:szCs w:val="20"/>
      <w:shd w:val="clear" w:color="auto" w:fill="auto"/>
    </w:rPr>
  </w:style>
  <w:style w:type="paragraph" w:customStyle="1" w:styleId="1127">
    <w:name w:val="样式 标题 4 + 宋体 小四 非加粗"/>
    <w:basedOn w:val="6"/>
    <w:qFormat/>
    <w:uiPriority w:val="99"/>
    <w:pPr>
      <w:tabs>
        <w:tab w:val="left" w:pos="360"/>
        <w:tab w:val="left" w:pos="1984"/>
      </w:tabs>
      <w:ind w:left="1984" w:hanging="708"/>
    </w:pPr>
    <w:rPr>
      <w:rFonts w:ascii="宋体" w:hAnsi="宋体"/>
      <w:b w:val="0"/>
      <w:bCs w:val="0"/>
      <w:kern w:val="0"/>
      <w:sz w:val="24"/>
    </w:rPr>
  </w:style>
  <w:style w:type="paragraph" w:customStyle="1" w:styleId="1128">
    <w:name w:val="列表 J"/>
    <w:basedOn w:val="59"/>
    <w:qFormat/>
    <w:uiPriority w:val="99"/>
    <w:pPr>
      <w:tabs>
        <w:tab w:val="left" w:pos="425"/>
        <w:tab w:val="clear" w:pos="3480"/>
      </w:tabs>
      <w:autoSpaceDE/>
      <w:autoSpaceDN/>
      <w:spacing w:beforeLines="100" w:afterLines="50" w:line="288" w:lineRule="auto"/>
      <w:ind w:left="425" w:hanging="425"/>
      <w:jc w:val="both"/>
    </w:pPr>
    <w:rPr>
      <w:rFonts w:ascii="Arial" w:hAnsi="Arial" w:eastAsia="宋体" w:cs="Times New Roman"/>
      <w:b/>
      <w:bCs/>
      <w:color w:val="FF99CC"/>
      <w:sz w:val="24"/>
      <w:szCs w:val="20"/>
      <w:lang w:val="en-US" w:bidi="ar-SA"/>
    </w:rPr>
  </w:style>
  <w:style w:type="paragraph" w:customStyle="1" w:styleId="1129">
    <w:name w:val="xl27"/>
    <w:basedOn w:val="1"/>
    <w:qFormat/>
    <w:uiPriority w:val="0"/>
    <w:pPr>
      <w:widowControl/>
      <w:pBdr>
        <w:top w:val="single" w:color="auto" w:sz="4" w:space="0"/>
        <w:left w:val="single" w:color="auto" w:sz="8" w:space="0"/>
        <w:bottom w:val="single" w:color="auto" w:sz="8" w:space="0"/>
        <w:right w:val="single" w:color="auto" w:sz="4" w:space="0"/>
      </w:pBdr>
      <w:autoSpaceDE/>
      <w:autoSpaceDN/>
      <w:spacing w:before="100" w:beforeAutospacing="1" w:after="100" w:afterAutospacing="1"/>
      <w:jc w:val="center"/>
      <w:textAlignment w:val="center"/>
    </w:pPr>
    <w:rPr>
      <w:rFonts w:ascii="Arial Unicode MS" w:hAnsi="Arial Unicode MS" w:eastAsia="Arial Unicode MS" w:cs="Arial Unicode MS"/>
      <w:b/>
      <w:bCs/>
      <w:sz w:val="24"/>
      <w:szCs w:val="20"/>
      <w:lang w:val="en-US" w:bidi="ar-SA"/>
    </w:rPr>
  </w:style>
  <w:style w:type="paragraph" w:customStyle="1" w:styleId="1130">
    <w:name w:val="章标题"/>
    <w:next w:val="1"/>
    <w:qFormat/>
    <w:uiPriority w:val="0"/>
    <w:pPr>
      <w:tabs>
        <w:tab w:val="left" w:pos="425"/>
      </w:tabs>
      <w:spacing w:beforeLines="50" w:afterLines="50"/>
      <w:ind w:left="425" w:hanging="425"/>
      <w:jc w:val="both"/>
      <w:outlineLvl w:val="1"/>
    </w:pPr>
    <w:rPr>
      <w:rFonts w:ascii="黑体" w:hAnsi="Times New Roman" w:eastAsia="黑体" w:cs="Times New Roman"/>
      <w:sz w:val="21"/>
      <w:lang w:val="en-US" w:eastAsia="zh-CN" w:bidi="ar-SA"/>
    </w:rPr>
  </w:style>
  <w:style w:type="paragraph" w:customStyle="1" w:styleId="1131">
    <w:name w:val="正文段落（缩进）"/>
    <w:basedOn w:val="1"/>
    <w:next w:val="41"/>
    <w:qFormat/>
    <w:uiPriority w:val="99"/>
    <w:pPr>
      <w:autoSpaceDE/>
      <w:autoSpaceDN/>
      <w:spacing w:line="360" w:lineRule="auto"/>
    </w:pPr>
    <w:rPr>
      <w:rFonts w:ascii="Times New Roman" w:hAnsi="Times New Roman" w:cs="Times New Roman"/>
      <w:sz w:val="24"/>
      <w:szCs w:val="20"/>
      <w:lang w:val="en-US" w:bidi="ar-SA"/>
    </w:rPr>
  </w:style>
  <w:style w:type="paragraph" w:customStyle="1" w:styleId="1132">
    <w:name w:val="[1]正文"/>
    <w:basedOn w:val="1"/>
    <w:qFormat/>
    <w:uiPriority w:val="99"/>
    <w:pPr>
      <w:autoSpaceDE/>
      <w:autoSpaceDN/>
      <w:adjustRightInd w:val="0"/>
      <w:snapToGrid w:val="0"/>
      <w:spacing w:line="500" w:lineRule="exact"/>
      <w:ind w:firstLine="200" w:firstLineChars="200"/>
    </w:pPr>
    <w:rPr>
      <w:rFonts w:ascii="Times New Roman" w:hAnsi="Times New Roman" w:cs="Times New Roman"/>
      <w:sz w:val="28"/>
      <w:szCs w:val="28"/>
      <w:lang w:val="en-US" w:bidi="ar-SA"/>
    </w:rPr>
  </w:style>
  <w:style w:type="paragraph" w:customStyle="1" w:styleId="1133">
    <w:name w:val="Char Char Char1 Char1"/>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1134">
    <w:name w:val="CM2"/>
    <w:basedOn w:val="101"/>
    <w:next w:val="101"/>
    <w:qFormat/>
    <w:uiPriority w:val="99"/>
    <w:pPr>
      <w:snapToGrid w:val="0"/>
      <w:spacing w:beforeLines="0" w:afterLines="0" w:line="468" w:lineRule="atLeast"/>
    </w:pPr>
    <w:rPr>
      <w:rFonts w:ascii="Times New Roman" w:cs="Times New Roman"/>
      <w:b w:val="0"/>
      <w:color w:val="auto"/>
      <w:kern w:val="0"/>
      <w:sz w:val="24"/>
      <w:szCs w:val="24"/>
    </w:rPr>
  </w:style>
  <w:style w:type="paragraph" w:customStyle="1" w:styleId="1135">
    <w:name w:val="font9"/>
    <w:basedOn w:val="1"/>
    <w:qFormat/>
    <w:uiPriority w:val="0"/>
    <w:pPr>
      <w:widowControl/>
      <w:autoSpaceDE/>
      <w:autoSpaceDN/>
      <w:spacing w:before="100" w:beforeAutospacing="1" w:after="100" w:afterAutospacing="1"/>
    </w:pPr>
    <w:rPr>
      <w:rFonts w:hint="eastAsia" w:cs="Arial Unicode MS"/>
      <w:b/>
      <w:bCs/>
      <w:sz w:val="44"/>
      <w:szCs w:val="44"/>
      <w:lang w:val="en-US" w:bidi="ar-SA"/>
    </w:rPr>
  </w:style>
  <w:style w:type="paragraph" w:customStyle="1" w:styleId="1136">
    <w:name w:val="样式 加粗 黑色 首行缩进:  0 厘米"/>
    <w:basedOn w:val="1"/>
    <w:qFormat/>
    <w:uiPriority w:val="99"/>
    <w:pPr>
      <w:tabs>
        <w:tab w:val="left" w:pos="425"/>
      </w:tabs>
      <w:autoSpaceDE/>
      <w:autoSpaceDN/>
      <w:spacing w:line="312" w:lineRule="auto"/>
      <w:ind w:left="425" w:hanging="425"/>
      <w:jc w:val="both"/>
    </w:pPr>
    <w:rPr>
      <w:rFonts w:ascii="Times New Roman" w:hAnsi="Times New Roman"/>
      <w:b/>
      <w:bCs/>
      <w:color w:val="000000"/>
      <w:kern w:val="2"/>
      <w:sz w:val="24"/>
      <w:szCs w:val="20"/>
      <w:lang w:val="en-US" w:bidi="ar-SA"/>
    </w:rPr>
  </w:style>
  <w:style w:type="paragraph" w:customStyle="1" w:styleId="1137">
    <w:name w:val="Char Char Char Char Char Char Char Char Char Char Char1 Char Char Char Char Char Char Char"/>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1138">
    <w:name w:val="No Title"/>
    <w:basedOn w:val="1"/>
    <w:qFormat/>
    <w:uiPriority w:val="99"/>
    <w:pPr>
      <w:widowControl/>
      <w:pBdr>
        <w:top w:val="single" w:color="FFFFFF" w:sz="6" w:space="2"/>
        <w:left w:val="single" w:color="FFFFFF" w:sz="6" w:space="2"/>
        <w:bottom w:val="single" w:color="FFFFFF" w:sz="6" w:space="2"/>
        <w:right w:val="single" w:color="FFFFFF" w:sz="6" w:space="2"/>
      </w:pBdr>
      <w:autoSpaceDE/>
      <w:autoSpaceDN/>
      <w:spacing w:before="120" w:line="280" w:lineRule="atLeast"/>
    </w:pPr>
    <w:rPr>
      <w:rFonts w:ascii="Arial" w:hAnsi="Arial" w:cs="Times New Roman"/>
      <w:b/>
      <w:spacing w:val="-10"/>
      <w:position w:val="7"/>
      <w:sz w:val="20"/>
      <w:szCs w:val="20"/>
      <w:lang w:val="en-US" w:bidi="ar-SA"/>
    </w:rPr>
  </w:style>
  <w:style w:type="paragraph" w:customStyle="1" w:styleId="1139">
    <w:name w:val="CM3"/>
    <w:basedOn w:val="101"/>
    <w:next w:val="101"/>
    <w:qFormat/>
    <w:uiPriority w:val="99"/>
    <w:pPr>
      <w:snapToGrid w:val="0"/>
      <w:spacing w:beforeLines="0" w:afterLines="0" w:line="468" w:lineRule="atLeast"/>
    </w:pPr>
    <w:rPr>
      <w:rFonts w:ascii="Times New Roman" w:cs="Times New Roman"/>
      <w:b w:val="0"/>
      <w:color w:val="auto"/>
      <w:kern w:val="0"/>
      <w:sz w:val="24"/>
      <w:szCs w:val="24"/>
    </w:rPr>
  </w:style>
  <w:style w:type="paragraph" w:customStyle="1" w:styleId="1140">
    <w:name w:val="hei12"/>
    <w:basedOn w:val="1"/>
    <w:qFormat/>
    <w:uiPriority w:val="99"/>
    <w:pPr>
      <w:widowControl/>
      <w:autoSpaceDE/>
      <w:autoSpaceDN/>
      <w:spacing w:before="100" w:beforeAutospacing="1" w:after="100" w:afterAutospacing="1" w:line="360" w:lineRule="atLeast"/>
    </w:pPr>
    <w:rPr>
      <w:rFonts w:ascii="Verdana" w:hAnsi="Verdana" w:cs="Times New Roman"/>
      <w:color w:val="000000"/>
      <w:szCs w:val="20"/>
      <w:lang w:val="en-US" w:bidi="ar-SA"/>
    </w:rPr>
  </w:style>
  <w:style w:type="paragraph" w:customStyle="1" w:styleId="1141">
    <w:name w:val="font5"/>
    <w:basedOn w:val="1"/>
    <w:link w:val="1142"/>
    <w:qFormat/>
    <w:uiPriority w:val="0"/>
    <w:pPr>
      <w:widowControl/>
      <w:autoSpaceDE/>
      <w:autoSpaceDN/>
      <w:spacing w:before="100" w:beforeAutospacing="1" w:after="100" w:afterAutospacing="1"/>
    </w:pPr>
    <w:rPr>
      <w:rFonts w:cs="Arial Unicode MS"/>
      <w:sz w:val="18"/>
      <w:szCs w:val="18"/>
      <w:lang w:val="en-US" w:bidi="ar-SA"/>
    </w:rPr>
  </w:style>
  <w:style w:type="character" w:customStyle="1" w:styleId="1142">
    <w:name w:val="font5 Char1"/>
    <w:link w:val="1141"/>
    <w:qFormat/>
    <w:uiPriority w:val="0"/>
    <w:rPr>
      <w:rFonts w:ascii="宋体" w:hAnsi="宋体" w:cs="Arial Unicode MS"/>
      <w:sz w:val="18"/>
      <w:szCs w:val="18"/>
    </w:rPr>
  </w:style>
  <w:style w:type="paragraph" w:customStyle="1" w:styleId="1143">
    <w:name w:val="正文首行缩进1"/>
    <w:basedOn w:val="31"/>
    <w:qFormat/>
    <w:uiPriority w:val="0"/>
    <w:pPr>
      <w:autoSpaceDE/>
      <w:autoSpaceDN/>
      <w:adjustRightInd w:val="0"/>
      <w:spacing w:line="312" w:lineRule="auto"/>
      <w:ind w:firstLine="567"/>
      <w:jc w:val="both"/>
      <w:textAlignment w:val="baseline"/>
    </w:pPr>
    <w:rPr>
      <w:rFonts w:ascii="Times New Roman" w:hAnsi="Times New Roman" w:cs="Times New Roman"/>
      <w:szCs w:val="24"/>
      <w:lang w:val="en-US" w:bidi="ar-SA"/>
    </w:rPr>
  </w:style>
  <w:style w:type="paragraph" w:customStyle="1" w:styleId="1144">
    <w:name w:val="Char11"/>
    <w:basedOn w:val="1"/>
    <w:qFormat/>
    <w:uiPriority w:val="0"/>
    <w:pPr>
      <w:autoSpaceDE/>
      <w:autoSpaceDN/>
      <w:jc w:val="both"/>
    </w:pPr>
    <w:rPr>
      <w:rFonts w:ascii="Tahoma" w:hAnsi="Tahoma" w:cs="Times New Roman"/>
      <w:kern w:val="2"/>
      <w:sz w:val="24"/>
      <w:szCs w:val="20"/>
      <w:lang w:val="en-US" w:bidi="ar-SA"/>
    </w:rPr>
  </w:style>
  <w:style w:type="paragraph" w:customStyle="1" w:styleId="1145">
    <w:name w:val="样式 表头样式 + 两端对齐 段前: 0.5 行 段后: 0.5 行 首行缩进:  1 字符"/>
    <w:basedOn w:val="1075"/>
    <w:qFormat/>
    <w:uiPriority w:val="99"/>
    <w:pPr>
      <w:keepLines/>
      <w:spacing w:beforeLines="0"/>
      <w:ind w:firstLine="560" w:firstLineChars="200"/>
    </w:pPr>
    <w:rPr>
      <w:bCs w:val="0"/>
      <w:sz w:val="24"/>
      <w:szCs w:val="20"/>
    </w:rPr>
  </w:style>
  <w:style w:type="paragraph" w:customStyle="1" w:styleId="1146">
    <w:name w:val="列表 4U"/>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147">
    <w:name w:val="xl52"/>
    <w:basedOn w:val="1"/>
    <w:qFormat/>
    <w:uiPriority w:val="0"/>
    <w:pPr>
      <w:widowControl/>
      <w:pBdr>
        <w:top w:val="single" w:color="auto" w:sz="8" w:space="0"/>
        <w:bottom w:val="single" w:color="auto" w:sz="8" w:space="0"/>
        <w:right w:val="single" w:color="auto" w:sz="4" w:space="0"/>
      </w:pBdr>
      <w:autoSpaceDE/>
      <w:autoSpaceDN/>
      <w:spacing w:before="100" w:beforeAutospacing="1" w:after="100" w:afterAutospacing="1"/>
      <w:jc w:val="right"/>
    </w:pPr>
    <w:rPr>
      <w:rFonts w:eastAsia="仿宋_GB2312" w:cs="Times New Roman"/>
      <w:position w:val="-6"/>
      <w:sz w:val="24"/>
      <w:szCs w:val="21"/>
      <w:lang w:val="en-US" w:bidi="ar-SA"/>
    </w:rPr>
  </w:style>
  <w:style w:type="paragraph" w:customStyle="1" w:styleId="1148">
    <w:name w:val="表2"/>
    <w:basedOn w:val="31"/>
    <w:qFormat/>
    <w:uiPriority w:val="99"/>
    <w:pPr>
      <w:widowControl/>
      <w:tabs>
        <w:tab w:val="left" w:pos="1260"/>
      </w:tabs>
      <w:adjustRightInd w:val="0"/>
      <w:snapToGrid w:val="0"/>
      <w:ind w:right="-91"/>
      <w:jc w:val="both"/>
      <w:textAlignment w:val="bottom"/>
    </w:pPr>
    <w:rPr>
      <w:rFonts w:ascii="Times New Roman" w:hAnsi="Times New Roman" w:eastAsia="仿宋_GB2312" w:cs="Arial"/>
      <w:sz w:val="20"/>
      <w:szCs w:val="21"/>
      <w:lang w:val="en-US" w:bidi="ar-SA"/>
    </w:rPr>
  </w:style>
  <w:style w:type="paragraph" w:customStyle="1" w:styleId="1149">
    <w:name w:val="样式 表内小5中 + 下划线 居中"/>
    <w:basedOn w:val="993"/>
    <w:qFormat/>
    <w:uiPriority w:val="99"/>
    <w:pPr>
      <w:jc w:val="center"/>
    </w:pPr>
    <w:rPr>
      <w:szCs w:val="20"/>
      <w:u w:val="single"/>
    </w:rPr>
  </w:style>
  <w:style w:type="paragraph" w:customStyle="1" w:styleId="1150">
    <w:name w:val="尾消息标题"/>
    <w:basedOn w:val="1"/>
    <w:next w:val="31"/>
    <w:qFormat/>
    <w:uiPriority w:val="99"/>
    <w:pPr>
      <w:widowControl/>
      <w:pBdr>
        <w:bottom w:val="single" w:color="auto" w:sz="6" w:space="19"/>
        <w:between w:val="single" w:color="auto" w:sz="6" w:space="19"/>
      </w:pBdr>
      <w:tabs>
        <w:tab w:val="left" w:pos="1260"/>
        <w:tab w:val="left" w:pos="2940"/>
      </w:tabs>
      <w:autoSpaceDE/>
      <w:autoSpaceDN/>
      <w:spacing w:line="0" w:lineRule="atLeast"/>
    </w:pPr>
    <w:rPr>
      <w:rFonts w:ascii="Times New Roman" w:hAnsi="Times New Roman" w:cs="Times New Roman"/>
      <w:sz w:val="18"/>
      <w:szCs w:val="18"/>
      <w:lang w:val="en-US" w:bidi="ar-SA"/>
    </w:rPr>
  </w:style>
  <w:style w:type="paragraph" w:customStyle="1" w:styleId="1151">
    <w:name w:val="样式 标题 1 + 两端对齐1"/>
    <w:basedOn w:val="3"/>
    <w:qFormat/>
    <w:uiPriority w:val="99"/>
    <w:pPr>
      <w:keepLines/>
      <w:tabs>
        <w:tab w:val="left" w:pos="720"/>
      </w:tabs>
      <w:autoSpaceDE/>
      <w:autoSpaceDN/>
      <w:spacing w:before="0" w:beforeLines="100" w:afterLines="100" w:line="312" w:lineRule="auto"/>
      <w:ind w:left="-4" w:firstLine="4"/>
      <w:jc w:val="both"/>
    </w:pPr>
    <w:rPr>
      <w:rFonts w:ascii="Times New Roman" w:hAnsi="Times New Roman" w:cs="宋体"/>
      <w:bCs/>
      <w:kern w:val="44"/>
      <w:sz w:val="32"/>
      <w:szCs w:val="20"/>
      <w:lang w:val="en-US" w:bidi="ar-SA"/>
    </w:rPr>
  </w:style>
  <w:style w:type="paragraph" w:customStyle="1" w:styleId="1152">
    <w:name w:val="特殊标题３"/>
    <w:basedOn w:val="1"/>
    <w:qFormat/>
    <w:uiPriority w:val="0"/>
    <w:pPr>
      <w:overflowPunct w:val="0"/>
      <w:adjustRightInd w:val="0"/>
      <w:spacing w:line="360" w:lineRule="auto"/>
      <w:jc w:val="both"/>
    </w:pPr>
    <w:rPr>
      <w:rFonts w:ascii="Times New Roman" w:hAnsi="Times New Roman" w:eastAsia="仿宋_GB2312" w:cs="Times New Roman"/>
      <w:sz w:val="28"/>
      <w:szCs w:val="20"/>
      <w:lang w:val="en-US" w:bidi="ar-SA"/>
    </w:rPr>
  </w:style>
  <w:style w:type="paragraph" w:customStyle="1" w:styleId="1153">
    <w:name w:val="Char Char Char Char Char Char Char Char Char Char Char Char Char Char Char"/>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1154">
    <w:name w:val="正文样式1"/>
    <w:basedOn w:val="1"/>
    <w:qFormat/>
    <w:uiPriority w:val="99"/>
    <w:pPr>
      <w:autoSpaceDE/>
      <w:autoSpaceDN/>
      <w:ind w:firstLine="200" w:firstLineChars="200"/>
      <w:jc w:val="both"/>
    </w:pPr>
    <w:rPr>
      <w:rFonts w:ascii="Times New Roman" w:hAnsi="Times New Roman" w:eastAsia="仿宋_GB2312" w:cs="Times New Roman"/>
      <w:kern w:val="2"/>
      <w:sz w:val="24"/>
      <w:szCs w:val="24"/>
      <w:lang w:val="en-US" w:bidi="ar-SA"/>
    </w:rPr>
  </w:style>
  <w:style w:type="paragraph" w:customStyle="1" w:styleId="1155">
    <w:name w:val="xl73"/>
    <w:basedOn w:val="1"/>
    <w:qFormat/>
    <w:uiPriority w:val="0"/>
    <w:pPr>
      <w:widowControl/>
      <w:pBdr>
        <w:top w:val="single" w:color="auto" w:sz="4" w:space="0"/>
        <w:left w:val="single" w:color="auto" w:sz="4" w:space="0"/>
        <w:bottom w:val="single" w:color="auto" w:sz="4" w:space="0"/>
      </w:pBdr>
      <w:autoSpaceDE/>
      <w:autoSpaceDN/>
      <w:spacing w:before="100" w:beforeAutospacing="1" w:after="100" w:afterAutospacing="1"/>
      <w:jc w:val="right"/>
    </w:pPr>
    <w:rPr>
      <w:rFonts w:eastAsia="仿宋_GB2312" w:cs="Times New Roman"/>
      <w:position w:val="-6"/>
      <w:sz w:val="24"/>
      <w:szCs w:val="24"/>
      <w:lang w:val="en-US" w:bidi="ar-SA"/>
    </w:rPr>
  </w:style>
  <w:style w:type="paragraph" w:customStyle="1" w:styleId="1156">
    <w:name w:val="Char Char Char1 Char Char Char Char Char Char Char1"/>
    <w:basedOn w:val="1"/>
    <w:qFormat/>
    <w:uiPriority w:val="99"/>
    <w:pPr>
      <w:autoSpaceDE/>
      <w:autoSpaceDN/>
      <w:jc w:val="both"/>
    </w:pPr>
    <w:rPr>
      <w:rFonts w:ascii="Times New Roman" w:hAnsi="Times New Roman" w:cs="Times New Roman"/>
      <w:kern w:val="2"/>
      <w:sz w:val="21"/>
      <w:szCs w:val="24"/>
      <w:lang w:val="en-US" w:bidi="ar-SA"/>
    </w:rPr>
  </w:style>
  <w:style w:type="paragraph" w:customStyle="1" w:styleId="1157">
    <w:name w:val="列表 4G"/>
    <w:basedOn w:val="69"/>
    <w:qFormat/>
    <w:uiPriority w:val="99"/>
    <w:pPr>
      <w:tabs>
        <w:tab w:val="left" w:pos="645"/>
      </w:tabs>
      <w:topLinePunct w:val="0"/>
      <w:spacing w:beforeLines="50" w:afterLines="30" w:line="288" w:lineRule="auto"/>
      <w:ind w:left="645" w:leftChars="0" w:hanging="645" w:firstLineChars="0"/>
      <w:jc w:val="both"/>
    </w:pPr>
    <w:rPr>
      <w:rFonts w:ascii="Arial" w:hAnsi="Arial" w:eastAsia="宋体"/>
      <w:color w:val="CCFFFF"/>
      <w:sz w:val="24"/>
    </w:rPr>
  </w:style>
  <w:style w:type="paragraph" w:customStyle="1" w:styleId="1158">
    <w:name w:val="Char Char Char Char Char Char Char1"/>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1159">
    <w:name w:val="表 头"/>
    <w:basedOn w:val="1"/>
    <w:qFormat/>
    <w:uiPriority w:val="99"/>
    <w:pPr>
      <w:autoSpaceDE/>
      <w:autoSpaceDN/>
      <w:adjustRightInd w:val="0"/>
      <w:spacing w:before="120" w:after="120" w:line="360" w:lineRule="atLeast"/>
      <w:jc w:val="center"/>
    </w:pPr>
    <w:rPr>
      <w:rFonts w:ascii="Times New Roman" w:hAnsi="Times New Roman" w:eastAsia="黑体" w:cs="Times New Roman"/>
      <w:spacing w:val="10"/>
      <w:sz w:val="24"/>
      <w:szCs w:val="20"/>
      <w:lang w:val="en-US" w:bidi="ar-SA"/>
    </w:rPr>
  </w:style>
  <w:style w:type="paragraph" w:customStyle="1" w:styleId="1160">
    <w:name w:val="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61">
    <w:name w:val="xl38"/>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textAlignment w:val="center"/>
    </w:pPr>
    <w:rPr>
      <w:rFonts w:hint="eastAsia" w:ascii="仿宋_GB2312" w:hAnsi="Arial Unicode MS" w:eastAsia="仿宋_GB2312" w:cs="Arial Unicode MS"/>
      <w:sz w:val="24"/>
      <w:szCs w:val="20"/>
      <w:lang w:val="en-US" w:bidi="ar-SA"/>
    </w:rPr>
  </w:style>
  <w:style w:type="paragraph" w:customStyle="1" w:styleId="1162">
    <w:name w:val="表头王"/>
    <w:basedOn w:val="1"/>
    <w:qFormat/>
    <w:uiPriority w:val="99"/>
    <w:pPr>
      <w:autoSpaceDE/>
      <w:autoSpaceDN/>
      <w:adjustRightInd w:val="0"/>
      <w:snapToGrid w:val="0"/>
      <w:spacing w:line="360" w:lineRule="auto"/>
      <w:jc w:val="center"/>
    </w:pPr>
    <w:rPr>
      <w:rFonts w:ascii="黑体" w:eastAsia="黑体" w:cs="Times New Roman"/>
      <w:b/>
      <w:kern w:val="2"/>
      <w:sz w:val="24"/>
      <w:szCs w:val="24"/>
      <w:lang w:val="en-US" w:bidi="ar-SA"/>
    </w:rPr>
  </w:style>
  <w:style w:type="paragraph" w:customStyle="1" w:styleId="1163">
    <w:name w:val="S表格"/>
    <w:basedOn w:val="1"/>
    <w:qFormat/>
    <w:uiPriority w:val="99"/>
    <w:pPr>
      <w:autoSpaceDE/>
      <w:autoSpaceDN/>
      <w:spacing w:before="240" w:line="360" w:lineRule="auto"/>
      <w:jc w:val="both"/>
      <w:outlineLvl w:val="2"/>
    </w:pPr>
    <w:rPr>
      <w:rFonts w:ascii="Times New Roman" w:hAnsi="Times New Roman" w:cs="Times New Roman"/>
      <w:bCs/>
      <w:kern w:val="2"/>
      <w:sz w:val="24"/>
      <w:szCs w:val="24"/>
      <w:lang w:val="en-US" w:bidi="ar-SA"/>
    </w:rPr>
  </w:style>
  <w:style w:type="paragraph" w:customStyle="1" w:styleId="1164">
    <w:name w:val="xl59"/>
    <w:basedOn w:val="1"/>
    <w:qFormat/>
    <w:uiPriority w:val="0"/>
    <w:pPr>
      <w:widowControl/>
      <w:pBdr>
        <w:top w:val="single" w:color="auto" w:sz="8" w:space="0"/>
        <w:bottom w:val="single" w:color="auto" w:sz="4" w:space="0"/>
        <w:right w:val="single" w:color="auto" w:sz="4" w:space="0"/>
      </w:pBdr>
      <w:autoSpaceDE/>
      <w:autoSpaceDN/>
      <w:spacing w:before="100" w:beforeAutospacing="1" w:after="100" w:afterAutospacing="1"/>
      <w:jc w:val="center"/>
    </w:pPr>
    <w:rPr>
      <w:rFonts w:eastAsia="仿宋_GB2312" w:cs="Times New Roman"/>
      <w:position w:val="-6"/>
      <w:sz w:val="24"/>
      <w:szCs w:val="21"/>
      <w:lang w:val="en-US" w:bidi="ar-SA"/>
    </w:rPr>
  </w:style>
  <w:style w:type="paragraph" w:customStyle="1" w:styleId="1165">
    <w:name w:val="Char Char Char2 Char Char Char Char Char Char Char Char Char Char"/>
    <w:basedOn w:val="1"/>
    <w:qFormat/>
    <w:uiPriority w:val="99"/>
    <w:pPr>
      <w:autoSpaceDE/>
      <w:autoSpaceDN/>
      <w:jc w:val="both"/>
    </w:pPr>
    <w:rPr>
      <w:rFonts w:ascii="Times New Roman" w:hAnsi="Times New Roman" w:cs="Times New Roman"/>
      <w:kern w:val="2"/>
      <w:sz w:val="21"/>
      <w:szCs w:val="24"/>
      <w:lang w:val="en-US" w:bidi="ar-SA"/>
    </w:rPr>
  </w:style>
  <w:style w:type="paragraph" w:customStyle="1" w:styleId="1166">
    <w:name w:val="Institution"/>
    <w:basedOn w:val="1"/>
    <w:next w:val="936"/>
    <w:qFormat/>
    <w:uiPriority w:val="99"/>
    <w:pPr>
      <w:widowControl/>
      <w:tabs>
        <w:tab w:val="left" w:pos="2160"/>
        <w:tab w:val="right" w:pos="6480"/>
      </w:tabs>
      <w:autoSpaceDE/>
      <w:autoSpaceDN/>
      <w:spacing w:before="220" w:after="60" w:line="220" w:lineRule="atLeast"/>
      <w:ind w:right="-360"/>
    </w:pPr>
    <w:rPr>
      <w:rFonts w:ascii="Times New Roman" w:hAnsi="Times New Roman" w:cs="Times New Roman"/>
      <w:sz w:val="20"/>
      <w:szCs w:val="20"/>
      <w:lang w:val="en-US" w:bidi="ar-SA"/>
    </w:rPr>
  </w:style>
  <w:style w:type="paragraph" w:customStyle="1" w:styleId="1167">
    <w:name w:val="13点"/>
    <w:basedOn w:val="1"/>
    <w:qFormat/>
    <w:uiPriority w:val="99"/>
    <w:pPr>
      <w:autoSpaceDE/>
      <w:autoSpaceDN/>
      <w:adjustRightInd w:val="0"/>
      <w:snapToGrid w:val="0"/>
      <w:jc w:val="center"/>
    </w:pPr>
    <w:rPr>
      <w:rFonts w:cs="Times New Roman"/>
      <w:kern w:val="2"/>
      <w:sz w:val="24"/>
      <w:szCs w:val="28"/>
      <w:lang w:val="en-US" w:bidi="ar-SA"/>
    </w:rPr>
  </w:style>
  <w:style w:type="paragraph" w:customStyle="1" w:styleId="1168">
    <w:name w:val="正文表标题"/>
    <w:next w:val="6"/>
    <w:qFormat/>
    <w:uiPriority w:val="99"/>
    <w:pPr>
      <w:jc w:val="center"/>
    </w:pPr>
    <w:rPr>
      <w:rFonts w:ascii="黑体" w:hAnsi="Times New Roman" w:eastAsia="黑体" w:cs="Times New Roman"/>
      <w:sz w:val="21"/>
      <w:lang w:val="en-US" w:eastAsia="zh-CN" w:bidi="ar-SA"/>
    </w:rPr>
  </w:style>
  <w:style w:type="paragraph" w:customStyle="1" w:styleId="1169">
    <w:name w:val="列表 5T"/>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170">
    <w:name w:val="yxp_表格内文字"/>
    <w:basedOn w:val="1"/>
    <w:qFormat/>
    <w:uiPriority w:val="0"/>
    <w:pPr>
      <w:autoSpaceDE/>
      <w:autoSpaceDN/>
      <w:jc w:val="both"/>
    </w:pPr>
    <w:rPr>
      <w:rFonts w:ascii="Times New Roman" w:hAnsi="Times New Roman"/>
      <w:sz w:val="28"/>
      <w:szCs w:val="24"/>
      <w:lang w:val="en-US" w:bidi="ar-SA"/>
    </w:rPr>
  </w:style>
  <w:style w:type="paragraph" w:customStyle="1" w:styleId="1171">
    <w:name w:val="表标题2.2"/>
    <w:basedOn w:val="1"/>
    <w:qFormat/>
    <w:uiPriority w:val="99"/>
    <w:pPr>
      <w:widowControl/>
      <w:tabs>
        <w:tab w:val="left" w:pos="726"/>
        <w:tab w:val="left" w:pos="8207"/>
      </w:tabs>
      <w:autoSpaceDE/>
      <w:autoSpaceDN/>
      <w:adjustRightInd w:val="0"/>
      <w:snapToGrid w:val="0"/>
      <w:spacing w:before="240" w:line="0" w:lineRule="atLeast"/>
      <w:ind w:left="2" w:firstLine="4"/>
      <w:jc w:val="center"/>
      <w:textAlignment w:val="baseline"/>
    </w:pPr>
    <w:rPr>
      <w:rFonts w:ascii="Times New Roman" w:hAnsi="Times New Roman" w:eastAsia="黑体" w:cs="Times New Roman"/>
      <w:b/>
      <w:color w:val="000000"/>
      <w:kern w:val="2"/>
      <w:sz w:val="24"/>
      <w:szCs w:val="24"/>
      <w:lang w:val="en-US" w:bidi="ar-SA"/>
    </w:rPr>
  </w:style>
  <w:style w:type="paragraph" w:customStyle="1" w:styleId="1172">
    <w:name w:val="font0"/>
    <w:basedOn w:val="1"/>
    <w:qFormat/>
    <w:uiPriority w:val="0"/>
    <w:pPr>
      <w:widowControl/>
      <w:autoSpaceDE/>
      <w:autoSpaceDN/>
      <w:spacing w:before="100" w:beforeAutospacing="1" w:after="100" w:afterAutospacing="1"/>
    </w:pPr>
    <w:rPr>
      <w:rFonts w:hint="eastAsia" w:cs="Arial Unicode MS"/>
      <w:sz w:val="24"/>
      <w:szCs w:val="20"/>
      <w:lang w:val="en-US" w:bidi="ar-SA"/>
    </w:rPr>
  </w:style>
  <w:style w:type="paragraph" w:customStyle="1" w:styleId="1173">
    <w:name w:val="0005左缩2"/>
    <w:basedOn w:val="1"/>
    <w:qFormat/>
    <w:uiPriority w:val="99"/>
    <w:pPr>
      <w:widowControl/>
      <w:adjustRightInd w:val="0"/>
      <w:spacing w:afterLines="30" w:line="500" w:lineRule="exact"/>
      <w:ind w:firstLine="200" w:firstLineChars="200"/>
      <w:jc w:val="both"/>
    </w:pPr>
    <w:rPr>
      <w:rFonts w:cs="Times New Roman"/>
      <w:kern w:val="2"/>
      <w:sz w:val="28"/>
      <w:szCs w:val="28"/>
      <w:lang w:val="en-US" w:bidi="ar-SA"/>
    </w:rPr>
  </w:style>
  <w:style w:type="paragraph" w:customStyle="1" w:styleId="1174">
    <w:name w:val="样式 样式 样式 正文首行缩进 + 黑体 四号 黑色 + 右侧:  -0.47 字符 + 左侧:  1.52 厘米 首行缩进:..."/>
    <w:basedOn w:val="6"/>
    <w:next w:val="6"/>
    <w:qFormat/>
    <w:uiPriority w:val="99"/>
    <w:pPr>
      <w:tabs>
        <w:tab w:val="left" w:pos="360"/>
        <w:tab w:val="left" w:pos="1680"/>
        <w:tab w:val="left" w:pos="3316"/>
      </w:tabs>
      <w:spacing w:before="0" w:after="0" w:line="360" w:lineRule="auto"/>
      <w:ind w:left="1680" w:hanging="420"/>
    </w:pPr>
    <w:rPr>
      <w:rFonts w:ascii="宋体" w:hAnsi="Arial"/>
      <w:b w:val="0"/>
      <w:szCs w:val="20"/>
    </w:rPr>
  </w:style>
  <w:style w:type="paragraph" w:customStyle="1" w:styleId="1175">
    <w:name w:val="表4.14－1"/>
    <w:basedOn w:val="1"/>
    <w:qFormat/>
    <w:uiPriority w:val="99"/>
    <w:pPr>
      <w:tabs>
        <w:tab w:val="left" w:pos="726"/>
        <w:tab w:val="center" w:pos="4060"/>
        <w:tab w:val="right" w:pos="8261"/>
      </w:tabs>
      <w:suppressAutoHyphens/>
      <w:autoSpaceDE/>
      <w:autoSpaceDN/>
      <w:adjustRightInd w:val="0"/>
      <w:spacing w:beforeLines="100" w:line="0" w:lineRule="atLeast"/>
      <w:ind w:left="2" w:firstLine="4"/>
      <w:jc w:val="center"/>
    </w:pPr>
    <w:rPr>
      <w:rFonts w:ascii="黑体" w:hAnsi="Times New Roman" w:eastAsia="黑体"/>
      <w:b/>
      <w:bCs/>
      <w:spacing w:val="6"/>
      <w:sz w:val="24"/>
      <w:szCs w:val="20"/>
      <w:lang w:val="en-US" w:bidi="ar-SA"/>
    </w:rPr>
  </w:style>
  <w:style w:type="paragraph" w:customStyle="1" w:styleId="1176">
    <w:name w:val="样式5"/>
    <w:basedOn w:val="20"/>
    <w:link w:val="1177"/>
    <w:qFormat/>
    <w:uiPriority w:val="0"/>
    <w:pPr>
      <w:autoSpaceDE/>
      <w:autoSpaceDN/>
      <w:adjustRightInd w:val="0"/>
      <w:snapToGrid w:val="0"/>
      <w:spacing w:line="360" w:lineRule="auto"/>
      <w:ind w:firstLine="420"/>
      <w:textAlignment w:val="baseline"/>
    </w:pPr>
    <w:rPr>
      <w:rFonts w:ascii="Times New Roman" w:hAnsi="Times New Roman" w:cs="Times New Roman"/>
      <w:sz w:val="24"/>
      <w:szCs w:val="20"/>
      <w:lang w:val="en-US" w:bidi="ar-SA"/>
    </w:rPr>
  </w:style>
  <w:style w:type="character" w:customStyle="1" w:styleId="1177">
    <w:name w:val="样式5 Char"/>
    <w:link w:val="1176"/>
    <w:qFormat/>
    <w:uiPriority w:val="0"/>
    <w:rPr>
      <w:sz w:val="24"/>
    </w:rPr>
  </w:style>
  <w:style w:type="paragraph" w:customStyle="1" w:styleId="1178">
    <w:name w:val="样式 样式 首行缩进:  2 字符 + 首行缩进:  2 字符"/>
    <w:basedOn w:val="1"/>
    <w:qFormat/>
    <w:uiPriority w:val="99"/>
    <w:pPr>
      <w:autoSpaceDE/>
      <w:autoSpaceDN/>
      <w:ind w:firstLine="587" w:firstLineChars="200"/>
      <w:jc w:val="both"/>
    </w:pPr>
    <w:rPr>
      <w:rFonts w:hAnsi="Times New Roman" w:cs="Times New Roman"/>
      <w:kern w:val="2"/>
      <w:sz w:val="27"/>
      <w:szCs w:val="27"/>
      <w:lang w:val="en-US" w:bidi="ar-SA"/>
    </w:rPr>
  </w:style>
  <w:style w:type="paragraph" w:customStyle="1" w:styleId="1179">
    <w:name w:val="列表 2E"/>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180">
    <w:name w:val="样式 样式 样式 正文首行缩进 + 首行缩进:  2 字符 + 首行缩进:  2 字符 + 首行缩进:  2 字符"/>
    <w:basedOn w:val="1"/>
    <w:qFormat/>
    <w:uiPriority w:val="99"/>
    <w:pPr>
      <w:widowControl/>
      <w:tabs>
        <w:tab w:val="left" w:pos="628"/>
        <w:tab w:val="left" w:pos="1727"/>
        <w:tab w:val="left" w:pos="1884"/>
        <w:tab w:val="left" w:pos="2660"/>
        <w:tab w:val="left" w:pos="5460"/>
      </w:tabs>
      <w:autoSpaceDN/>
      <w:snapToGrid w:val="0"/>
      <w:spacing w:line="360" w:lineRule="auto"/>
      <w:ind w:firstLine="200" w:firstLineChars="200"/>
    </w:pPr>
    <w:rPr>
      <w:rFonts w:hAnsi="Times New Roman"/>
      <w:snapToGrid w:val="0"/>
      <w:color w:val="000000"/>
      <w:sz w:val="28"/>
      <w:szCs w:val="20"/>
      <w:lang w:val="en-US" w:bidi="ar-SA"/>
    </w:rPr>
  </w:style>
  <w:style w:type="paragraph" w:customStyle="1" w:styleId="1181">
    <w:name w:val="正文表格"/>
    <w:basedOn w:val="1"/>
    <w:qFormat/>
    <w:uiPriority w:val="0"/>
    <w:pPr>
      <w:keepNext/>
      <w:keepLines/>
      <w:tabs>
        <w:tab w:val="center" w:pos="6804"/>
      </w:tabs>
      <w:overflowPunct w:val="0"/>
      <w:autoSpaceDE/>
      <w:autoSpaceDN/>
      <w:adjustRightInd w:val="0"/>
      <w:spacing w:before="80"/>
      <w:jc w:val="center"/>
      <w:textAlignment w:val="bottom"/>
    </w:pPr>
    <w:rPr>
      <w:rFonts w:ascii="Times New Roman" w:hAnsi="Times New Roman" w:cs="Times New Roman"/>
      <w:sz w:val="28"/>
      <w:szCs w:val="20"/>
      <w:lang w:val="en-US" w:bidi="ar-SA"/>
    </w:rPr>
  </w:style>
  <w:style w:type="paragraph" w:customStyle="1" w:styleId="1182">
    <w:name w:val="CM11"/>
    <w:basedOn w:val="101"/>
    <w:next w:val="101"/>
    <w:qFormat/>
    <w:uiPriority w:val="99"/>
    <w:pPr>
      <w:snapToGrid w:val="0"/>
      <w:spacing w:beforeLines="0" w:afterLines="0" w:line="456" w:lineRule="atLeast"/>
    </w:pPr>
    <w:rPr>
      <w:rFonts w:ascii="宋体"/>
      <w:b w:val="0"/>
      <w:color w:val="auto"/>
      <w:kern w:val="0"/>
      <w:sz w:val="24"/>
      <w:szCs w:val="24"/>
    </w:rPr>
  </w:style>
  <w:style w:type="paragraph" w:customStyle="1" w:styleId="1183">
    <w:name w:val="Personal Info"/>
    <w:basedOn w:val="936"/>
    <w:qFormat/>
    <w:uiPriority w:val="99"/>
    <w:pPr>
      <w:spacing w:before="220"/>
    </w:pPr>
  </w:style>
  <w:style w:type="paragraph" w:customStyle="1" w:styleId="1184">
    <w:name w:val="符号说明"/>
    <w:basedOn w:val="1"/>
    <w:qFormat/>
    <w:uiPriority w:val="99"/>
    <w:pPr>
      <w:tabs>
        <w:tab w:val="left" w:pos="1260"/>
        <w:tab w:val="left" w:pos="3780"/>
        <w:tab w:val="left" w:pos="4680"/>
      </w:tabs>
      <w:autoSpaceDE/>
      <w:autoSpaceDN/>
      <w:spacing w:line="360" w:lineRule="auto"/>
      <w:ind w:firstLine="840" w:firstLineChars="400"/>
      <w:jc w:val="both"/>
    </w:pPr>
    <w:rPr>
      <w:rFonts w:ascii="Times New Roman" w:hAnsi="Times New Roman" w:cs="Times New Roman"/>
      <w:kern w:val="2"/>
      <w:sz w:val="21"/>
      <w:szCs w:val="21"/>
      <w:lang w:val="en-US" w:bidi="ar-SA"/>
    </w:rPr>
  </w:style>
  <w:style w:type="paragraph" w:customStyle="1" w:styleId="1185">
    <w:name w:val="二级条标题"/>
    <w:basedOn w:val="1186"/>
    <w:next w:val="1"/>
    <w:qFormat/>
    <w:uiPriority w:val="99"/>
    <w:pPr>
      <w:tabs>
        <w:tab w:val="left" w:pos="360"/>
        <w:tab w:val="left" w:pos="709"/>
        <w:tab w:val="left" w:pos="851"/>
        <w:tab w:val="left" w:pos="903"/>
        <w:tab w:val="left" w:pos="1260"/>
        <w:tab w:val="left" w:pos="1680"/>
      </w:tabs>
      <w:ind w:left="1680"/>
      <w:outlineLvl w:val="3"/>
    </w:pPr>
  </w:style>
  <w:style w:type="paragraph" w:customStyle="1" w:styleId="1186">
    <w:name w:val="一级条标题"/>
    <w:basedOn w:val="3"/>
    <w:next w:val="1"/>
    <w:qFormat/>
    <w:uiPriority w:val="99"/>
    <w:pPr>
      <w:widowControl/>
      <w:tabs>
        <w:tab w:val="left" w:pos="360"/>
        <w:tab w:val="left" w:pos="709"/>
        <w:tab w:val="left" w:pos="903"/>
        <w:tab w:val="left" w:pos="1260"/>
      </w:tabs>
      <w:autoSpaceDE/>
      <w:autoSpaceDN/>
      <w:spacing w:before="0" w:beforeLines="100" w:afterLines="100"/>
      <w:ind w:left="1260" w:hanging="420"/>
      <w:jc w:val="both"/>
      <w:outlineLvl w:val="2"/>
    </w:pPr>
    <w:rPr>
      <w:rFonts w:hAnsi="Times New Roman" w:cs="Times New Roman"/>
      <w:b/>
      <w:sz w:val="21"/>
      <w:szCs w:val="20"/>
      <w:lang w:val="en-US" w:bidi="ar-SA"/>
    </w:rPr>
  </w:style>
  <w:style w:type="paragraph" w:customStyle="1" w:styleId="1187">
    <w:name w:val="表内宋5中"/>
    <w:basedOn w:val="20"/>
    <w:qFormat/>
    <w:uiPriority w:val="99"/>
    <w:pPr>
      <w:adjustRightInd w:val="0"/>
      <w:snapToGrid w:val="0"/>
      <w:spacing w:line="240" w:lineRule="auto"/>
      <w:ind w:firstLine="0"/>
      <w:jc w:val="center"/>
    </w:pPr>
    <w:rPr>
      <w:rFonts w:cs="Times New Roman"/>
      <w:sz w:val="20"/>
      <w:szCs w:val="20"/>
      <w:lang w:val="en-US" w:bidi="ar-SA"/>
    </w:rPr>
  </w:style>
  <w:style w:type="paragraph" w:customStyle="1" w:styleId="1188">
    <w:name w:val="环正文"/>
    <w:basedOn w:val="1"/>
    <w:semiHidden/>
    <w:qFormat/>
    <w:uiPriority w:val="99"/>
    <w:pPr>
      <w:widowControl/>
      <w:tabs>
        <w:tab w:val="left" w:pos="5094"/>
      </w:tabs>
      <w:autoSpaceDE/>
      <w:autoSpaceDN/>
      <w:adjustRightInd w:val="0"/>
      <w:spacing w:line="440" w:lineRule="exact"/>
      <w:ind w:firstLine="464" w:firstLineChars="200"/>
      <w:jc w:val="both"/>
      <w:textAlignment w:val="baseline"/>
    </w:pPr>
    <w:rPr>
      <w:rFonts w:cs="Times New Roman"/>
      <w:color w:val="000000"/>
      <w:spacing w:val="-4"/>
      <w:sz w:val="24"/>
      <w:szCs w:val="20"/>
      <w:lang w:val="en-US" w:bidi="ar-SA"/>
    </w:rPr>
  </w:style>
  <w:style w:type="paragraph" w:customStyle="1" w:styleId="1189">
    <w:name w:val="WPS Plain"/>
    <w:qFormat/>
    <w:uiPriority w:val="99"/>
    <w:rPr>
      <w:rFonts w:ascii="Times New Roman" w:hAnsi="Times New Roman" w:eastAsia="宋体" w:cs="Times New Roman"/>
      <w:lang w:val="en-US" w:eastAsia="zh-CN" w:bidi="ar-SA"/>
    </w:rPr>
  </w:style>
  <w:style w:type="paragraph" w:customStyle="1" w:styleId="1190">
    <w:name w:val="样式 标题 4常用标题 4 + 段前: 6 磅 段后: 6 磅 行距: 固定值 26 磅"/>
    <w:basedOn w:val="6"/>
    <w:qFormat/>
    <w:uiPriority w:val="0"/>
    <w:pPr>
      <w:tabs>
        <w:tab w:val="left" w:pos="360"/>
        <w:tab w:val="left" w:pos="800"/>
        <w:tab w:val="left" w:pos="1440"/>
      </w:tabs>
      <w:spacing w:before="120" w:after="120" w:line="520" w:lineRule="exact"/>
    </w:pPr>
    <w:rPr>
      <w:rFonts w:ascii="Arial" w:hAnsi="Arial" w:eastAsia="黑体" w:cs="宋体"/>
      <w:b w:val="0"/>
      <w:kern w:val="0"/>
      <w:szCs w:val="20"/>
    </w:rPr>
  </w:style>
  <w:style w:type="paragraph" w:customStyle="1" w:styleId="1191">
    <w:name w:val="内蒙正文"/>
    <w:basedOn w:val="1"/>
    <w:qFormat/>
    <w:uiPriority w:val="99"/>
    <w:pPr>
      <w:autoSpaceDE/>
      <w:autoSpaceDN/>
      <w:spacing w:line="480" w:lineRule="exact"/>
      <w:ind w:firstLine="560" w:firstLineChars="200"/>
      <w:jc w:val="both"/>
    </w:pPr>
    <w:rPr>
      <w:rFonts w:ascii="Times New Roman" w:eastAsia="Times New Roman" w:cs="Times New Roman"/>
      <w:color w:val="FF0000"/>
      <w:spacing w:val="20"/>
      <w:kern w:val="2"/>
      <w:sz w:val="24"/>
      <w:szCs w:val="24"/>
      <w:lang w:val="en-US" w:bidi="ar-SA"/>
    </w:rPr>
  </w:style>
  <w:style w:type="paragraph" w:customStyle="1" w:styleId="1192">
    <w:name w:val="xl70"/>
    <w:basedOn w:val="1"/>
    <w:qFormat/>
    <w:uiPriority w:val="0"/>
    <w:pPr>
      <w:widowControl/>
      <w:pBdr>
        <w:bottom w:val="single" w:color="auto" w:sz="4" w:space="0"/>
      </w:pBdr>
      <w:autoSpaceDE/>
      <w:autoSpaceDN/>
      <w:spacing w:before="100" w:beforeAutospacing="1" w:after="100" w:afterAutospacing="1"/>
      <w:jc w:val="right"/>
    </w:pPr>
    <w:rPr>
      <w:rFonts w:eastAsia="仿宋_GB2312" w:cs="Times New Roman"/>
      <w:position w:val="-6"/>
      <w:sz w:val="24"/>
      <w:szCs w:val="21"/>
      <w:lang w:val="en-US" w:bidi="ar-SA"/>
    </w:rPr>
  </w:style>
  <w:style w:type="paragraph" w:customStyle="1" w:styleId="1193">
    <w:name w:val="样式 表标题3.10 + 段前: 1 行"/>
    <w:basedOn w:val="958"/>
    <w:qFormat/>
    <w:uiPriority w:val="99"/>
    <w:pPr>
      <w:tabs>
        <w:tab w:val="left" w:pos="726"/>
        <w:tab w:val="clear" w:pos="4060"/>
        <w:tab w:val="clear" w:pos="8261"/>
      </w:tabs>
      <w:ind w:left="2" w:firstLine="4"/>
    </w:pPr>
    <w:rPr>
      <w:rFonts w:cs="宋体"/>
      <w:bCs/>
      <w:spacing w:val="0"/>
    </w:rPr>
  </w:style>
  <w:style w:type="paragraph" w:customStyle="1" w:styleId="1194">
    <w:name w:val="码头表"/>
    <w:basedOn w:val="1"/>
    <w:qFormat/>
    <w:uiPriority w:val="99"/>
    <w:pPr>
      <w:autoSpaceDE/>
      <w:autoSpaceDN/>
      <w:jc w:val="center"/>
    </w:pPr>
    <w:rPr>
      <w:rFonts w:cs="Times New Roman"/>
      <w:color w:val="000000"/>
      <w:kern w:val="2"/>
      <w:sz w:val="18"/>
      <w:szCs w:val="24"/>
      <w:lang w:val="en-US" w:bidi="ar-SA"/>
    </w:rPr>
  </w:style>
  <w:style w:type="paragraph" w:customStyle="1" w:styleId="1195">
    <w:name w:val="lyh正文"/>
    <w:basedOn w:val="1"/>
    <w:qFormat/>
    <w:uiPriority w:val="0"/>
    <w:pPr>
      <w:autoSpaceDE/>
      <w:autoSpaceDN/>
      <w:adjustRightInd w:val="0"/>
      <w:snapToGrid w:val="0"/>
      <w:spacing w:line="360" w:lineRule="auto"/>
      <w:ind w:firstLine="200" w:firstLineChars="200"/>
    </w:pPr>
    <w:rPr>
      <w:rFonts w:cs="Times New Roman"/>
      <w:bCs/>
      <w:kern w:val="2"/>
      <w:sz w:val="28"/>
      <w:szCs w:val="32"/>
      <w:lang w:val="en-US" w:bidi="ar-SA"/>
    </w:rPr>
  </w:style>
  <w:style w:type="paragraph" w:customStyle="1" w:styleId="1196">
    <w:name w:val="CM65"/>
    <w:basedOn w:val="101"/>
    <w:next w:val="101"/>
    <w:qFormat/>
    <w:uiPriority w:val="99"/>
    <w:pPr>
      <w:snapToGrid w:val="0"/>
      <w:spacing w:beforeLines="0" w:after="418" w:afterLines="0" w:line="360" w:lineRule="auto"/>
    </w:pPr>
    <w:rPr>
      <w:rFonts w:ascii="Times New Roman" w:cs="Times New Roman"/>
      <w:b w:val="0"/>
      <w:color w:val="auto"/>
      <w:kern w:val="0"/>
      <w:sz w:val="24"/>
      <w:szCs w:val="24"/>
    </w:rPr>
  </w:style>
  <w:style w:type="paragraph" w:customStyle="1" w:styleId="1197">
    <w:name w:val="样式 标题 2 + Times New Roman 小三 居中 行距: 单倍行距"/>
    <w:basedOn w:val="4"/>
    <w:qFormat/>
    <w:uiPriority w:val="99"/>
    <w:pPr>
      <w:keepNext/>
      <w:keepLines/>
      <w:widowControl/>
      <w:autoSpaceDE/>
      <w:autoSpaceDN/>
      <w:spacing w:before="260" w:after="260"/>
      <w:ind w:left="0" w:firstLine="538" w:firstLineChars="192"/>
    </w:pPr>
    <w:rPr>
      <w:rFonts w:ascii="Times New Roman" w:hAnsi="Times New Roman" w:eastAsia="黑体"/>
      <w:b/>
      <w:szCs w:val="20"/>
      <w:lang w:val="en-US" w:bidi="ar-SA"/>
    </w:rPr>
  </w:style>
  <w:style w:type="paragraph" w:customStyle="1" w:styleId="1198">
    <w:name w:val="表格式"/>
    <w:basedOn w:val="59"/>
    <w:qFormat/>
    <w:uiPriority w:val="0"/>
    <w:pPr>
      <w:tabs>
        <w:tab w:val="clear" w:pos="3480"/>
      </w:tabs>
      <w:autoSpaceDE/>
      <w:autoSpaceDN/>
      <w:spacing w:afterLines="50" w:line="200" w:lineRule="exact"/>
    </w:pPr>
    <w:rPr>
      <w:rFonts w:ascii="Times New Roman" w:hAnsi="Times New Roman" w:eastAsia="宋体" w:cs="Times New Roman"/>
      <w:sz w:val="20"/>
      <w:szCs w:val="20"/>
      <w:lang w:val="en-US" w:bidi="ar-SA"/>
    </w:rPr>
  </w:style>
  <w:style w:type="paragraph" w:customStyle="1" w:styleId="1199">
    <w:name w:val="样式 样式 题注 + (西文) 宋体 + 段后: 1 行"/>
    <w:basedOn w:val="1"/>
    <w:qFormat/>
    <w:uiPriority w:val="99"/>
    <w:pPr>
      <w:keepNext/>
      <w:autoSpaceDE/>
      <w:autoSpaceDN/>
      <w:spacing w:line="360" w:lineRule="auto"/>
      <w:ind w:firstLine="200" w:firstLineChars="200"/>
    </w:pPr>
    <w:rPr>
      <w:color w:val="000000"/>
      <w:kern w:val="2"/>
      <w:sz w:val="28"/>
      <w:szCs w:val="20"/>
      <w:lang w:val="en-US" w:bidi="ar-SA"/>
    </w:rPr>
  </w:style>
  <w:style w:type="paragraph" w:customStyle="1" w:styleId="1200">
    <w:name w:val="列表 2G"/>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201">
    <w:name w:val="列表1"/>
    <w:basedOn w:val="34"/>
    <w:qFormat/>
    <w:uiPriority w:val="0"/>
    <w:pPr>
      <w:widowControl/>
      <w:snapToGrid/>
      <w:jc w:val="left"/>
    </w:pPr>
    <w:rPr>
      <w:rFonts w:ascii="Times New Roman"/>
      <w:kern w:val="0"/>
    </w:rPr>
  </w:style>
  <w:style w:type="paragraph" w:customStyle="1" w:styleId="1202">
    <w:name w:val="封面标准文稿编辑信息"/>
    <w:qFormat/>
    <w:uiPriority w:val="99"/>
    <w:pPr>
      <w:spacing w:before="180" w:line="180" w:lineRule="exact"/>
      <w:jc w:val="center"/>
    </w:pPr>
    <w:rPr>
      <w:rFonts w:ascii="宋体" w:hAnsi="Times New Roman" w:eastAsia="宋体" w:cs="Times New Roman"/>
      <w:sz w:val="21"/>
      <w:lang w:val="en-US" w:eastAsia="zh-CN" w:bidi="ar-SA"/>
    </w:rPr>
  </w:style>
  <w:style w:type="paragraph" w:customStyle="1" w:styleId="1203">
    <w:name w:val="CM12"/>
    <w:basedOn w:val="1"/>
    <w:next w:val="1"/>
    <w:qFormat/>
    <w:uiPriority w:val="99"/>
    <w:pPr>
      <w:adjustRightInd w:val="0"/>
      <w:spacing w:line="456" w:lineRule="atLeast"/>
    </w:pPr>
    <w:rPr>
      <w:rFonts w:hAnsi="Times New Roman"/>
      <w:sz w:val="24"/>
      <w:szCs w:val="24"/>
      <w:lang w:val="en-US" w:bidi="ar-SA"/>
    </w:rPr>
  </w:style>
  <w:style w:type="paragraph" w:customStyle="1" w:styleId="1204">
    <w:name w:val="标题样式2"/>
    <w:basedOn w:val="4"/>
    <w:qFormat/>
    <w:uiPriority w:val="99"/>
    <w:pPr>
      <w:tabs>
        <w:tab w:val="left" w:pos="1260"/>
        <w:tab w:val="left" w:pos="4142"/>
        <w:tab w:val="left" w:pos="6833"/>
        <w:tab w:val="left" w:pos="9030"/>
        <w:tab w:val="left" w:pos="9287"/>
      </w:tabs>
      <w:overflowPunct w:val="0"/>
      <w:topLinePunct/>
      <w:adjustRightInd w:val="0"/>
      <w:snapToGrid w:val="0"/>
      <w:spacing w:beforeLines="5" w:afterLines="5" w:line="360" w:lineRule="atLeast"/>
      <w:ind w:left="1260" w:hanging="420"/>
      <w:jc w:val="center"/>
      <w:textAlignment w:val="baseline"/>
      <w:outlineLvl w:val="9"/>
    </w:pPr>
    <w:rPr>
      <w:rFonts w:ascii="Times New Roman" w:hAnsi="Times New Roman" w:cs="Times New Roman"/>
      <w:bCs/>
      <w:sz w:val="24"/>
      <w:szCs w:val="20"/>
      <w:lang w:val="en-US" w:bidi="ar-SA"/>
    </w:rPr>
  </w:style>
  <w:style w:type="paragraph" w:customStyle="1" w:styleId="1205">
    <w:name w:val="T表格"/>
    <w:semiHidden/>
    <w:qFormat/>
    <w:uiPriority w:val="99"/>
    <w:pPr>
      <w:adjustRightInd w:val="0"/>
      <w:snapToGrid w:val="0"/>
      <w:spacing w:line="360" w:lineRule="auto"/>
      <w:jc w:val="center"/>
    </w:pPr>
    <w:rPr>
      <w:rFonts w:ascii="Times New Roman" w:hAnsi="Times New Roman" w:eastAsia="宋体" w:cs="Times New Roman"/>
      <w:color w:val="000000"/>
      <w:sz w:val="21"/>
      <w:lang w:val="en-US" w:eastAsia="zh-CN" w:bidi="ar-SA"/>
    </w:rPr>
  </w:style>
  <w:style w:type="paragraph" w:customStyle="1" w:styleId="1206">
    <w:name w:val="Name"/>
    <w:basedOn w:val="1"/>
    <w:next w:val="1"/>
    <w:qFormat/>
    <w:uiPriority w:val="99"/>
    <w:pPr>
      <w:widowControl/>
      <w:autoSpaceDE/>
      <w:autoSpaceDN/>
      <w:spacing w:after="440" w:line="240" w:lineRule="atLeast"/>
      <w:ind w:left="2160"/>
    </w:pPr>
    <w:rPr>
      <w:rFonts w:ascii="Times New Roman" w:hAnsi="Times New Roman" w:cs="Times New Roman"/>
      <w:spacing w:val="-20"/>
      <w:sz w:val="48"/>
      <w:szCs w:val="20"/>
      <w:lang w:val="en-US" w:bidi="ar-SA"/>
    </w:rPr>
  </w:style>
  <w:style w:type="paragraph" w:customStyle="1" w:styleId="1207">
    <w:name w:val="表16.4-1"/>
    <w:basedOn w:val="1"/>
    <w:qFormat/>
    <w:uiPriority w:val="99"/>
    <w:pPr>
      <w:tabs>
        <w:tab w:val="left" w:pos="726"/>
        <w:tab w:val="center" w:pos="4060"/>
        <w:tab w:val="right" w:pos="8261"/>
      </w:tabs>
      <w:suppressAutoHyphens/>
      <w:autoSpaceDE/>
      <w:autoSpaceDN/>
      <w:adjustRightInd w:val="0"/>
      <w:spacing w:beforeLines="100" w:line="0" w:lineRule="atLeast"/>
      <w:ind w:left="2" w:firstLine="4"/>
      <w:jc w:val="center"/>
    </w:pPr>
    <w:rPr>
      <w:rFonts w:ascii="黑体" w:hAnsi="Times New Roman" w:eastAsia="黑体"/>
      <w:b/>
      <w:bCs/>
      <w:spacing w:val="6"/>
      <w:sz w:val="24"/>
      <w:szCs w:val="20"/>
      <w:lang w:val="en-US" w:bidi="ar-SA"/>
    </w:rPr>
  </w:style>
  <w:style w:type="paragraph" w:customStyle="1" w:styleId="1208">
    <w:name w:val="小表左密"/>
    <w:basedOn w:val="1"/>
    <w:qFormat/>
    <w:uiPriority w:val="99"/>
    <w:pPr>
      <w:keepNext/>
      <w:autoSpaceDE/>
      <w:autoSpaceDN/>
      <w:adjustRightInd w:val="0"/>
      <w:snapToGrid w:val="0"/>
      <w:spacing w:line="240" w:lineRule="atLeast"/>
      <w:jc w:val="both"/>
    </w:pPr>
    <w:rPr>
      <w:rFonts w:cs="Times New Roman"/>
      <w:kern w:val="2"/>
      <w:sz w:val="18"/>
      <w:szCs w:val="18"/>
      <w:lang w:val="en-US" w:bidi="ar-SA"/>
    </w:rPr>
  </w:style>
  <w:style w:type="paragraph" w:customStyle="1" w:styleId="1209">
    <w:name w:val="样式 标题 1 + 黑体 三号"/>
    <w:basedOn w:val="3"/>
    <w:qFormat/>
    <w:uiPriority w:val="99"/>
    <w:pPr>
      <w:keepNext/>
      <w:keepLines/>
      <w:widowControl/>
      <w:topLinePunct/>
      <w:adjustRightInd w:val="0"/>
      <w:snapToGrid w:val="0"/>
      <w:spacing w:before="340" w:after="330"/>
      <w:ind w:left="0" w:firstLine="538" w:firstLineChars="224"/>
      <w:jc w:val="both"/>
    </w:pPr>
    <w:rPr>
      <w:rFonts w:cs="Times New Roman"/>
      <w:b/>
      <w:snapToGrid w:val="0"/>
      <w:kern w:val="44"/>
      <w:sz w:val="32"/>
      <w:lang w:val="en-US" w:bidi="ar-SA"/>
    </w:rPr>
  </w:style>
  <w:style w:type="paragraph" w:customStyle="1" w:styleId="1210">
    <w:name w:val="xl66"/>
    <w:basedOn w:val="1"/>
    <w:qFormat/>
    <w:uiPriority w:val="0"/>
    <w:pPr>
      <w:widowControl/>
      <w:pBdr>
        <w:bottom w:val="single" w:color="auto" w:sz="8" w:space="0"/>
      </w:pBdr>
      <w:autoSpaceDE/>
      <w:autoSpaceDN/>
      <w:spacing w:before="100" w:beforeAutospacing="1" w:after="100" w:afterAutospacing="1"/>
      <w:jc w:val="right"/>
    </w:pPr>
    <w:rPr>
      <w:rFonts w:eastAsia="仿宋_GB2312" w:cs="Times New Roman"/>
      <w:b/>
      <w:bCs/>
      <w:position w:val="-6"/>
      <w:sz w:val="24"/>
      <w:szCs w:val="21"/>
      <w:lang w:val="en-US" w:bidi="ar-SA"/>
    </w:rPr>
  </w:style>
  <w:style w:type="paragraph" w:customStyle="1" w:styleId="1211">
    <w:name w:val="环保篇"/>
    <w:basedOn w:val="1"/>
    <w:qFormat/>
    <w:uiPriority w:val="99"/>
    <w:pPr>
      <w:tabs>
        <w:tab w:val="left" w:pos="360"/>
      </w:tabs>
      <w:autoSpaceDE/>
      <w:autoSpaceDN/>
      <w:adjustRightInd w:val="0"/>
      <w:spacing w:line="360" w:lineRule="auto"/>
      <w:jc w:val="both"/>
      <w:textAlignment w:val="baseline"/>
    </w:pPr>
    <w:rPr>
      <w:rFonts w:ascii="Times New Roman" w:hAnsi="Times New Roman" w:cs="Times New Roman"/>
      <w:kern w:val="2"/>
      <w:sz w:val="28"/>
      <w:szCs w:val="20"/>
      <w:lang w:val="en-US" w:bidi="ar-SA"/>
    </w:rPr>
  </w:style>
  <w:style w:type="paragraph" w:customStyle="1" w:styleId="1212">
    <w:name w:val="表标题5.9"/>
    <w:basedOn w:val="1"/>
    <w:qFormat/>
    <w:uiPriority w:val="99"/>
    <w:pPr>
      <w:tabs>
        <w:tab w:val="left" w:pos="1653"/>
      </w:tabs>
      <w:autoSpaceDE/>
      <w:autoSpaceDN/>
      <w:spacing w:beforeLines="100" w:line="0" w:lineRule="atLeast"/>
      <w:ind w:left="993" w:hanging="420"/>
      <w:jc w:val="both"/>
    </w:pPr>
    <w:rPr>
      <w:rFonts w:ascii="Times New Roman" w:hAnsi="Times New Roman" w:eastAsia="黑体" w:cs="Times New Roman"/>
      <w:b/>
      <w:kern w:val="2"/>
      <w:sz w:val="24"/>
      <w:szCs w:val="24"/>
      <w:lang w:val="en-US" w:bidi="ar-SA"/>
    </w:rPr>
  </w:style>
  <w:style w:type="paragraph" w:customStyle="1" w:styleId="1213">
    <w:name w:val="说明书正文"/>
    <w:basedOn w:val="1"/>
    <w:link w:val="1214"/>
    <w:qFormat/>
    <w:uiPriority w:val="0"/>
    <w:pPr>
      <w:autoSpaceDE/>
      <w:autoSpaceDN/>
      <w:spacing w:line="560" w:lineRule="exact"/>
      <w:ind w:firstLine="200" w:firstLineChars="200"/>
      <w:jc w:val="both"/>
    </w:pPr>
    <w:rPr>
      <w:rFonts w:ascii="Arial Unicode MS" w:hAnsi="Arial Unicode MS" w:eastAsia="幼圆"/>
      <w:kern w:val="2"/>
      <w:sz w:val="24"/>
      <w:szCs w:val="28"/>
      <w:lang w:val="en-US" w:bidi="ar-SA"/>
    </w:rPr>
  </w:style>
  <w:style w:type="character" w:customStyle="1" w:styleId="1214">
    <w:name w:val="说明书正文 Char"/>
    <w:link w:val="1213"/>
    <w:qFormat/>
    <w:uiPriority w:val="0"/>
    <w:rPr>
      <w:rFonts w:ascii="Arial Unicode MS" w:hAnsi="Arial Unicode MS" w:eastAsia="幼圆" w:cs="宋体"/>
      <w:kern w:val="2"/>
      <w:sz w:val="24"/>
      <w:szCs w:val="28"/>
    </w:rPr>
  </w:style>
  <w:style w:type="paragraph" w:customStyle="1" w:styleId="1215">
    <w:name w:val="样式 表格文字居中 + 右侧:  -0.06 字符1"/>
    <w:basedOn w:val="604"/>
    <w:qFormat/>
    <w:uiPriority w:val="99"/>
    <w:pPr>
      <w:keepNext/>
      <w:adjustRightInd/>
      <w:snapToGrid/>
      <w:spacing w:line="0" w:lineRule="atLeast"/>
      <w:ind w:left="-6"/>
    </w:pPr>
    <w:rPr>
      <w:rFonts w:cs="宋体"/>
      <w:kern w:val="2"/>
      <w:sz w:val="18"/>
      <w:szCs w:val="20"/>
    </w:rPr>
  </w:style>
  <w:style w:type="paragraph" w:customStyle="1" w:styleId="1216">
    <w:name w:val="列表 5I"/>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217">
    <w:name w:val="样式 正文首行缩进 + 四号 首行缩进:  2 字符"/>
    <w:basedOn w:val="78"/>
    <w:qFormat/>
    <w:uiPriority w:val="99"/>
    <w:pPr>
      <w:widowControl w:val="0"/>
      <w:tabs>
        <w:tab w:val="left" w:pos="628"/>
        <w:tab w:val="left" w:pos="1727"/>
        <w:tab w:val="left" w:pos="1884"/>
        <w:tab w:val="left" w:pos="4900"/>
      </w:tabs>
      <w:autoSpaceDE w:val="0"/>
      <w:autoSpaceDN w:val="0"/>
      <w:adjustRightInd w:val="0"/>
      <w:snapToGrid w:val="0"/>
      <w:spacing w:after="0" w:line="360" w:lineRule="auto"/>
      <w:ind w:firstLine="0" w:firstLineChars="0"/>
      <w:jc w:val="left"/>
    </w:pPr>
    <w:rPr>
      <w:color w:val="000000"/>
      <w:sz w:val="28"/>
      <w:szCs w:val="28"/>
      <w:lang w:val="zh-CN"/>
    </w:rPr>
  </w:style>
  <w:style w:type="paragraph" w:customStyle="1" w:styleId="1218">
    <w:name w:val="样式 标题 51)项标5标题 5 Char1) Char项 Char一级项 +"/>
    <w:basedOn w:val="7"/>
    <w:qFormat/>
    <w:uiPriority w:val="99"/>
    <w:pPr>
      <w:keepNext w:val="0"/>
      <w:keepLines w:val="0"/>
      <w:tabs>
        <w:tab w:val="left" w:pos="2138"/>
      </w:tabs>
      <w:topLinePunct w:val="0"/>
      <w:adjustRightInd w:val="0"/>
      <w:spacing w:before="0" w:after="0" w:line="360" w:lineRule="auto"/>
      <w:ind w:hanging="992" w:firstLineChars="0"/>
      <w:textAlignment w:val="baseline"/>
    </w:pPr>
    <w:rPr>
      <w:rFonts w:ascii="宋体" w:hAnsi="宋体" w:eastAsia="宋体"/>
      <w:b w:val="0"/>
      <w:bCs w:val="0"/>
      <w:color w:val="000000"/>
    </w:rPr>
  </w:style>
  <w:style w:type="paragraph" w:customStyle="1" w:styleId="1219">
    <w:name w:val="xl32"/>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textAlignment w:val="center"/>
    </w:pPr>
    <w:rPr>
      <w:rFonts w:ascii="Arial Unicode MS" w:hAnsi="Arial Unicode MS" w:eastAsia="Arial Unicode MS" w:cs="Arial Unicode MS"/>
      <w:sz w:val="24"/>
      <w:szCs w:val="20"/>
      <w:lang w:val="en-US" w:bidi="ar-SA"/>
    </w:rPr>
  </w:style>
  <w:style w:type="paragraph" w:customStyle="1" w:styleId="1220">
    <w:name w:val="列表 2D"/>
    <w:basedOn w:val="34"/>
    <w:qFormat/>
    <w:uiPriority w:val="99"/>
    <w:pPr>
      <w:tabs>
        <w:tab w:val="left" w:pos="885"/>
      </w:tabs>
      <w:snapToGrid/>
      <w:spacing w:before="100" w:beforeAutospacing="1" w:after="100" w:afterAutospacing="1" w:line="288" w:lineRule="auto"/>
      <w:ind w:left="885" w:hanging="315"/>
      <w:jc w:val="both"/>
    </w:pPr>
    <w:rPr>
      <w:rFonts w:ascii="Arial" w:hAnsi="Arial"/>
      <w:color w:val="FFFF99"/>
      <w:sz w:val="24"/>
    </w:rPr>
  </w:style>
  <w:style w:type="paragraph" w:customStyle="1" w:styleId="1221">
    <w:name w:val="列表 3L"/>
    <w:basedOn w:val="12"/>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222">
    <w:name w:val="我的标题3"/>
    <w:basedOn w:val="1"/>
    <w:qFormat/>
    <w:uiPriority w:val="99"/>
    <w:pPr>
      <w:autoSpaceDE/>
      <w:autoSpaceDN/>
      <w:jc w:val="both"/>
    </w:pPr>
    <w:rPr>
      <w:rFonts w:ascii="Times New Roman" w:hAnsi="Times New Roman" w:cs="Times New Roman"/>
      <w:b/>
      <w:kern w:val="2"/>
      <w:sz w:val="28"/>
      <w:szCs w:val="24"/>
      <w:lang w:val="en-US" w:bidi="ar-SA"/>
    </w:rPr>
  </w:style>
  <w:style w:type="paragraph" w:customStyle="1" w:styleId="1223">
    <w:name w:val="Char Char Char1 Char12"/>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1224">
    <w:name w:val="xl46"/>
    <w:basedOn w:val="1"/>
    <w:qFormat/>
    <w:uiPriority w:val="0"/>
    <w:pPr>
      <w:widowControl/>
      <w:pBdr>
        <w:top w:val="single" w:color="auto" w:sz="4" w:space="0"/>
        <w:left w:val="single" w:color="auto" w:sz="4" w:space="0"/>
        <w:bottom w:val="single" w:color="auto" w:sz="8" w:space="0"/>
        <w:right w:val="single" w:color="auto" w:sz="4" w:space="0"/>
      </w:pBdr>
      <w:autoSpaceDE/>
      <w:autoSpaceDN/>
      <w:spacing w:before="100" w:beforeAutospacing="1" w:after="100" w:afterAutospacing="1"/>
      <w:jc w:val="center"/>
      <w:textAlignment w:val="center"/>
    </w:pPr>
    <w:rPr>
      <w:rFonts w:ascii="Arial Unicode MS" w:hAnsi="Arial Unicode MS" w:eastAsia="Arial Unicode MS" w:cs="Arial Unicode MS"/>
      <w:b/>
      <w:bCs/>
      <w:sz w:val="24"/>
      <w:szCs w:val="20"/>
      <w:lang w:val="en-US" w:bidi="ar-SA"/>
    </w:rPr>
  </w:style>
  <w:style w:type="paragraph" w:customStyle="1" w:styleId="1225">
    <w:name w:val="101"/>
    <w:basedOn w:val="1"/>
    <w:qFormat/>
    <w:uiPriority w:val="99"/>
    <w:pPr>
      <w:widowControl/>
      <w:autoSpaceDE/>
      <w:autoSpaceDN/>
      <w:spacing w:before="100" w:beforeAutospacing="1" w:after="100" w:afterAutospacing="1"/>
    </w:pPr>
    <w:rPr>
      <w:rFonts w:ascii="Arial Unicode MS" w:hAnsi="Arial Unicode MS" w:eastAsia="Arial Unicode MS" w:cs="Arial Unicode MS"/>
      <w:sz w:val="24"/>
      <w:szCs w:val="24"/>
      <w:lang w:val="en-US" w:bidi="ar-SA"/>
    </w:rPr>
  </w:style>
  <w:style w:type="paragraph" w:customStyle="1" w:styleId="1226">
    <w:name w:val="表内5中"/>
    <w:basedOn w:val="1"/>
    <w:qFormat/>
    <w:uiPriority w:val="99"/>
    <w:pPr>
      <w:autoSpaceDE/>
      <w:autoSpaceDN/>
      <w:jc w:val="center"/>
    </w:pPr>
    <w:rPr>
      <w:rFonts w:hAnsi="Times New Roman" w:cs="Times New Roman"/>
      <w:kern w:val="2"/>
      <w:sz w:val="21"/>
      <w:szCs w:val="21"/>
      <w:lang w:val="en-US" w:bidi="ar-SA"/>
    </w:rPr>
  </w:style>
  <w:style w:type="paragraph" w:customStyle="1" w:styleId="1227">
    <w:name w:val="样式 仿宋_GB2312 四号 行距: 1.5 倍行距 首行缩进:  2 字符"/>
    <w:basedOn w:val="1"/>
    <w:qFormat/>
    <w:uiPriority w:val="0"/>
    <w:pPr>
      <w:autoSpaceDE/>
      <w:autoSpaceDN/>
      <w:spacing w:line="360" w:lineRule="auto"/>
      <w:ind w:firstLine="560" w:firstLineChars="200"/>
      <w:jc w:val="both"/>
    </w:pPr>
    <w:rPr>
      <w:rFonts w:ascii="仿宋_GB2312" w:hAnsi="Times New Roman" w:eastAsia="仿宋_GB2312" w:cs="Times New Roman"/>
      <w:kern w:val="2"/>
      <w:sz w:val="28"/>
      <w:szCs w:val="20"/>
      <w:lang w:val="en-US" w:bidi="ar-SA"/>
    </w:rPr>
  </w:style>
  <w:style w:type="paragraph" w:customStyle="1" w:styleId="1228">
    <w:name w:val="列表 2B"/>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229">
    <w:name w:val="样式 表标题5.12 + 居中 段前: 1 行"/>
    <w:basedOn w:val="857"/>
    <w:qFormat/>
    <w:uiPriority w:val="99"/>
    <w:pPr>
      <w:tabs>
        <w:tab w:val="left" w:pos="726"/>
        <w:tab w:val="clear" w:pos="4060"/>
        <w:tab w:val="clear" w:pos="8261"/>
      </w:tabs>
      <w:spacing w:beforeLines="0"/>
      <w:ind w:left="2" w:firstLine="4"/>
      <w:jc w:val="center"/>
    </w:pPr>
    <w:rPr>
      <w:rFonts w:cs="宋体"/>
      <w:bCs/>
      <w:szCs w:val="20"/>
    </w:rPr>
  </w:style>
  <w:style w:type="paragraph" w:customStyle="1" w:styleId="1230">
    <w:name w:val="xl63"/>
    <w:basedOn w:val="1"/>
    <w:qFormat/>
    <w:uiPriority w:val="0"/>
    <w:pPr>
      <w:widowControl/>
      <w:pBdr>
        <w:left w:val="single" w:color="auto" w:sz="4" w:space="0"/>
        <w:bottom w:val="single" w:color="auto" w:sz="8" w:space="0"/>
      </w:pBdr>
      <w:autoSpaceDE/>
      <w:autoSpaceDN/>
      <w:spacing w:before="100" w:beforeAutospacing="1" w:after="100" w:afterAutospacing="1"/>
      <w:jc w:val="center"/>
    </w:pPr>
    <w:rPr>
      <w:rFonts w:eastAsia="仿宋_GB2312" w:cs="Times New Roman"/>
      <w:b/>
      <w:bCs/>
      <w:position w:val="-6"/>
      <w:sz w:val="24"/>
      <w:szCs w:val="24"/>
      <w:lang w:val="en-US" w:bidi="ar-SA"/>
    </w:rPr>
  </w:style>
  <w:style w:type="paragraph" w:customStyle="1" w:styleId="1231">
    <w:name w:val="Char Char Char Char Char Char Char Char Char Char Char Char1 Char Char Char Char Char Char Char Char Char Char Char Char1 Char1"/>
    <w:basedOn w:val="1"/>
    <w:next w:val="1"/>
    <w:qFormat/>
    <w:uiPriority w:val="99"/>
    <w:pPr>
      <w:autoSpaceDE/>
      <w:autoSpaceDN/>
      <w:spacing w:line="336" w:lineRule="auto"/>
      <w:ind w:firstLine="200" w:firstLineChars="200"/>
      <w:jc w:val="both"/>
    </w:pPr>
    <w:rPr>
      <w:rFonts w:eastAsia="汉鼎简书宋"/>
      <w:kern w:val="2"/>
      <w:sz w:val="24"/>
      <w:szCs w:val="24"/>
      <w:lang w:val="en-US" w:bidi="ar-SA"/>
    </w:rPr>
  </w:style>
  <w:style w:type="paragraph" w:customStyle="1" w:styleId="1232">
    <w:name w:val="Company Name One"/>
    <w:basedOn w:val="1124"/>
    <w:next w:val="1"/>
    <w:qFormat/>
    <w:uiPriority w:val="99"/>
  </w:style>
  <w:style w:type="paragraph" w:customStyle="1" w:styleId="1233">
    <w:name w:val="材料正文"/>
    <w:basedOn w:val="1"/>
    <w:link w:val="1234"/>
    <w:qFormat/>
    <w:uiPriority w:val="0"/>
    <w:pPr>
      <w:autoSpaceDE/>
      <w:autoSpaceDN/>
      <w:adjustRightInd w:val="0"/>
      <w:snapToGrid w:val="0"/>
      <w:spacing w:line="480" w:lineRule="exact"/>
      <w:ind w:firstLine="480" w:firstLineChars="200"/>
      <w:jc w:val="both"/>
    </w:pPr>
    <w:rPr>
      <w:rFonts w:ascii="Times New Roman" w:hAnsi="Times New Roman" w:eastAsia="方正仿宋简体"/>
      <w:kern w:val="2"/>
      <w:sz w:val="24"/>
      <w:szCs w:val="20"/>
      <w:lang w:val="en-US" w:bidi="ar-SA"/>
    </w:rPr>
  </w:style>
  <w:style w:type="character" w:customStyle="1" w:styleId="1234">
    <w:name w:val="材料正文 Char"/>
    <w:link w:val="1233"/>
    <w:qFormat/>
    <w:uiPriority w:val="0"/>
    <w:rPr>
      <w:rFonts w:eastAsia="方正仿宋简体" w:cs="宋体"/>
      <w:kern w:val="2"/>
      <w:sz w:val="24"/>
    </w:rPr>
  </w:style>
  <w:style w:type="paragraph" w:customStyle="1" w:styleId="1235">
    <w:name w:val="列表 4N"/>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236">
    <w:name w:val="正文样式一"/>
    <w:basedOn w:val="1"/>
    <w:qFormat/>
    <w:uiPriority w:val="99"/>
    <w:pPr>
      <w:autoSpaceDE/>
      <w:autoSpaceDN/>
      <w:adjustRightInd w:val="0"/>
      <w:spacing w:line="400" w:lineRule="atLeast"/>
      <w:ind w:firstLine="510"/>
      <w:jc w:val="both"/>
      <w:textAlignment w:val="baseline"/>
    </w:pPr>
    <w:rPr>
      <w:rFonts w:ascii="Times New Roman" w:hAnsi="Times New Roman" w:cs="Times New Roman"/>
      <w:sz w:val="24"/>
      <w:szCs w:val="20"/>
      <w:lang w:val="en-US" w:bidi="ar-SA"/>
    </w:rPr>
  </w:style>
  <w:style w:type="paragraph" w:customStyle="1" w:styleId="1237">
    <w:name w:val="样式 样式 样式 标题 3条标题头标题3H3h33rd level第二层条标题 3 Char小标题小节标题标题 3 C...3 ..."/>
    <w:basedOn w:val="294"/>
    <w:qFormat/>
    <w:uiPriority w:val="0"/>
    <w:rPr>
      <w:color w:val="000000"/>
    </w:rPr>
  </w:style>
  <w:style w:type="paragraph" w:customStyle="1" w:styleId="1238">
    <w:name w:val="条文1"/>
    <w:basedOn w:val="1"/>
    <w:qFormat/>
    <w:uiPriority w:val="99"/>
    <w:pPr>
      <w:adjustRightInd w:val="0"/>
      <w:spacing w:line="460" w:lineRule="exact"/>
      <w:ind w:left="907" w:hanging="425"/>
      <w:textAlignment w:val="baseline"/>
    </w:pPr>
    <w:rPr>
      <w:rFonts w:hAnsi="Times New Roman" w:cs="Times New Roman"/>
      <w:spacing w:val="3"/>
      <w:kern w:val="24"/>
      <w:sz w:val="26"/>
      <w:szCs w:val="20"/>
      <w:lang w:val="en-US" w:bidi="ar-SA"/>
    </w:rPr>
  </w:style>
  <w:style w:type="paragraph" w:customStyle="1" w:styleId="1239">
    <w:name w:val="font10"/>
    <w:basedOn w:val="1"/>
    <w:qFormat/>
    <w:uiPriority w:val="0"/>
    <w:pPr>
      <w:widowControl/>
      <w:autoSpaceDE/>
      <w:autoSpaceDN/>
      <w:spacing w:before="100" w:beforeAutospacing="1" w:after="100" w:afterAutospacing="1"/>
    </w:pPr>
    <w:rPr>
      <w:rFonts w:hint="eastAsia" w:cs="Arial Unicode MS"/>
      <w:b/>
      <w:bCs/>
      <w:sz w:val="36"/>
      <w:szCs w:val="36"/>
      <w:lang w:val="en-US" w:bidi="ar-SA"/>
    </w:rPr>
  </w:style>
  <w:style w:type="paragraph" w:customStyle="1" w:styleId="1240">
    <w:name w:val="Char Char Char1 Char1 Char Char Char2"/>
    <w:basedOn w:val="1"/>
    <w:qFormat/>
    <w:uiPriority w:val="99"/>
    <w:pPr>
      <w:autoSpaceDE/>
      <w:autoSpaceDN/>
      <w:jc w:val="both"/>
    </w:pPr>
    <w:rPr>
      <w:rFonts w:ascii="Times New Roman" w:hAnsi="Times New Roman" w:cs="Times New Roman"/>
      <w:kern w:val="2"/>
      <w:sz w:val="21"/>
      <w:szCs w:val="24"/>
      <w:lang w:val="en-US" w:bidi="ar-SA"/>
    </w:rPr>
  </w:style>
  <w:style w:type="paragraph" w:customStyle="1" w:styleId="1241">
    <w:name w:val="SCIDI正文"/>
    <w:basedOn w:val="1"/>
    <w:qFormat/>
    <w:uiPriority w:val="99"/>
    <w:pPr>
      <w:autoSpaceDE/>
      <w:autoSpaceDN/>
      <w:adjustRightInd w:val="0"/>
      <w:snapToGrid w:val="0"/>
      <w:spacing w:line="360" w:lineRule="auto"/>
      <w:ind w:firstLine="560" w:firstLineChars="200"/>
      <w:jc w:val="both"/>
    </w:pPr>
    <w:rPr>
      <w:rFonts w:ascii="Times New Roman" w:hAnsi="Times New Roman" w:eastAsia="仿宋_GB2312" w:cs="Times New Roman"/>
      <w:kern w:val="2"/>
      <w:sz w:val="28"/>
      <w:szCs w:val="20"/>
      <w:lang w:val="en-US" w:bidi="ar-SA"/>
    </w:rPr>
  </w:style>
  <w:style w:type="paragraph" w:customStyle="1" w:styleId="1242">
    <w:name w:val="标题10"/>
    <w:basedOn w:val="1"/>
    <w:next w:val="1"/>
    <w:qFormat/>
    <w:uiPriority w:val="0"/>
    <w:pPr>
      <w:tabs>
        <w:tab w:val="left" w:pos="360"/>
      </w:tabs>
      <w:autoSpaceDE/>
      <w:autoSpaceDN/>
      <w:snapToGrid w:val="0"/>
      <w:spacing w:before="120" w:after="120"/>
      <w:jc w:val="both"/>
    </w:pPr>
    <w:rPr>
      <w:rFonts w:ascii="Times New Roman" w:hAnsi="Times New Roman" w:eastAsia="楷体_GB2312" w:cs="Times New Roman"/>
      <w:b/>
      <w:bCs/>
      <w:kern w:val="2"/>
      <w:sz w:val="30"/>
      <w:szCs w:val="30"/>
      <w:lang w:val="en-US" w:bidi="ar-SA"/>
    </w:rPr>
  </w:style>
  <w:style w:type="paragraph" w:customStyle="1" w:styleId="1243">
    <w:name w:val="列表 3A"/>
    <w:basedOn w:val="12"/>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244">
    <w:name w:val="表标题4.5"/>
    <w:basedOn w:val="1"/>
    <w:qFormat/>
    <w:uiPriority w:val="99"/>
    <w:pPr>
      <w:tabs>
        <w:tab w:val="center" w:pos="4060"/>
        <w:tab w:val="right" w:pos="8261"/>
      </w:tabs>
      <w:suppressAutoHyphens/>
      <w:autoSpaceDE/>
      <w:autoSpaceDN/>
      <w:adjustRightInd w:val="0"/>
      <w:spacing w:before="240" w:line="0" w:lineRule="atLeast"/>
      <w:jc w:val="both"/>
    </w:pPr>
    <w:rPr>
      <w:rFonts w:ascii="黑体" w:hAnsi="Times New Roman" w:eastAsia="黑体" w:cs="Times New Roman"/>
      <w:b/>
      <w:spacing w:val="6"/>
      <w:sz w:val="26"/>
      <w:szCs w:val="26"/>
      <w:lang w:val="en-US" w:bidi="ar-SA"/>
    </w:rPr>
  </w:style>
  <w:style w:type="paragraph" w:customStyle="1" w:styleId="1245">
    <w:name w:val="列表D"/>
    <w:basedOn w:val="59"/>
    <w:qFormat/>
    <w:uiPriority w:val="99"/>
    <w:pPr>
      <w:tabs>
        <w:tab w:val="left" w:pos="425"/>
        <w:tab w:val="clear" w:pos="3480"/>
      </w:tabs>
      <w:autoSpaceDE/>
      <w:autoSpaceDN/>
      <w:spacing w:beforeLines="100" w:afterLines="50" w:line="288" w:lineRule="auto"/>
      <w:ind w:left="425" w:hanging="425"/>
      <w:jc w:val="both"/>
    </w:pPr>
    <w:rPr>
      <w:rFonts w:ascii="Arial" w:hAnsi="Arial" w:eastAsia="宋体" w:cs="Times New Roman"/>
      <w:b/>
      <w:bCs/>
      <w:color w:val="FF99CC"/>
      <w:sz w:val="24"/>
      <w:szCs w:val="20"/>
      <w:lang w:val="en-US" w:bidi="ar-SA"/>
    </w:rPr>
  </w:style>
  <w:style w:type="paragraph" w:customStyle="1" w:styleId="1246">
    <w:name w:val="font16"/>
    <w:basedOn w:val="1"/>
    <w:qFormat/>
    <w:uiPriority w:val="99"/>
    <w:pPr>
      <w:widowControl/>
      <w:autoSpaceDE/>
      <w:autoSpaceDN/>
      <w:spacing w:before="100" w:beforeAutospacing="1" w:after="100" w:afterAutospacing="1"/>
    </w:pPr>
    <w:rPr>
      <w:rFonts w:hint="eastAsia" w:cs="Arial Unicode MS"/>
      <w:sz w:val="20"/>
      <w:szCs w:val="20"/>
      <w:u w:val="single"/>
      <w:lang w:val="en-US" w:bidi="ar-SA"/>
    </w:rPr>
  </w:style>
  <w:style w:type="paragraph" w:customStyle="1" w:styleId="1247">
    <w:name w:val="样式 表标题4.5 + 居中"/>
    <w:basedOn w:val="1244"/>
    <w:qFormat/>
    <w:uiPriority w:val="99"/>
    <w:pPr>
      <w:tabs>
        <w:tab w:val="left" w:pos="726"/>
        <w:tab w:val="clear" w:pos="4060"/>
        <w:tab w:val="clear" w:pos="8261"/>
      </w:tabs>
      <w:ind w:left="2" w:firstLine="4"/>
      <w:jc w:val="center"/>
    </w:pPr>
    <w:rPr>
      <w:rFonts w:cs="宋体"/>
      <w:bCs/>
      <w:szCs w:val="20"/>
    </w:rPr>
  </w:style>
  <w:style w:type="paragraph" w:customStyle="1" w:styleId="1248">
    <w:name w:val="Char Char Char1"/>
    <w:basedOn w:val="1"/>
    <w:qFormat/>
    <w:uiPriority w:val="0"/>
    <w:pPr>
      <w:autoSpaceDE/>
      <w:autoSpaceDN/>
      <w:spacing w:beforeLines="100"/>
      <w:jc w:val="both"/>
    </w:pPr>
    <w:rPr>
      <w:rFonts w:ascii="Times New Roman" w:hAnsi="Times New Roman" w:cs="Times New Roman"/>
      <w:kern w:val="2"/>
      <w:sz w:val="21"/>
      <w:szCs w:val="24"/>
      <w:lang w:val="en-US" w:bidi="ar-SA"/>
    </w:rPr>
  </w:style>
  <w:style w:type="paragraph" w:customStyle="1" w:styleId="1249">
    <w:name w:val="标标题13.1"/>
    <w:basedOn w:val="1"/>
    <w:qFormat/>
    <w:uiPriority w:val="99"/>
    <w:pPr>
      <w:tabs>
        <w:tab w:val="left" w:pos="726"/>
        <w:tab w:val="center" w:pos="4060"/>
        <w:tab w:val="right" w:pos="8261"/>
      </w:tabs>
      <w:suppressAutoHyphens/>
      <w:autoSpaceDE/>
      <w:autoSpaceDN/>
      <w:adjustRightInd w:val="0"/>
      <w:spacing w:before="240" w:line="0" w:lineRule="atLeast"/>
      <w:ind w:left="2" w:firstLine="4"/>
      <w:jc w:val="center"/>
    </w:pPr>
    <w:rPr>
      <w:rFonts w:ascii="黑体" w:hAnsi="Times New Roman" w:eastAsia="黑体" w:cs="Times New Roman"/>
      <w:b/>
      <w:spacing w:val="6"/>
      <w:sz w:val="24"/>
      <w:szCs w:val="24"/>
      <w:lang w:val="en-US" w:bidi="ar-SA"/>
    </w:rPr>
  </w:style>
  <w:style w:type="paragraph" w:customStyle="1" w:styleId="1250">
    <w:name w:val="图片"/>
    <w:basedOn w:val="1"/>
    <w:next w:val="1"/>
    <w:qFormat/>
    <w:uiPriority w:val="0"/>
    <w:pPr>
      <w:keepNext/>
      <w:widowControl/>
      <w:autoSpaceDE/>
      <w:autoSpaceDN/>
      <w:spacing w:line="360" w:lineRule="auto"/>
      <w:jc w:val="center"/>
    </w:pPr>
    <w:rPr>
      <w:rFonts w:ascii="Times New Roman" w:hAnsi="Times New Roman" w:eastAsia="仿宋_GB2312" w:cs="Times New Roman"/>
      <w:b/>
      <w:bCs/>
      <w:color w:val="000000"/>
      <w:kern w:val="2"/>
      <w:sz w:val="24"/>
      <w:szCs w:val="20"/>
      <w:lang w:bidi="ar-SA"/>
    </w:rPr>
  </w:style>
  <w:style w:type="paragraph" w:customStyle="1" w:styleId="1251">
    <w:name w:val="列表 4X"/>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252">
    <w:name w:val="xl34"/>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right"/>
      <w:textAlignment w:val="center"/>
    </w:pPr>
    <w:rPr>
      <w:rFonts w:ascii="Arial Unicode MS" w:hAnsi="Arial Unicode MS" w:eastAsia="Arial Unicode MS" w:cs="Arial Unicode MS"/>
      <w:sz w:val="24"/>
      <w:szCs w:val="20"/>
      <w:lang w:val="en-US" w:bidi="ar-SA"/>
    </w:rPr>
  </w:style>
  <w:style w:type="paragraph" w:customStyle="1" w:styleId="1253">
    <w:name w:val="列表 5O"/>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254">
    <w:name w:val="样式 正文文字 + 左 首行缩进:  2 字符 行距: 1.5 倍行距"/>
    <w:basedOn w:val="31"/>
    <w:qFormat/>
    <w:uiPriority w:val="99"/>
    <w:pPr>
      <w:autoSpaceDE/>
      <w:autoSpaceDN/>
      <w:spacing w:line="360" w:lineRule="auto"/>
      <w:ind w:firstLine="560" w:firstLineChars="200"/>
    </w:pPr>
    <w:rPr>
      <w:rFonts w:ascii="Times New Roman" w:hAnsi="Times New Roman" w:cs="Times New Roman"/>
      <w:sz w:val="24"/>
      <w:szCs w:val="24"/>
      <w:lang w:val="en-US" w:bidi="ar-SA"/>
    </w:rPr>
  </w:style>
  <w:style w:type="paragraph" w:customStyle="1" w:styleId="1255">
    <w:name w:val="Char1 Char Char Char Char Char Char2 Char Char Char Char Char Char Char Char Char Char Char Char Char Char Char Char Char Char"/>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1256">
    <w:name w:val="样式 燕山正文 + 首行缩进:  3.5 字符"/>
    <w:basedOn w:val="801"/>
    <w:qFormat/>
    <w:uiPriority w:val="99"/>
    <w:pPr>
      <w:shd w:val="clear" w:color="auto" w:fill="auto"/>
      <w:jc w:val="both"/>
    </w:pPr>
    <w:rPr>
      <w:color w:val="000000"/>
      <w:szCs w:val="20"/>
    </w:rPr>
  </w:style>
  <w:style w:type="paragraph" w:customStyle="1" w:styleId="1257">
    <w:name w:val="正文首行缩进2"/>
    <w:basedOn w:val="31"/>
    <w:qFormat/>
    <w:uiPriority w:val="0"/>
    <w:pPr>
      <w:autoSpaceDE/>
      <w:autoSpaceDN/>
      <w:adjustRightInd w:val="0"/>
      <w:spacing w:line="312" w:lineRule="auto"/>
      <w:ind w:firstLine="567"/>
      <w:jc w:val="both"/>
      <w:textAlignment w:val="baseline"/>
    </w:pPr>
    <w:rPr>
      <w:rFonts w:ascii="Times New Roman" w:hAnsi="Times New Roman" w:cs="Times New Roman"/>
      <w:szCs w:val="24"/>
      <w:lang w:val="en-US" w:bidi="ar-SA"/>
    </w:rPr>
  </w:style>
  <w:style w:type="paragraph" w:customStyle="1" w:styleId="1258">
    <w:name w:val="表标题2.1"/>
    <w:basedOn w:val="839"/>
    <w:qFormat/>
    <w:uiPriority w:val="99"/>
    <w:pPr>
      <w:tabs>
        <w:tab w:val="left" w:pos="3060"/>
        <w:tab w:val="clear" w:pos="8207"/>
      </w:tabs>
      <w:ind w:left="2400" w:hanging="420"/>
    </w:pPr>
  </w:style>
  <w:style w:type="paragraph" w:customStyle="1" w:styleId="1259">
    <w:name w:val="表标题5.3"/>
    <w:basedOn w:val="1"/>
    <w:qFormat/>
    <w:uiPriority w:val="99"/>
    <w:pPr>
      <w:tabs>
        <w:tab w:val="left" w:pos="726"/>
      </w:tabs>
      <w:autoSpaceDE/>
      <w:autoSpaceDN/>
      <w:spacing w:beforeLines="100" w:line="0" w:lineRule="atLeast"/>
      <w:ind w:left="2" w:firstLine="4"/>
      <w:jc w:val="both"/>
    </w:pPr>
    <w:rPr>
      <w:rFonts w:ascii="Times New Roman" w:hAnsi="Times New Roman" w:eastAsia="黑体" w:cs="Times New Roman"/>
      <w:b/>
      <w:kern w:val="2"/>
      <w:sz w:val="24"/>
      <w:szCs w:val="24"/>
      <w:lang w:val="en-US" w:bidi="ar-SA"/>
    </w:rPr>
  </w:style>
  <w:style w:type="paragraph" w:customStyle="1" w:styleId="1260">
    <w:name w:val="样式1"/>
    <w:basedOn w:val="1"/>
    <w:qFormat/>
    <w:uiPriority w:val="0"/>
    <w:pPr>
      <w:autoSpaceDE/>
      <w:autoSpaceDN/>
      <w:spacing w:line="560" w:lineRule="exact"/>
      <w:ind w:firstLine="567"/>
      <w:jc w:val="both"/>
    </w:pPr>
    <w:rPr>
      <w:rFonts w:ascii="Times New Roman" w:hAnsi="Times New Roman" w:cs="Times New Roman"/>
      <w:kern w:val="2"/>
      <w:sz w:val="24"/>
      <w:szCs w:val="20"/>
      <w:lang w:val="en-US" w:bidi="ar-SA"/>
    </w:rPr>
  </w:style>
  <w:style w:type="paragraph" w:customStyle="1" w:styleId="1261">
    <w:name w:val="标题 3，第三标题"/>
    <w:basedOn w:val="1"/>
    <w:qFormat/>
    <w:uiPriority w:val="99"/>
    <w:pPr>
      <w:tabs>
        <w:tab w:val="left" w:pos="628"/>
        <w:tab w:val="left" w:pos="1727"/>
        <w:tab w:val="left" w:pos="1840"/>
        <w:tab w:val="left" w:pos="1884"/>
        <w:tab w:val="left" w:pos="2520"/>
        <w:tab w:val="left" w:pos="2660"/>
        <w:tab w:val="left" w:pos="5460"/>
      </w:tabs>
      <w:autoSpaceDE/>
      <w:autoSpaceDN/>
      <w:snapToGrid w:val="0"/>
      <w:spacing w:beforeLines="50" w:afterLines="50" w:line="440" w:lineRule="exact"/>
      <w:ind w:left="1840" w:hanging="720"/>
      <w:outlineLvl w:val="2"/>
    </w:pPr>
    <w:rPr>
      <w:rFonts w:ascii="Times New Roman" w:hAnsi="Times New Roman" w:eastAsia="黑体"/>
      <w:kern w:val="2"/>
      <w:sz w:val="24"/>
      <w:szCs w:val="20"/>
      <w:lang w:val="en-US" w:bidi="ar-SA"/>
    </w:rPr>
  </w:style>
  <w:style w:type="paragraph" w:customStyle="1" w:styleId="1262">
    <w:name w:val="报告表格"/>
    <w:basedOn w:val="1"/>
    <w:qFormat/>
    <w:uiPriority w:val="99"/>
    <w:pPr>
      <w:adjustRightInd w:val="0"/>
      <w:spacing w:before="40" w:after="40"/>
      <w:jc w:val="center"/>
      <w:textAlignment w:val="bottom"/>
    </w:pPr>
    <w:rPr>
      <w:rFonts w:ascii="Times New Roman" w:hAnsi="Times New Roman" w:cs="Times New Roman"/>
      <w:sz w:val="21"/>
      <w:szCs w:val="20"/>
      <w:lang w:val="en-US" w:bidi="ar-SA"/>
    </w:rPr>
  </w:style>
  <w:style w:type="paragraph" w:customStyle="1" w:styleId="1263">
    <w:name w:val="段"/>
    <w:semiHidden/>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264">
    <w:name w:val="1正文段落"/>
    <w:basedOn w:val="1"/>
    <w:qFormat/>
    <w:uiPriority w:val="99"/>
    <w:pPr>
      <w:autoSpaceDE/>
      <w:autoSpaceDN/>
      <w:spacing w:line="360" w:lineRule="auto"/>
      <w:ind w:firstLine="200" w:firstLineChars="200"/>
    </w:pPr>
    <w:rPr>
      <w:rFonts w:ascii="Times New Roman" w:hAnsi="Times New Roman" w:cs="Times New Roman"/>
      <w:snapToGrid w:val="0"/>
      <w:sz w:val="24"/>
      <w:szCs w:val="24"/>
      <w:lang w:val="en-US" w:bidi="ar-SA"/>
    </w:rPr>
  </w:style>
  <w:style w:type="paragraph" w:customStyle="1" w:styleId="1265">
    <w:name w:val="表标题4.9"/>
    <w:basedOn w:val="1"/>
    <w:qFormat/>
    <w:uiPriority w:val="99"/>
    <w:pPr>
      <w:tabs>
        <w:tab w:val="center" w:pos="4060"/>
        <w:tab w:val="right" w:pos="8261"/>
      </w:tabs>
      <w:suppressAutoHyphens/>
      <w:autoSpaceDE/>
      <w:autoSpaceDN/>
      <w:adjustRightInd w:val="0"/>
      <w:spacing w:before="240" w:line="0" w:lineRule="atLeast"/>
      <w:jc w:val="both"/>
    </w:pPr>
    <w:rPr>
      <w:rFonts w:ascii="黑体" w:hAnsi="Times New Roman" w:eastAsia="黑体" w:cs="Times New Roman"/>
      <w:b/>
      <w:spacing w:val="6"/>
      <w:sz w:val="26"/>
      <w:szCs w:val="26"/>
      <w:lang w:val="en-US" w:bidi="ar-SA"/>
    </w:rPr>
  </w:style>
  <w:style w:type="paragraph" w:customStyle="1" w:styleId="1266">
    <w:name w:val="样式 表格文字居中 + 段前: 自动 行距: 单倍行距"/>
    <w:basedOn w:val="1"/>
    <w:qFormat/>
    <w:uiPriority w:val="99"/>
    <w:pPr>
      <w:tabs>
        <w:tab w:val="left" w:pos="0"/>
        <w:tab w:val="left" w:pos="628"/>
        <w:tab w:val="left" w:pos="700"/>
        <w:tab w:val="left" w:pos="1400"/>
        <w:tab w:val="left" w:pos="1884"/>
      </w:tabs>
      <w:autoSpaceDE/>
      <w:autoSpaceDN/>
      <w:adjustRightInd w:val="0"/>
      <w:snapToGrid w:val="0"/>
    </w:pPr>
    <w:rPr>
      <w:kern w:val="2"/>
      <w:sz w:val="21"/>
      <w:szCs w:val="28"/>
      <w:lang w:val="en-US" w:bidi="ar-SA"/>
    </w:rPr>
  </w:style>
  <w:style w:type="paragraph" w:customStyle="1" w:styleId="1267">
    <w:name w:val="德胜三级标题"/>
    <w:basedOn w:val="1"/>
    <w:qFormat/>
    <w:uiPriority w:val="99"/>
    <w:pPr>
      <w:keepNext/>
      <w:keepLines/>
      <w:autoSpaceDE/>
      <w:autoSpaceDN/>
      <w:adjustRightInd w:val="0"/>
      <w:snapToGrid w:val="0"/>
      <w:spacing w:line="360" w:lineRule="auto"/>
      <w:outlineLvl w:val="2"/>
    </w:pPr>
    <w:rPr>
      <w:rFonts w:ascii="Times New Roman" w:hAnsi="Times New Roman" w:cs="Times New Roman"/>
      <w:b/>
      <w:bCs/>
      <w:snapToGrid w:val="0"/>
      <w:color w:val="0000FF"/>
      <w:sz w:val="24"/>
      <w:szCs w:val="24"/>
      <w:lang w:val="en-US" w:bidi="ar-SA"/>
    </w:rPr>
  </w:style>
  <w:style w:type="paragraph" w:customStyle="1" w:styleId="1268">
    <w:name w:val="font6"/>
    <w:basedOn w:val="1"/>
    <w:qFormat/>
    <w:uiPriority w:val="0"/>
    <w:pPr>
      <w:widowControl/>
      <w:autoSpaceDE/>
      <w:autoSpaceDN/>
      <w:spacing w:before="100" w:beforeAutospacing="1" w:after="100" w:afterAutospacing="1"/>
    </w:pPr>
    <w:rPr>
      <w:rFonts w:hint="eastAsia" w:cs="Arial Unicode MS"/>
      <w:b/>
      <w:bCs/>
      <w:sz w:val="32"/>
      <w:szCs w:val="32"/>
      <w:lang w:val="en-US" w:bidi="ar-SA"/>
    </w:rPr>
  </w:style>
  <w:style w:type="paragraph" w:customStyle="1" w:styleId="1269">
    <w:name w:val="xl24"/>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textAlignment w:val="center"/>
    </w:pPr>
    <w:rPr>
      <w:rFonts w:ascii="Arial Unicode MS" w:hAnsi="Arial Unicode MS" w:eastAsia="Arial Unicode MS" w:cs="Arial Unicode MS"/>
      <w:sz w:val="24"/>
      <w:szCs w:val="20"/>
      <w:lang w:val="en-US" w:bidi="ar-SA"/>
    </w:rPr>
  </w:style>
  <w:style w:type="paragraph" w:customStyle="1" w:styleId="1270">
    <w:name w:val="标题1.5"/>
    <w:basedOn w:val="977"/>
    <w:next w:val="360"/>
    <w:qFormat/>
    <w:uiPriority w:val="99"/>
    <w:rPr>
      <w:szCs w:val="28"/>
    </w:rPr>
  </w:style>
  <w:style w:type="paragraph" w:customStyle="1" w:styleId="1271">
    <w:name w:val="xl62"/>
    <w:basedOn w:val="1"/>
    <w:qFormat/>
    <w:uiPriority w:val="0"/>
    <w:pPr>
      <w:widowControl/>
      <w:pBdr>
        <w:top w:val="single" w:color="auto" w:sz="4" w:space="0"/>
        <w:left w:val="single" w:color="auto" w:sz="4" w:space="0"/>
      </w:pBdr>
      <w:autoSpaceDE/>
      <w:autoSpaceDN/>
      <w:spacing w:before="100" w:beforeAutospacing="1" w:after="100" w:afterAutospacing="1"/>
      <w:jc w:val="center"/>
    </w:pPr>
    <w:rPr>
      <w:rFonts w:eastAsia="仿宋_GB2312" w:cs="Times New Roman"/>
      <w:b/>
      <w:bCs/>
      <w:position w:val="-6"/>
      <w:sz w:val="24"/>
      <w:szCs w:val="24"/>
      <w:lang w:val="en-US" w:bidi="ar-SA"/>
    </w:rPr>
  </w:style>
  <w:style w:type="paragraph" w:customStyle="1" w:styleId="1272">
    <w:name w:val="xl35"/>
    <w:basedOn w:val="1"/>
    <w:qFormat/>
    <w:uiPriority w:val="0"/>
    <w:pPr>
      <w:widowControl/>
      <w:pBdr>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Arial Unicode MS" w:hAnsi="Arial Unicode MS" w:eastAsia="Arial Unicode MS" w:cs="Arial Unicode MS"/>
      <w:sz w:val="24"/>
      <w:szCs w:val="20"/>
      <w:lang w:val="en-US" w:bidi="ar-SA"/>
    </w:rPr>
  </w:style>
  <w:style w:type="paragraph" w:customStyle="1" w:styleId="1273">
    <w:name w:val="附录"/>
    <w:basedOn w:val="3"/>
    <w:next w:val="1"/>
    <w:qFormat/>
    <w:uiPriority w:val="99"/>
    <w:pPr>
      <w:keepNext/>
      <w:keepLines/>
      <w:widowControl/>
      <w:tabs>
        <w:tab w:val="left" w:pos="720"/>
      </w:tabs>
      <w:autoSpaceDE/>
      <w:autoSpaceDN/>
      <w:spacing w:before="0" w:after="220" w:line="700" w:lineRule="exact"/>
      <w:ind w:left="680" w:hanging="680"/>
      <w:jc w:val="center"/>
    </w:pPr>
    <w:rPr>
      <w:rFonts w:ascii="Times New Roman" w:hAnsi="Times New Roman" w:eastAsia="宋体" w:cs="Times New Roman"/>
      <w:spacing w:val="-10"/>
      <w:kern w:val="28"/>
      <w:sz w:val="30"/>
      <w:szCs w:val="20"/>
      <w:lang w:val="en-US" w:bidi="ar-SA"/>
    </w:rPr>
  </w:style>
  <w:style w:type="paragraph" w:customStyle="1" w:styleId="1274">
    <w:name w:val="xl42"/>
    <w:basedOn w:val="1"/>
    <w:qFormat/>
    <w:uiPriority w:val="0"/>
    <w:pPr>
      <w:widowControl/>
      <w:autoSpaceDE/>
      <w:autoSpaceDN/>
      <w:spacing w:before="100" w:beforeAutospacing="1" w:after="100" w:afterAutospacing="1"/>
      <w:textAlignment w:val="center"/>
    </w:pPr>
    <w:rPr>
      <w:rFonts w:ascii="Arial Unicode MS" w:hAnsi="Arial Unicode MS" w:eastAsia="Arial Unicode MS" w:cs="Arial Unicode MS"/>
      <w:b/>
      <w:bCs/>
      <w:sz w:val="32"/>
      <w:szCs w:val="32"/>
      <w:lang w:val="en-US" w:bidi="ar-SA"/>
    </w:rPr>
  </w:style>
  <w:style w:type="paragraph" w:customStyle="1" w:styleId="1275">
    <w:name w:val="样式 标题 3H3H31H32H33u3条标题1.1.1Heading 3 - oldBold Headbh..."/>
    <w:basedOn w:val="5"/>
    <w:qFormat/>
    <w:uiPriority w:val="99"/>
    <w:pPr>
      <w:keepNext/>
      <w:keepLines/>
      <w:autoSpaceDE/>
      <w:autoSpaceDN/>
      <w:adjustRightInd w:val="0"/>
      <w:snapToGrid w:val="0"/>
      <w:spacing w:beforeLines="25" w:afterLines="25" w:line="312" w:lineRule="auto"/>
      <w:ind w:left="0" w:firstLine="0"/>
      <w:jc w:val="both"/>
    </w:pPr>
    <w:rPr>
      <w:rFonts w:hAnsi="Times New Roman" w:eastAsia="黑体"/>
      <w:spacing w:val="16"/>
      <w:sz w:val="28"/>
      <w:szCs w:val="20"/>
      <w:lang w:val="en-US" w:bidi="ar-SA"/>
    </w:rPr>
  </w:style>
  <w:style w:type="paragraph" w:customStyle="1" w:styleId="1276">
    <w:name w:val="样式 标题 7 + 段前: 0.5 行1"/>
    <w:basedOn w:val="9"/>
    <w:qFormat/>
    <w:uiPriority w:val="99"/>
    <w:pPr>
      <w:keepNext w:val="0"/>
      <w:widowControl/>
      <w:tabs>
        <w:tab w:val="left" w:pos="420"/>
        <w:tab w:val="left" w:pos="1820"/>
      </w:tabs>
      <w:adjustRightInd w:val="0"/>
      <w:snapToGrid w:val="0"/>
      <w:spacing w:before="120" w:line="300" w:lineRule="auto"/>
      <w:ind w:left="0" w:firstLine="1120" w:firstLineChars="400"/>
      <w:outlineLvl w:val="3"/>
    </w:pPr>
    <w:rPr>
      <w:rFonts w:ascii="宋体" w:hAnsi="宋体"/>
      <w:b w:val="0"/>
      <w:bCs w:val="0"/>
      <w:color w:val="000000"/>
    </w:rPr>
  </w:style>
  <w:style w:type="paragraph" w:customStyle="1" w:styleId="1277">
    <w:name w:val="xl90"/>
    <w:basedOn w:val="1"/>
    <w:qFormat/>
    <w:uiPriority w:val="0"/>
    <w:pPr>
      <w:widowControl/>
      <w:pBdr>
        <w:top w:val="single" w:color="auto" w:sz="4" w:space="0"/>
        <w:left w:val="single" w:color="auto" w:sz="8" w:space="0"/>
        <w:bottom w:val="single" w:color="auto" w:sz="8" w:space="0"/>
      </w:pBdr>
      <w:autoSpaceDE/>
      <w:autoSpaceDN/>
      <w:spacing w:before="100" w:beforeAutospacing="1" w:after="100" w:afterAutospacing="1"/>
    </w:pPr>
    <w:rPr>
      <w:rFonts w:ascii="Times New Roman" w:hAnsi="Times New Roman" w:eastAsia="Arial Unicode MS" w:cs="Times New Roman"/>
      <w:sz w:val="16"/>
      <w:szCs w:val="16"/>
      <w:lang w:val="en-US" w:bidi="ar-SA"/>
    </w:rPr>
  </w:style>
  <w:style w:type="paragraph" w:customStyle="1" w:styleId="1278">
    <w:name w:val="列表 4O"/>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279">
    <w:name w:val="列表 5S"/>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280">
    <w:name w:val="样式1 + 四号 居中"/>
    <w:basedOn w:val="1"/>
    <w:qFormat/>
    <w:uiPriority w:val="0"/>
    <w:pPr>
      <w:autoSpaceDE/>
      <w:autoSpaceDN/>
      <w:spacing w:line="336" w:lineRule="auto"/>
      <w:jc w:val="center"/>
    </w:pPr>
    <w:rPr>
      <w:rFonts w:ascii="Times New Roman" w:hAnsi="Times New Roman" w:cs="Times New Roman"/>
      <w:kern w:val="2"/>
      <w:sz w:val="28"/>
      <w:szCs w:val="20"/>
      <w:lang w:val="en-US" w:bidi="ar-SA"/>
    </w:rPr>
  </w:style>
  <w:style w:type="paragraph" w:customStyle="1" w:styleId="1281">
    <w:name w:val="xl48"/>
    <w:basedOn w:val="1"/>
    <w:qFormat/>
    <w:uiPriority w:val="0"/>
    <w:pPr>
      <w:widowControl/>
      <w:pBdr>
        <w:top w:val="single" w:color="auto" w:sz="4" w:space="0"/>
        <w:left w:val="single" w:color="auto" w:sz="4" w:space="0"/>
        <w:bottom w:val="single" w:color="auto" w:sz="8" w:space="0"/>
        <w:right w:val="single" w:color="auto" w:sz="8" w:space="0"/>
      </w:pBdr>
      <w:autoSpaceDE/>
      <w:autoSpaceDN/>
      <w:spacing w:before="100" w:beforeAutospacing="1" w:after="100" w:afterAutospacing="1"/>
      <w:jc w:val="center"/>
      <w:textAlignment w:val="center"/>
    </w:pPr>
    <w:rPr>
      <w:rFonts w:ascii="Arial Unicode MS" w:hAnsi="Arial Unicode MS" w:eastAsia="Arial Unicode MS" w:cs="Arial Unicode MS"/>
      <w:b/>
      <w:bCs/>
      <w:sz w:val="24"/>
      <w:szCs w:val="20"/>
      <w:lang w:val="en-US" w:bidi="ar-SA"/>
    </w:rPr>
  </w:style>
  <w:style w:type="paragraph" w:customStyle="1" w:styleId="1282">
    <w:name w:val="xl91"/>
    <w:basedOn w:val="1"/>
    <w:qFormat/>
    <w:uiPriority w:val="0"/>
    <w:pPr>
      <w:widowControl/>
      <w:pBdr>
        <w:top w:val="single" w:color="auto" w:sz="4" w:space="0"/>
        <w:bottom w:val="single" w:color="auto" w:sz="8" w:space="0"/>
        <w:right w:val="single" w:color="auto" w:sz="4" w:space="0"/>
      </w:pBdr>
      <w:autoSpaceDE/>
      <w:autoSpaceDN/>
      <w:spacing w:before="100" w:beforeAutospacing="1" w:after="100" w:afterAutospacing="1"/>
    </w:pPr>
    <w:rPr>
      <w:rFonts w:ascii="Times New Roman" w:hAnsi="Times New Roman" w:eastAsia="Arial Unicode MS" w:cs="Times New Roman"/>
      <w:sz w:val="16"/>
      <w:szCs w:val="16"/>
      <w:lang w:val="en-US" w:bidi="ar-SA"/>
    </w:rPr>
  </w:style>
  <w:style w:type="paragraph" w:customStyle="1" w:styleId="1283">
    <w:name w:val="font13"/>
    <w:basedOn w:val="1"/>
    <w:qFormat/>
    <w:uiPriority w:val="0"/>
    <w:pPr>
      <w:widowControl/>
      <w:autoSpaceDE/>
      <w:autoSpaceDN/>
      <w:spacing w:before="100" w:beforeAutospacing="1" w:after="100" w:afterAutospacing="1"/>
    </w:pPr>
    <w:rPr>
      <w:rFonts w:ascii="Times New Roman" w:hAnsi="Times New Roman" w:eastAsia="Arial Unicode MS" w:cs="Times New Roman"/>
      <w:b/>
      <w:bCs/>
      <w:sz w:val="20"/>
      <w:szCs w:val="20"/>
      <w:lang w:val="en-US" w:bidi="ar-SA"/>
    </w:rPr>
  </w:style>
  <w:style w:type="paragraph" w:customStyle="1" w:styleId="1284">
    <w:name w:val="样式 表2.1 + 居中"/>
    <w:basedOn w:val="1"/>
    <w:qFormat/>
    <w:uiPriority w:val="99"/>
    <w:pPr>
      <w:tabs>
        <w:tab w:val="left" w:pos="726"/>
        <w:tab w:val="center" w:pos="4060"/>
        <w:tab w:val="right" w:pos="8261"/>
      </w:tabs>
      <w:suppressAutoHyphens/>
      <w:autoSpaceDE/>
      <w:autoSpaceDN/>
      <w:adjustRightInd w:val="0"/>
      <w:spacing w:before="240" w:line="0" w:lineRule="atLeast"/>
      <w:ind w:left="2" w:firstLine="4"/>
      <w:jc w:val="center"/>
    </w:pPr>
    <w:rPr>
      <w:rFonts w:ascii="黑体" w:hAnsi="Times New Roman" w:eastAsia="黑体"/>
      <w:b/>
      <w:bCs/>
      <w:sz w:val="24"/>
      <w:szCs w:val="20"/>
      <w:lang w:val="en-US" w:bidi="ar-SA"/>
    </w:rPr>
  </w:style>
  <w:style w:type="paragraph" w:customStyle="1" w:styleId="1285">
    <w:name w:val="列表 D"/>
    <w:basedOn w:val="59"/>
    <w:qFormat/>
    <w:uiPriority w:val="99"/>
    <w:pPr>
      <w:tabs>
        <w:tab w:val="left" w:pos="425"/>
        <w:tab w:val="clear" w:pos="3480"/>
      </w:tabs>
      <w:autoSpaceDE/>
      <w:autoSpaceDN/>
      <w:spacing w:beforeLines="100" w:afterLines="50" w:line="288" w:lineRule="auto"/>
      <w:ind w:left="425" w:hanging="425"/>
      <w:jc w:val="both"/>
    </w:pPr>
    <w:rPr>
      <w:rFonts w:ascii="Arial" w:hAnsi="Arial" w:eastAsia="宋体" w:cs="Times New Roman"/>
      <w:b/>
      <w:bCs/>
      <w:color w:val="FF99CC"/>
      <w:sz w:val="24"/>
      <w:szCs w:val="20"/>
      <w:lang w:val="en-US" w:bidi="ar-SA"/>
    </w:rPr>
  </w:style>
  <w:style w:type="paragraph" w:customStyle="1" w:styleId="1286">
    <w:name w:val="Char Char Char1 Char Char Char Char Char Char Char Char Char Char"/>
    <w:basedOn w:val="1"/>
    <w:qFormat/>
    <w:uiPriority w:val="99"/>
    <w:pPr>
      <w:autoSpaceDE/>
      <w:autoSpaceDN/>
      <w:jc w:val="both"/>
    </w:pPr>
    <w:rPr>
      <w:rFonts w:hAnsi="Times New Roman" w:cs="Times New Roman"/>
      <w:kern w:val="2"/>
      <w:sz w:val="21"/>
      <w:szCs w:val="21"/>
      <w:lang w:val="en-US" w:bidi="ar-SA"/>
    </w:rPr>
  </w:style>
  <w:style w:type="paragraph" w:customStyle="1" w:styleId="1287">
    <w:name w:val="xl96"/>
    <w:basedOn w:val="1"/>
    <w:qFormat/>
    <w:uiPriority w:val="0"/>
    <w:pPr>
      <w:widowControl/>
      <w:pBdr>
        <w:left w:val="single" w:color="auto" w:sz="8" w:space="0"/>
        <w:right w:val="single" w:color="auto" w:sz="4" w:space="0"/>
      </w:pBdr>
      <w:autoSpaceDE/>
      <w:autoSpaceDN/>
      <w:spacing w:before="100" w:beforeAutospacing="1" w:after="100" w:afterAutospacing="1"/>
      <w:jc w:val="center"/>
      <w:textAlignment w:val="center"/>
    </w:pPr>
    <w:rPr>
      <w:rFonts w:ascii="Arial Unicode MS" w:hAnsi="Arial Unicode MS" w:eastAsia="Arial Unicode MS" w:cs="Arial Unicode MS"/>
      <w:sz w:val="16"/>
      <w:szCs w:val="16"/>
      <w:lang w:val="en-US" w:bidi="ar-SA"/>
    </w:rPr>
  </w:style>
  <w:style w:type="paragraph" w:customStyle="1" w:styleId="1288">
    <w:name w:val="附录1"/>
    <w:basedOn w:val="3"/>
    <w:next w:val="1"/>
    <w:qFormat/>
    <w:uiPriority w:val="99"/>
    <w:pPr>
      <w:keepNext/>
      <w:keepLines/>
      <w:widowControl/>
      <w:tabs>
        <w:tab w:val="left" w:pos="720"/>
      </w:tabs>
      <w:autoSpaceDE/>
      <w:autoSpaceDN/>
      <w:spacing w:before="0" w:after="220" w:line="700" w:lineRule="exact"/>
      <w:ind w:left="680" w:hanging="680"/>
      <w:jc w:val="center"/>
    </w:pPr>
    <w:rPr>
      <w:rFonts w:ascii="Times New Roman" w:hAnsi="Times New Roman" w:eastAsia="宋体" w:cs="Times New Roman"/>
      <w:spacing w:val="-10"/>
      <w:kern w:val="28"/>
      <w:sz w:val="30"/>
      <w:szCs w:val="20"/>
      <w:lang w:val="en-US" w:bidi="ar-SA"/>
    </w:rPr>
  </w:style>
  <w:style w:type="paragraph" w:customStyle="1" w:styleId="1289">
    <w:name w:val="Char Char Char1 Char1 Char Char Char1"/>
    <w:basedOn w:val="1"/>
    <w:qFormat/>
    <w:uiPriority w:val="99"/>
    <w:pPr>
      <w:autoSpaceDE/>
      <w:autoSpaceDN/>
      <w:jc w:val="both"/>
    </w:pPr>
    <w:rPr>
      <w:rFonts w:ascii="Times New Roman" w:hAnsi="Times New Roman" w:cs="Times New Roman"/>
      <w:kern w:val="2"/>
      <w:sz w:val="21"/>
      <w:szCs w:val="24"/>
      <w:lang w:val="en-US" w:bidi="ar-SA"/>
    </w:rPr>
  </w:style>
  <w:style w:type="paragraph" w:customStyle="1" w:styleId="1290">
    <w:name w:val="Char Char Char Char Char Char Char Char Char Char Char1"/>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1291">
    <w:name w:val="xl106"/>
    <w:basedOn w:val="1"/>
    <w:qFormat/>
    <w:uiPriority w:val="0"/>
    <w:pPr>
      <w:widowControl/>
      <w:pBdr>
        <w:bottom w:val="single" w:color="auto" w:sz="4" w:space="0"/>
        <w:right w:val="single" w:color="auto" w:sz="4" w:space="0"/>
      </w:pBdr>
      <w:autoSpaceDE/>
      <w:autoSpaceDN/>
      <w:spacing w:before="100" w:beforeAutospacing="1" w:after="100" w:afterAutospacing="1"/>
      <w:jc w:val="center"/>
      <w:textAlignment w:val="center"/>
    </w:pPr>
    <w:rPr>
      <w:rFonts w:ascii="Arial Unicode MS" w:hAnsi="Arial Unicode MS" w:eastAsia="Arial Unicode MS" w:cs="Arial Unicode MS"/>
      <w:sz w:val="16"/>
      <w:szCs w:val="16"/>
      <w:lang w:val="en-US" w:bidi="ar-SA"/>
    </w:rPr>
  </w:style>
  <w:style w:type="paragraph" w:customStyle="1" w:styleId="1292">
    <w:name w:val="xl37"/>
    <w:basedOn w:val="1"/>
    <w:qFormat/>
    <w:uiPriority w:val="0"/>
    <w:pPr>
      <w:widowControl/>
      <w:pBdr>
        <w:left w:val="single" w:color="auto" w:sz="4" w:space="0"/>
        <w:bottom w:val="single" w:color="auto" w:sz="4" w:space="0"/>
        <w:right w:val="single" w:color="auto" w:sz="4" w:space="0"/>
      </w:pBdr>
      <w:autoSpaceDE/>
      <w:autoSpaceDN/>
      <w:spacing w:before="100" w:beforeAutospacing="1" w:after="100" w:afterAutospacing="1"/>
      <w:textAlignment w:val="center"/>
    </w:pPr>
    <w:rPr>
      <w:rFonts w:ascii="Arial Unicode MS" w:hAnsi="Arial Unicode MS" w:eastAsia="Arial Unicode MS" w:cs="Arial Unicode MS"/>
      <w:sz w:val="24"/>
      <w:szCs w:val="20"/>
      <w:lang w:val="en-US" w:bidi="ar-SA"/>
    </w:rPr>
  </w:style>
  <w:style w:type="paragraph" w:customStyle="1" w:styleId="1293">
    <w:name w:val="Char1 Char Char Char1"/>
    <w:basedOn w:val="1"/>
    <w:qFormat/>
    <w:uiPriority w:val="0"/>
    <w:pPr>
      <w:autoSpaceDE/>
      <w:autoSpaceDN/>
      <w:snapToGrid w:val="0"/>
      <w:spacing w:line="360" w:lineRule="auto"/>
      <w:ind w:firstLine="529" w:firstLineChars="200"/>
      <w:jc w:val="both"/>
    </w:pPr>
    <w:rPr>
      <w:rFonts w:cs="Times New Roman"/>
      <w:b/>
      <w:kern w:val="2"/>
      <w:sz w:val="21"/>
      <w:szCs w:val="24"/>
      <w:lang w:val="en-US" w:bidi="ar-SA"/>
    </w:rPr>
  </w:style>
  <w:style w:type="paragraph" w:customStyle="1" w:styleId="1294">
    <w:name w:val="9点"/>
    <w:basedOn w:val="1"/>
    <w:qFormat/>
    <w:uiPriority w:val="99"/>
    <w:pPr>
      <w:autoSpaceDE/>
      <w:autoSpaceDN/>
      <w:spacing w:line="360" w:lineRule="exact"/>
      <w:jc w:val="both"/>
    </w:pPr>
    <w:rPr>
      <w:rFonts w:ascii="Times New Roman" w:hAnsi="Times New Roman" w:cs="Times New Roman"/>
      <w:kern w:val="2"/>
      <w:sz w:val="21"/>
      <w:szCs w:val="24"/>
      <w:lang w:val="en-US" w:bidi="ar-SA"/>
    </w:rPr>
  </w:style>
  <w:style w:type="paragraph" w:customStyle="1" w:styleId="1295">
    <w:name w:val="样式 样式 标题 2h22Header 2nd PageA.B.C.h2 main h标题2 + 仿宋_GB2312 行距......1"/>
    <w:basedOn w:val="1008"/>
    <w:qFormat/>
    <w:uiPriority w:val="0"/>
    <w:pPr>
      <w:ind w:firstLine="454"/>
    </w:pPr>
    <w:rPr>
      <w:b/>
      <w:bCs w:val="0"/>
    </w:rPr>
  </w:style>
  <w:style w:type="paragraph" w:customStyle="1" w:styleId="1296">
    <w:name w:val="表格文字（居中）"/>
    <w:basedOn w:val="1"/>
    <w:qFormat/>
    <w:uiPriority w:val="99"/>
    <w:pPr>
      <w:autoSpaceDE/>
      <w:autoSpaceDN/>
      <w:jc w:val="center"/>
    </w:pPr>
    <w:rPr>
      <w:rFonts w:ascii="Times New Roman" w:hAnsi="Times New Roman" w:cs="Times New Roman"/>
      <w:kern w:val="2"/>
      <w:sz w:val="21"/>
      <w:szCs w:val="21"/>
      <w:lang w:val="en-US" w:bidi="ar-SA"/>
    </w:rPr>
  </w:style>
  <w:style w:type="paragraph" w:customStyle="1" w:styleId="1297">
    <w:name w:val="xl72"/>
    <w:basedOn w:val="1"/>
    <w:qFormat/>
    <w:uiPriority w:val="0"/>
    <w:pPr>
      <w:widowControl/>
      <w:pBdr>
        <w:top w:val="single" w:color="auto" w:sz="8" w:space="0"/>
        <w:right w:val="single" w:color="auto" w:sz="4" w:space="0"/>
      </w:pBdr>
      <w:autoSpaceDE/>
      <w:autoSpaceDN/>
      <w:spacing w:before="100" w:beforeAutospacing="1" w:after="100" w:afterAutospacing="1"/>
      <w:jc w:val="center"/>
    </w:pPr>
    <w:rPr>
      <w:rFonts w:eastAsia="仿宋_GB2312" w:cs="Times New Roman"/>
      <w:position w:val="-6"/>
      <w:sz w:val="24"/>
      <w:szCs w:val="21"/>
      <w:lang w:val="en-US" w:bidi="ar-SA"/>
    </w:rPr>
  </w:style>
  <w:style w:type="paragraph" w:customStyle="1" w:styleId="1298">
    <w:name w:val="列表 5G"/>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299">
    <w:name w:val="样式 样式 样式 首行缩进:  2 字符 + 首行缩进:  2 字符 + 首行缩进:  2 字符"/>
    <w:basedOn w:val="1178"/>
    <w:qFormat/>
    <w:uiPriority w:val="99"/>
    <w:pPr>
      <w:ind w:firstLine="567"/>
    </w:pPr>
    <w:rPr>
      <w:szCs w:val="20"/>
    </w:rPr>
  </w:style>
  <w:style w:type="paragraph" w:customStyle="1" w:styleId="1300">
    <w:name w:val="IDC A-Head (2nd Line)"/>
    <w:basedOn w:val="1"/>
    <w:next w:val="1"/>
    <w:qFormat/>
    <w:uiPriority w:val="99"/>
    <w:pPr>
      <w:widowControl/>
      <w:autoSpaceDE/>
      <w:autoSpaceDN/>
      <w:jc w:val="center"/>
    </w:pPr>
    <w:rPr>
      <w:rFonts w:ascii="Times New Roman" w:hAnsi="Times New Roman" w:cs="Times New Roman"/>
      <w:caps/>
      <w:sz w:val="24"/>
      <w:szCs w:val="20"/>
      <w:lang w:val="en-US" w:bidi="ar-SA"/>
    </w:rPr>
  </w:style>
  <w:style w:type="paragraph" w:customStyle="1" w:styleId="1301">
    <w:name w:val="样式 正文首行缩进 2 +"/>
    <w:basedOn w:val="79"/>
    <w:qFormat/>
    <w:uiPriority w:val="99"/>
    <w:pPr>
      <w:autoSpaceDE/>
      <w:autoSpaceDN/>
      <w:spacing w:after="0" w:line="360" w:lineRule="auto"/>
      <w:ind w:left="0" w:leftChars="0"/>
    </w:pPr>
    <w:rPr>
      <w:rFonts w:hAnsi="Times New Roman"/>
      <w:sz w:val="21"/>
      <w:szCs w:val="21"/>
      <w:lang w:val="en-US" w:bidi="ar-SA"/>
    </w:rPr>
  </w:style>
  <w:style w:type="paragraph" w:customStyle="1" w:styleId="1302">
    <w:name w:val="xl213"/>
    <w:basedOn w:val="1"/>
    <w:qFormat/>
    <w:uiPriority w:val="0"/>
    <w:pPr>
      <w:widowControl/>
      <w:pBdr>
        <w:left w:val="single" w:color="auto" w:sz="4" w:space="0"/>
        <w:right w:val="single" w:color="auto" w:sz="4" w:space="0"/>
      </w:pBdr>
      <w:autoSpaceDE/>
      <w:autoSpaceDN/>
      <w:spacing w:before="100" w:after="100"/>
    </w:pPr>
    <w:rPr>
      <w:rFonts w:ascii="Arial" w:hAnsi="Arial" w:eastAsia="Arial Unicode MS" w:cs="Times New Roman"/>
      <w:sz w:val="24"/>
      <w:szCs w:val="20"/>
      <w:lang w:val="en-US" w:bidi="ar-SA"/>
    </w:rPr>
  </w:style>
  <w:style w:type="paragraph" w:customStyle="1" w:styleId="1303">
    <w:name w:val="列表 4Z"/>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304">
    <w:name w:val="样式 标题 1章节H11.标题 1一、标题 1（修改）1 南陵标题 1标题标题 1章标题 1b1章文章标题..."/>
    <w:basedOn w:val="3"/>
    <w:qFormat/>
    <w:uiPriority w:val="99"/>
    <w:pPr>
      <w:keepNext/>
      <w:keepLines/>
      <w:widowControl/>
      <w:tabs>
        <w:tab w:val="left" w:pos="726"/>
      </w:tabs>
      <w:autoSpaceDE/>
      <w:autoSpaceDN/>
      <w:snapToGrid w:val="0"/>
      <w:spacing w:before="0" w:line="700" w:lineRule="exact"/>
      <w:ind w:left="2" w:firstLine="4"/>
      <w:jc w:val="both"/>
    </w:pPr>
    <w:rPr>
      <w:rFonts w:ascii="Times New Roman" w:hAnsi="Times New Roman" w:cs="Times New Roman"/>
      <w:bCs/>
      <w:color w:val="000000"/>
      <w:kern w:val="44"/>
      <w:sz w:val="30"/>
      <w:szCs w:val="20"/>
      <w:lang w:bidi="ar-SA"/>
    </w:rPr>
  </w:style>
  <w:style w:type="paragraph" w:customStyle="1" w:styleId="1305">
    <w:name w:val="初设正文"/>
    <w:basedOn w:val="1"/>
    <w:qFormat/>
    <w:uiPriority w:val="99"/>
    <w:pPr>
      <w:autoSpaceDE/>
      <w:autoSpaceDN/>
      <w:spacing w:after="120" w:line="440" w:lineRule="exact"/>
      <w:ind w:left="425" w:firstLine="425"/>
      <w:jc w:val="both"/>
    </w:pPr>
    <w:rPr>
      <w:rFonts w:ascii="Arial" w:hAnsi="Arial" w:cs="Times New Roman"/>
      <w:sz w:val="24"/>
      <w:szCs w:val="20"/>
      <w:lang w:val="en-US" w:bidi="ar-SA"/>
    </w:rPr>
  </w:style>
  <w:style w:type="paragraph" w:customStyle="1" w:styleId="1306">
    <w:name w:val="xl82"/>
    <w:basedOn w:val="1"/>
    <w:qFormat/>
    <w:uiPriority w:val="0"/>
    <w:pPr>
      <w:widowControl/>
      <w:pBdr>
        <w:top w:val="single" w:color="auto" w:sz="4" w:space="0"/>
        <w:left w:val="single" w:color="auto" w:sz="4" w:space="0"/>
        <w:bottom w:val="single" w:color="auto" w:sz="4" w:space="0"/>
        <w:right w:val="single" w:color="auto" w:sz="8" w:space="0"/>
      </w:pBdr>
      <w:autoSpaceDE/>
      <w:autoSpaceDN/>
      <w:spacing w:before="100" w:beforeAutospacing="1" w:after="100" w:afterAutospacing="1"/>
      <w:jc w:val="center"/>
      <w:textAlignment w:val="center"/>
    </w:pPr>
    <w:rPr>
      <w:rFonts w:ascii="Arial Unicode MS" w:hAnsi="Arial Unicode MS" w:eastAsia="Arial Unicode MS" w:cs="Arial Unicode MS"/>
      <w:sz w:val="16"/>
      <w:szCs w:val="16"/>
      <w:lang w:val="en-US" w:bidi="ar-SA"/>
    </w:rPr>
  </w:style>
  <w:style w:type="paragraph" w:customStyle="1" w:styleId="1307">
    <w:name w:val="页脚2"/>
    <w:basedOn w:val="300"/>
    <w:qFormat/>
    <w:uiPriority w:val="99"/>
    <w:pPr>
      <w:tabs>
        <w:tab w:val="center" w:pos="4153"/>
        <w:tab w:val="right" w:pos="8306"/>
      </w:tabs>
      <w:spacing w:line="240" w:lineRule="atLeast"/>
    </w:pPr>
    <w:rPr>
      <w:sz w:val="18"/>
    </w:rPr>
  </w:style>
  <w:style w:type="paragraph" w:customStyle="1" w:styleId="1308">
    <w:name w:val="样式 标题 2节标题标题2H2h2第一层条节二级 标题 21.1标题 21.1_Heading 2标2标...1"/>
    <w:basedOn w:val="4"/>
    <w:qFormat/>
    <w:uiPriority w:val="0"/>
    <w:pPr>
      <w:keepNext/>
      <w:keepLines/>
      <w:autoSpaceDE/>
      <w:autoSpaceDN/>
      <w:spacing w:line="720" w:lineRule="auto"/>
      <w:ind w:left="0" w:firstLine="0"/>
    </w:pPr>
    <w:rPr>
      <w:rFonts w:ascii="黑体" w:hAnsi="Times New Roman" w:eastAsia="黑体" w:cs="Times New Roman"/>
      <w:bCs/>
      <w:sz w:val="28"/>
      <w:szCs w:val="28"/>
      <w:lang w:val="en-US" w:bidi="ar-SA"/>
    </w:rPr>
  </w:style>
  <w:style w:type="paragraph" w:customStyle="1" w:styleId="1309">
    <w:name w:val="2"/>
    <w:basedOn w:val="1"/>
    <w:next w:val="41"/>
    <w:qFormat/>
    <w:uiPriority w:val="0"/>
    <w:pPr>
      <w:autoSpaceDE/>
      <w:autoSpaceDN/>
      <w:jc w:val="both"/>
    </w:pPr>
    <w:rPr>
      <w:rFonts w:hAnsi="Courier New" w:cs="Courier New"/>
      <w:kern w:val="2"/>
      <w:sz w:val="21"/>
      <w:szCs w:val="21"/>
      <w:lang w:val="en-US" w:bidi="ar-SA"/>
    </w:rPr>
  </w:style>
  <w:style w:type="paragraph" w:customStyle="1" w:styleId="1310">
    <w:name w:val="列表 2H"/>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311">
    <w:name w:val="xl65"/>
    <w:basedOn w:val="1"/>
    <w:qFormat/>
    <w:uiPriority w:val="0"/>
    <w:pPr>
      <w:widowControl/>
      <w:pBdr>
        <w:bottom w:val="single" w:color="auto" w:sz="8" w:space="0"/>
      </w:pBdr>
      <w:autoSpaceDE/>
      <w:autoSpaceDN/>
      <w:spacing w:before="100" w:beforeAutospacing="1" w:after="100" w:afterAutospacing="1"/>
      <w:jc w:val="center"/>
    </w:pPr>
    <w:rPr>
      <w:rFonts w:eastAsia="仿宋_GB2312" w:cs="Times New Roman"/>
      <w:b/>
      <w:bCs/>
      <w:position w:val="-6"/>
      <w:sz w:val="24"/>
      <w:szCs w:val="24"/>
      <w:lang w:val="en-US" w:bidi="ar-SA"/>
    </w:rPr>
  </w:style>
  <w:style w:type="paragraph" w:customStyle="1" w:styleId="1312">
    <w:name w:val="三级条标题"/>
    <w:basedOn w:val="1185"/>
    <w:next w:val="1"/>
    <w:qFormat/>
    <w:uiPriority w:val="99"/>
    <w:pPr>
      <w:tabs>
        <w:tab w:val="left" w:pos="992"/>
        <w:tab w:val="left" w:pos="2100"/>
        <w:tab w:val="clear" w:pos="851"/>
        <w:tab w:val="clear" w:pos="1680"/>
      </w:tabs>
      <w:ind w:left="2100"/>
      <w:outlineLvl w:val="4"/>
    </w:pPr>
  </w:style>
  <w:style w:type="paragraph" w:customStyle="1" w:styleId="1313">
    <w:name w:val="四级条标题"/>
    <w:basedOn w:val="1312"/>
    <w:next w:val="1"/>
    <w:qFormat/>
    <w:uiPriority w:val="99"/>
    <w:pPr>
      <w:tabs>
        <w:tab w:val="left" w:pos="1134"/>
        <w:tab w:val="left" w:pos="2520"/>
        <w:tab w:val="clear" w:pos="992"/>
        <w:tab w:val="clear" w:pos="2100"/>
      </w:tabs>
      <w:ind w:left="2520"/>
      <w:outlineLvl w:val="5"/>
    </w:pPr>
  </w:style>
  <w:style w:type="paragraph" w:customStyle="1" w:styleId="1314">
    <w:name w:val="前言、引言标题"/>
    <w:next w:val="1"/>
    <w:qFormat/>
    <w:uiPriority w:val="99"/>
    <w:pPr>
      <w:shd w:val="clear" w:color="FFFFFF" w:fill="FFFFFF"/>
      <w:tabs>
        <w:tab w:val="left" w:pos="720"/>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1315">
    <w:name w:val="Char Char Char Char Char Char1 Char Char Char Char Char Char Char Char Char1 Char Char Char Char Char Char Char Char Char Char Char Char Char"/>
    <w:basedOn w:val="1"/>
    <w:qFormat/>
    <w:uiPriority w:val="0"/>
    <w:pPr>
      <w:widowControl/>
      <w:autoSpaceDE/>
      <w:autoSpaceDN/>
    </w:pPr>
    <w:rPr>
      <w:rFonts w:cs="Times New Roman"/>
      <w:sz w:val="24"/>
      <w:szCs w:val="24"/>
      <w:lang w:val="en-US" w:bidi="ar-SA"/>
    </w:rPr>
  </w:style>
  <w:style w:type="paragraph" w:customStyle="1" w:styleId="1316">
    <w:name w:val="表第一列"/>
    <w:basedOn w:val="78"/>
    <w:qFormat/>
    <w:uiPriority w:val="0"/>
    <w:pPr>
      <w:keepNext/>
      <w:keepLines/>
      <w:widowControl w:val="0"/>
      <w:tabs>
        <w:tab w:val="left" w:pos="1727"/>
        <w:tab w:val="left" w:pos="1884"/>
        <w:tab w:val="left" w:pos="2940"/>
      </w:tabs>
      <w:adjustRightInd w:val="0"/>
      <w:snapToGrid w:val="0"/>
      <w:spacing w:after="0" w:line="0" w:lineRule="atLeast"/>
      <w:ind w:firstLine="0" w:firstLineChars="0"/>
      <w:jc w:val="center"/>
    </w:pPr>
    <w:rPr>
      <w:color w:val="000000"/>
      <w:spacing w:val="-4"/>
    </w:rPr>
  </w:style>
  <w:style w:type="paragraph" w:customStyle="1" w:styleId="1317">
    <w:name w:val="列表 4K"/>
    <w:basedOn w:val="69"/>
    <w:qFormat/>
    <w:uiPriority w:val="99"/>
    <w:pPr>
      <w:tabs>
        <w:tab w:val="left" w:pos="1000"/>
      </w:tabs>
      <w:topLinePunct w:val="0"/>
      <w:spacing w:beforeLines="50" w:afterLines="30" w:line="288" w:lineRule="auto"/>
      <w:ind w:left="1000" w:leftChars="0" w:hanging="720" w:firstLineChars="0"/>
      <w:jc w:val="both"/>
    </w:pPr>
    <w:rPr>
      <w:rFonts w:ascii="Arial" w:hAnsi="Arial" w:eastAsia="宋体"/>
      <w:color w:val="CCFFFF"/>
      <w:sz w:val="24"/>
    </w:rPr>
  </w:style>
  <w:style w:type="paragraph" w:customStyle="1" w:styleId="1318">
    <w:name w:val="Char2 Char Char Char Char Char Char Char Char Char"/>
    <w:basedOn w:val="1"/>
    <w:qFormat/>
    <w:uiPriority w:val="0"/>
    <w:pPr>
      <w:autoSpaceDE/>
      <w:autoSpaceDN/>
      <w:spacing w:line="360" w:lineRule="auto"/>
      <w:ind w:firstLine="200" w:firstLineChars="200"/>
      <w:jc w:val="both"/>
    </w:pPr>
    <w:rPr>
      <w:kern w:val="2"/>
      <w:sz w:val="24"/>
      <w:szCs w:val="24"/>
      <w:lang w:val="en-US" w:bidi="ar-SA"/>
    </w:rPr>
  </w:style>
  <w:style w:type="paragraph" w:customStyle="1" w:styleId="1319">
    <w:name w:val="样式 内容部分 + 段前: 1 行 段后: 1 行"/>
    <w:basedOn w:val="1"/>
    <w:qFormat/>
    <w:uiPriority w:val="0"/>
    <w:pPr>
      <w:tabs>
        <w:tab w:val="right" w:pos="7980"/>
      </w:tabs>
      <w:autoSpaceDE/>
      <w:autoSpaceDN/>
      <w:snapToGrid w:val="0"/>
      <w:spacing w:beforeLines="50" w:afterLines="100" w:line="560" w:lineRule="exact"/>
      <w:jc w:val="both"/>
    </w:pPr>
    <w:rPr>
      <w:rFonts w:ascii="黑体" w:hAnsi="Times New Roman" w:eastAsia="黑体"/>
      <w:kern w:val="36"/>
      <w:sz w:val="28"/>
      <w:szCs w:val="20"/>
      <w:lang w:val="en-US" w:bidi="ar-SA"/>
    </w:rPr>
  </w:style>
  <w:style w:type="paragraph" w:customStyle="1" w:styleId="1320">
    <w:name w:val="Char Char Char1 Char11"/>
    <w:basedOn w:val="1"/>
    <w:qFormat/>
    <w:uiPriority w:val="0"/>
    <w:pPr>
      <w:autoSpaceDE/>
      <w:autoSpaceDN/>
      <w:jc w:val="both"/>
    </w:pPr>
    <w:rPr>
      <w:rFonts w:ascii="Times New Roman" w:hAnsi="Times New Roman" w:cs="Times New Roman"/>
      <w:kern w:val="2"/>
      <w:sz w:val="21"/>
      <w:szCs w:val="24"/>
      <w:lang w:val="en-US" w:bidi="ar-SA"/>
    </w:rPr>
  </w:style>
  <w:style w:type="character" w:customStyle="1" w:styleId="1321">
    <w:name w:val="z-窗体底端 Char2"/>
    <w:basedOn w:val="83"/>
    <w:semiHidden/>
    <w:qFormat/>
    <w:uiPriority w:val="99"/>
    <w:rPr>
      <w:rFonts w:ascii="Arial" w:hAnsi="Arial" w:cs="Arial"/>
      <w:vanish/>
      <w:sz w:val="16"/>
      <w:szCs w:val="16"/>
    </w:rPr>
  </w:style>
  <w:style w:type="paragraph" w:customStyle="1" w:styleId="1322">
    <w:name w:val="xl95"/>
    <w:basedOn w:val="1"/>
    <w:qFormat/>
    <w:uiPriority w:val="0"/>
    <w:pPr>
      <w:widowControl/>
      <w:pBdr>
        <w:top w:val="single" w:color="auto" w:sz="4" w:space="0"/>
        <w:bottom w:val="single" w:color="auto" w:sz="4" w:space="0"/>
        <w:right w:val="single" w:color="auto" w:sz="4" w:space="0"/>
      </w:pBdr>
      <w:autoSpaceDE/>
      <w:autoSpaceDN/>
      <w:spacing w:before="100" w:beforeAutospacing="1" w:after="100" w:afterAutospacing="1"/>
      <w:textAlignment w:val="center"/>
    </w:pPr>
    <w:rPr>
      <w:rFonts w:ascii="Arial Unicode MS" w:hAnsi="Arial Unicode MS" w:eastAsia="Arial Unicode MS" w:cs="Arial Unicode MS"/>
      <w:sz w:val="16"/>
      <w:szCs w:val="16"/>
      <w:lang w:val="en-US" w:bidi="ar-SA"/>
    </w:rPr>
  </w:style>
  <w:style w:type="paragraph" w:customStyle="1" w:styleId="1323">
    <w:name w:val="内蒙1"/>
    <w:basedOn w:val="3"/>
    <w:qFormat/>
    <w:uiPriority w:val="99"/>
    <w:pPr>
      <w:keepNext/>
      <w:adjustRightInd w:val="0"/>
      <w:spacing w:before="0" w:line="480" w:lineRule="exact"/>
      <w:ind w:left="0" w:firstLine="0"/>
    </w:pPr>
    <w:rPr>
      <w:rFonts w:ascii="Times New Roman" w:hAnsi="Times New Roman" w:cs="Times New Roman"/>
      <w:color w:val="FF0000"/>
      <w:spacing w:val="20"/>
      <w:sz w:val="32"/>
      <w:szCs w:val="32"/>
      <w:lang w:val="en-US" w:bidi="ar-SA"/>
    </w:rPr>
  </w:style>
  <w:style w:type="paragraph" w:customStyle="1" w:styleId="1324">
    <w:name w:val="xl43"/>
    <w:basedOn w:val="1"/>
    <w:qFormat/>
    <w:uiPriority w:val="0"/>
    <w:pPr>
      <w:widowControl/>
      <w:pBdr>
        <w:top w:val="single" w:color="auto" w:sz="8" w:space="0"/>
        <w:left w:val="single" w:color="auto" w:sz="8" w:space="0"/>
        <w:bottom w:val="single" w:color="auto" w:sz="4" w:space="0"/>
        <w:right w:val="single" w:color="auto" w:sz="4" w:space="0"/>
      </w:pBdr>
      <w:autoSpaceDE/>
      <w:autoSpaceDN/>
      <w:spacing w:before="100" w:beforeAutospacing="1" w:after="100" w:afterAutospacing="1"/>
      <w:jc w:val="center"/>
      <w:textAlignment w:val="center"/>
    </w:pPr>
    <w:rPr>
      <w:rFonts w:ascii="Arial Unicode MS" w:hAnsi="Arial Unicode MS" w:eastAsia="Arial Unicode MS" w:cs="Arial Unicode MS"/>
      <w:b/>
      <w:bCs/>
      <w:sz w:val="24"/>
      <w:szCs w:val="20"/>
      <w:lang w:val="en-US" w:bidi="ar-SA"/>
    </w:rPr>
  </w:style>
  <w:style w:type="paragraph" w:customStyle="1" w:styleId="1325">
    <w:name w:val="表标题5.16"/>
    <w:basedOn w:val="1"/>
    <w:qFormat/>
    <w:uiPriority w:val="99"/>
    <w:pPr>
      <w:tabs>
        <w:tab w:val="left" w:pos="726"/>
      </w:tabs>
      <w:autoSpaceDE/>
      <w:autoSpaceDN/>
      <w:spacing w:beforeLines="100" w:line="0" w:lineRule="atLeast"/>
      <w:ind w:left="2" w:firstLine="4"/>
      <w:jc w:val="both"/>
    </w:pPr>
    <w:rPr>
      <w:rFonts w:ascii="Times New Roman" w:hAnsi="Times New Roman" w:eastAsia="黑体" w:cs="Times New Roman"/>
      <w:b/>
      <w:kern w:val="2"/>
      <w:sz w:val="24"/>
      <w:szCs w:val="24"/>
      <w:lang w:val="en-US" w:bidi="ar-SA"/>
    </w:rPr>
  </w:style>
  <w:style w:type="paragraph" w:customStyle="1" w:styleId="1326">
    <w:name w:val="表7.4"/>
    <w:basedOn w:val="1"/>
    <w:qFormat/>
    <w:uiPriority w:val="99"/>
    <w:pPr>
      <w:tabs>
        <w:tab w:val="left" w:pos="3660"/>
        <w:tab w:val="center" w:pos="4060"/>
        <w:tab w:val="right" w:pos="8261"/>
      </w:tabs>
      <w:suppressAutoHyphens/>
      <w:autoSpaceDE/>
      <w:autoSpaceDN/>
      <w:adjustRightInd w:val="0"/>
      <w:spacing w:beforeLines="100" w:line="0" w:lineRule="atLeast"/>
      <w:ind w:left="6480"/>
      <w:jc w:val="center"/>
    </w:pPr>
    <w:rPr>
      <w:rFonts w:ascii="黑体" w:hAnsi="Times New Roman" w:eastAsia="黑体"/>
      <w:b/>
      <w:bCs/>
      <w:spacing w:val="6"/>
      <w:sz w:val="24"/>
      <w:szCs w:val="20"/>
      <w:lang w:val="en-US" w:bidi="ar-SA"/>
    </w:rPr>
  </w:style>
  <w:style w:type="paragraph" w:customStyle="1" w:styleId="1327">
    <w:name w:val="样式 样式 燕山正文 + 首行缩进:  2 字符 + 首行缩进:  2 字符"/>
    <w:basedOn w:val="1033"/>
    <w:qFormat/>
    <w:uiPriority w:val="99"/>
    <w:pPr>
      <w:jc w:val="both"/>
    </w:pPr>
  </w:style>
  <w:style w:type="paragraph" w:customStyle="1" w:styleId="1328">
    <w:name w:val="biaoq"/>
    <w:basedOn w:val="1"/>
    <w:qFormat/>
    <w:uiPriority w:val="99"/>
    <w:pPr>
      <w:widowControl/>
      <w:autoSpaceDE/>
      <w:autoSpaceDN/>
      <w:spacing w:before="100" w:beforeAutospacing="1" w:after="100" w:afterAutospacing="1"/>
    </w:pPr>
    <w:rPr>
      <w:rFonts w:cs="Times New Roman"/>
      <w:b/>
      <w:color w:val="333366"/>
      <w:sz w:val="18"/>
      <w:szCs w:val="20"/>
      <w:lang w:val="en-US" w:bidi="ar-SA"/>
    </w:rPr>
  </w:style>
  <w:style w:type="paragraph" w:customStyle="1" w:styleId="1329">
    <w:name w:val="Char Char Char Char Char Char1 Char Char Char Char"/>
    <w:basedOn w:val="1"/>
    <w:qFormat/>
    <w:uiPriority w:val="99"/>
    <w:pPr>
      <w:autoSpaceDE/>
      <w:autoSpaceDN/>
      <w:jc w:val="both"/>
    </w:pPr>
    <w:rPr>
      <w:rFonts w:ascii="Times New Roman" w:hAnsi="Times New Roman" w:cs="Times New Roman"/>
      <w:kern w:val="2"/>
      <w:sz w:val="21"/>
      <w:szCs w:val="24"/>
      <w:lang w:val="en-US" w:bidi="ar-SA"/>
    </w:rPr>
  </w:style>
  <w:style w:type="paragraph" w:customStyle="1" w:styleId="1330">
    <w:name w:val="列表 4P"/>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331">
    <w:name w:val="样式 标题 1 + 黑体 小三 非加粗"/>
    <w:basedOn w:val="3"/>
    <w:qFormat/>
    <w:uiPriority w:val="99"/>
    <w:pPr>
      <w:keepNext/>
      <w:keepLines/>
      <w:tabs>
        <w:tab w:val="left" w:pos="432"/>
      </w:tabs>
      <w:autoSpaceDE/>
      <w:autoSpaceDN/>
      <w:spacing w:before="340" w:after="330" w:line="578" w:lineRule="auto"/>
      <w:ind w:left="432" w:hanging="432"/>
      <w:jc w:val="both"/>
    </w:pPr>
    <w:rPr>
      <w:rFonts w:cs="Times New Roman"/>
      <w:b/>
      <w:kern w:val="44"/>
      <w:sz w:val="30"/>
      <w:lang w:val="en-US" w:bidi="ar-SA"/>
    </w:rPr>
  </w:style>
  <w:style w:type="paragraph" w:customStyle="1" w:styleId="1332">
    <w:name w:val="xl81"/>
    <w:basedOn w:val="1"/>
    <w:qFormat/>
    <w:uiPriority w:val="0"/>
    <w:pPr>
      <w:widowControl/>
      <w:pBdr>
        <w:top w:val="single" w:color="auto" w:sz="4" w:space="0"/>
        <w:left w:val="single" w:color="auto" w:sz="4" w:space="0"/>
        <w:bottom w:val="single" w:color="auto" w:sz="8" w:space="0"/>
        <w:right w:val="single" w:color="auto" w:sz="8" w:space="0"/>
      </w:pBdr>
      <w:autoSpaceDE/>
      <w:autoSpaceDN/>
      <w:spacing w:before="100" w:beforeAutospacing="1" w:after="100" w:afterAutospacing="1"/>
      <w:jc w:val="center"/>
      <w:textAlignment w:val="center"/>
    </w:pPr>
    <w:rPr>
      <w:rFonts w:ascii="Arial Unicode MS" w:hAnsi="Arial Unicode MS" w:eastAsia="Arial Unicode MS" w:cs="Arial Unicode MS"/>
      <w:sz w:val="16"/>
      <w:szCs w:val="16"/>
      <w:lang w:val="en-US" w:bidi="ar-SA"/>
    </w:rPr>
  </w:style>
  <w:style w:type="paragraph" w:customStyle="1" w:styleId="1333">
    <w:name w:val="Section Subtitle"/>
    <w:basedOn w:val="1061"/>
    <w:next w:val="1"/>
    <w:qFormat/>
    <w:uiPriority w:val="99"/>
    <w:pPr>
      <w:pBdr>
        <w:top w:val="none" w:color="auto" w:sz="0" w:space="0"/>
      </w:pBdr>
    </w:pPr>
    <w:rPr>
      <w:b w:val="0"/>
      <w:spacing w:val="0"/>
      <w:position w:val="6"/>
    </w:rPr>
  </w:style>
  <w:style w:type="paragraph" w:customStyle="1" w:styleId="1334">
    <w:name w:val="表3.8-1"/>
    <w:basedOn w:val="855"/>
    <w:qFormat/>
    <w:uiPriority w:val="99"/>
    <w:pPr>
      <w:tabs>
        <w:tab w:val="left" w:pos="420"/>
        <w:tab w:val="clear" w:pos="4060"/>
        <w:tab w:val="clear" w:pos="8261"/>
      </w:tabs>
    </w:pPr>
  </w:style>
  <w:style w:type="paragraph" w:customStyle="1" w:styleId="1335">
    <w:name w:val="样式2"/>
    <w:basedOn w:val="6"/>
    <w:qFormat/>
    <w:uiPriority w:val="0"/>
    <w:pPr>
      <w:tabs>
        <w:tab w:val="left" w:pos="360"/>
      </w:tabs>
      <w:spacing w:before="0" w:after="0" w:line="360" w:lineRule="auto"/>
    </w:pPr>
    <w:rPr>
      <w:rFonts w:ascii="黑体" w:hAnsi="Arial" w:eastAsia="黑体"/>
      <w:b w:val="0"/>
    </w:rPr>
  </w:style>
  <w:style w:type="paragraph" w:customStyle="1" w:styleId="1336">
    <w:name w:val="Char Char Char Char Char Char"/>
    <w:basedOn w:val="1"/>
    <w:qFormat/>
    <w:uiPriority w:val="0"/>
    <w:pPr>
      <w:autoSpaceDE/>
      <w:autoSpaceDN/>
      <w:jc w:val="both"/>
    </w:pPr>
    <w:rPr>
      <w:rFonts w:ascii="Times New Roman" w:hAnsi="Times New Roman" w:cs="Times New Roman"/>
      <w:kern w:val="2"/>
      <w:sz w:val="21"/>
      <w:szCs w:val="20"/>
      <w:lang w:val="en-US" w:bidi="ar-SA"/>
    </w:rPr>
  </w:style>
  <w:style w:type="paragraph" w:customStyle="1" w:styleId="1337">
    <w:name w:val="样式 正文首行缩进 + 首行缩进:  2 字符1"/>
    <w:basedOn w:val="78"/>
    <w:qFormat/>
    <w:uiPriority w:val="0"/>
    <w:pPr>
      <w:widowControl w:val="0"/>
      <w:spacing w:after="0" w:line="360" w:lineRule="auto"/>
      <w:ind w:firstLine="480" w:firstLineChars="200"/>
    </w:pPr>
    <w:rPr>
      <w:rFonts w:ascii="Times New Roman" w:hAnsi="Times New Roman"/>
      <w:sz w:val="24"/>
      <w:szCs w:val="24"/>
    </w:rPr>
  </w:style>
  <w:style w:type="paragraph" w:customStyle="1" w:styleId="1338">
    <w:name w:val="表格文字中"/>
    <w:basedOn w:val="1"/>
    <w:qFormat/>
    <w:uiPriority w:val="99"/>
    <w:pPr>
      <w:tabs>
        <w:tab w:val="left" w:pos="1727"/>
        <w:tab w:val="left" w:pos="1884"/>
      </w:tabs>
      <w:autoSpaceDE/>
      <w:autoSpaceDN/>
      <w:adjustRightInd w:val="0"/>
      <w:snapToGrid w:val="0"/>
      <w:jc w:val="center"/>
    </w:pPr>
    <w:rPr>
      <w:rFonts w:cs="Times New Roman"/>
      <w:color w:val="000000"/>
      <w:sz w:val="24"/>
      <w:szCs w:val="24"/>
      <w:lang w:val="en-US" w:bidi="ar-SA"/>
    </w:rPr>
  </w:style>
  <w:style w:type="paragraph" w:customStyle="1" w:styleId="1339">
    <w:name w:val="Char4 Char Char Char Char Char Char1"/>
    <w:basedOn w:val="1"/>
    <w:qFormat/>
    <w:uiPriority w:val="0"/>
    <w:pPr>
      <w:autoSpaceDE/>
      <w:autoSpaceDN/>
      <w:spacing w:line="360" w:lineRule="auto"/>
      <w:ind w:firstLine="200" w:firstLineChars="200"/>
      <w:jc w:val="both"/>
    </w:pPr>
    <w:rPr>
      <w:kern w:val="2"/>
      <w:sz w:val="24"/>
      <w:szCs w:val="24"/>
      <w:lang w:val="en-US" w:bidi="ar-SA"/>
    </w:rPr>
  </w:style>
  <w:style w:type="paragraph" w:customStyle="1" w:styleId="1340">
    <w:name w:val="Body Text 22"/>
    <w:basedOn w:val="1"/>
    <w:qFormat/>
    <w:uiPriority w:val="99"/>
    <w:pPr>
      <w:autoSpaceDE/>
      <w:autoSpaceDN/>
      <w:adjustRightInd w:val="0"/>
      <w:spacing w:line="440" w:lineRule="atLeast"/>
      <w:ind w:firstLine="480"/>
      <w:jc w:val="both"/>
      <w:textAlignment w:val="baseline"/>
    </w:pPr>
    <w:rPr>
      <w:rFonts w:ascii="Times New Roman" w:hAnsi="Times New Roman" w:eastAsia="仿宋_GB2312" w:cs="Times New Roman"/>
      <w:kern w:val="2"/>
      <w:sz w:val="24"/>
      <w:szCs w:val="20"/>
      <w:lang w:val="en-US" w:bidi="ar-SA"/>
    </w:rPr>
  </w:style>
  <w:style w:type="paragraph" w:customStyle="1" w:styleId="1341">
    <w:name w:val="表标题7.2"/>
    <w:basedOn w:val="1342"/>
    <w:qFormat/>
    <w:uiPriority w:val="99"/>
    <w:pPr>
      <w:tabs>
        <w:tab w:val="left" w:pos="726"/>
        <w:tab w:val="center" w:pos="4060"/>
        <w:tab w:val="right" w:pos="8261"/>
      </w:tabs>
      <w:ind w:left="2" w:firstLine="4"/>
    </w:pPr>
    <w:rPr>
      <w:szCs w:val="24"/>
    </w:rPr>
  </w:style>
  <w:style w:type="paragraph" w:customStyle="1" w:styleId="1342">
    <w:name w:val="表标题8.3"/>
    <w:basedOn w:val="570"/>
    <w:qFormat/>
    <w:uiPriority w:val="99"/>
    <w:pPr>
      <w:tabs>
        <w:tab w:val="center" w:pos="4060"/>
        <w:tab w:val="right" w:pos="8261"/>
        <w:tab w:val="clear" w:pos="360"/>
        <w:tab w:val="clear" w:pos="726"/>
      </w:tabs>
      <w:suppressAutoHyphens/>
      <w:adjustRightInd w:val="0"/>
      <w:spacing w:beforeLines="100" w:line="0" w:lineRule="atLeast"/>
    </w:pPr>
    <w:rPr>
      <w:rFonts w:ascii="黑体" w:eastAsia="黑体" w:cs="宋体"/>
      <w:b/>
      <w:bCs/>
      <w:spacing w:val="6"/>
      <w:sz w:val="24"/>
      <w:szCs w:val="20"/>
    </w:rPr>
  </w:style>
  <w:style w:type="paragraph" w:customStyle="1" w:styleId="1343">
    <w:name w:val="样式 燕山正文 + 首行缩进:  3.5 字符2"/>
    <w:basedOn w:val="801"/>
    <w:qFormat/>
    <w:uiPriority w:val="99"/>
    <w:pPr>
      <w:shd w:val="clear" w:color="auto" w:fill="auto"/>
      <w:jc w:val="both"/>
    </w:pPr>
    <w:rPr>
      <w:color w:val="000000"/>
      <w:szCs w:val="24"/>
    </w:rPr>
  </w:style>
  <w:style w:type="paragraph" w:customStyle="1" w:styleId="1344">
    <w:name w:val="表格样式1"/>
    <w:basedOn w:val="1"/>
    <w:qFormat/>
    <w:uiPriority w:val="99"/>
    <w:pPr>
      <w:autoSpaceDE/>
      <w:autoSpaceDN/>
      <w:spacing w:line="360" w:lineRule="exact"/>
      <w:jc w:val="center"/>
    </w:pPr>
    <w:rPr>
      <w:rFonts w:ascii="Times New Roman" w:hAnsi="Times New Roman" w:eastAsia="仿宋_GB2312" w:cs="Times New Roman"/>
      <w:color w:val="000080"/>
      <w:kern w:val="2"/>
      <w:sz w:val="21"/>
      <w:szCs w:val="24"/>
      <w:lang w:val="en-US" w:bidi="ar-SA"/>
    </w:rPr>
  </w:style>
  <w:style w:type="paragraph" w:customStyle="1" w:styleId="1345">
    <w:name w:val="font17"/>
    <w:basedOn w:val="1"/>
    <w:qFormat/>
    <w:uiPriority w:val="99"/>
    <w:pPr>
      <w:widowControl/>
      <w:autoSpaceDE/>
      <w:autoSpaceDN/>
      <w:spacing w:before="100" w:beforeAutospacing="1" w:after="100" w:afterAutospacing="1"/>
    </w:pPr>
    <w:rPr>
      <w:rFonts w:ascii="Times New Roman" w:hAnsi="Times New Roman" w:eastAsia="Arial Unicode MS" w:cs="Times New Roman"/>
      <w:sz w:val="20"/>
      <w:szCs w:val="20"/>
      <w:u w:val="single"/>
      <w:lang w:val="en-US" w:bidi="ar-SA"/>
    </w:rPr>
  </w:style>
  <w:style w:type="paragraph" w:customStyle="1" w:styleId="1346">
    <w:name w:val="我的正文"/>
    <w:basedOn w:val="1"/>
    <w:qFormat/>
    <w:uiPriority w:val="99"/>
    <w:pPr>
      <w:autoSpaceDE/>
      <w:autoSpaceDN/>
      <w:jc w:val="both"/>
    </w:pPr>
    <w:rPr>
      <w:rFonts w:ascii="Times New Roman" w:hAnsi="Times New Roman" w:cs="Times New Roman"/>
      <w:kern w:val="2"/>
      <w:sz w:val="24"/>
      <w:szCs w:val="20"/>
      <w:lang w:val="en-US" w:bidi="ar-SA"/>
    </w:rPr>
  </w:style>
  <w:style w:type="paragraph" w:customStyle="1" w:styleId="1347">
    <w:name w:val="6表格"/>
    <w:basedOn w:val="1"/>
    <w:qFormat/>
    <w:uiPriority w:val="99"/>
    <w:pPr>
      <w:autoSpaceDE/>
      <w:autoSpaceDN/>
      <w:adjustRightInd w:val="0"/>
      <w:snapToGrid w:val="0"/>
      <w:spacing w:before="60" w:line="312" w:lineRule="auto"/>
      <w:jc w:val="center"/>
    </w:pPr>
    <w:rPr>
      <w:rFonts w:ascii="Times New Roman" w:hAnsi="Times New Roman" w:cs="Times New Roman"/>
      <w:snapToGrid w:val="0"/>
      <w:sz w:val="21"/>
      <w:szCs w:val="20"/>
      <w:lang w:val="en-US" w:bidi="ar-SA"/>
    </w:rPr>
  </w:style>
  <w:style w:type="paragraph" w:customStyle="1" w:styleId="1348">
    <w:name w:val="五级条标题"/>
    <w:basedOn w:val="1313"/>
    <w:next w:val="1"/>
    <w:qFormat/>
    <w:uiPriority w:val="99"/>
    <w:pPr>
      <w:tabs>
        <w:tab w:val="left" w:pos="1276"/>
        <w:tab w:val="left" w:pos="2940"/>
        <w:tab w:val="clear" w:pos="1134"/>
        <w:tab w:val="clear" w:pos="1260"/>
        <w:tab w:val="clear" w:pos="2520"/>
      </w:tabs>
      <w:ind w:left="2940"/>
      <w:outlineLvl w:val="6"/>
    </w:pPr>
  </w:style>
  <w:style w:type="paragraph" w:customStyle="1" w:styleId="1349">
    <w:name w:val="CM59"/>
    <w:basedOn w:val="101"/>
    <w:next w:val="101"/>
    <w:qFormat/>
    <w:uiPriority w:val="99"/>
    <w:pPr>
      <w:snapToGrid w:val="0"/>
      <w:spacing w:beforeLines="0" w:after="498" w:afterLines="0" w:line="360" w:lineRule="auto"/>
    </w:pPr>
    <w:rPr>
      <w:rFonts w:ascii="Times New Roman" w:cs="Times New Roman"/>
      <w:b w:val="0"/>
      <w:color w:val="auto"/>
      <w:kern w:val="0"/>
      <w:sz w:val="24"/>
      <w:szCs w:val="24"/>
    </w:rPr>
  </w:style>
  <w:style w:type="paragraph" w:customStyle="1" w:styleId="1350">
    <w:name w:val="列表 5L"/>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351">
    <w:name w:val="表内序号"/>
    <w:basedOn w:val="1"/>
    <w:qFormat/>
    <w:uiPriority w:val="99"/>
    <w:pPr>
      <w:widowControl/>
      <w:tabs>
        <w:tab w:val="left" w:pos="425"/>
      </w:tabs>
      <w:autoSpaceDE/>
      <w:autoSpaceDN/>
      <w:adjustRightInd w:val="0"/>
      <w:snapToGrid w:val="0"/>
      <w:spacing w:line="360" w:lineRule="auto"/>
      <w:ind w:left="425" w:hanging="425"/>
    </w:pPr>
    <w:rPr>
      <w:rFonts w:ascii="Times New Roman" w:hAnsi="Times New Roman" w:cs="Times New Roman"/>
      <w:sz w:val="24"/>
      <w:szCs w:val="20"/>
      <w:lang w:val="en-US" w:bidi="ar-SA"/>
    </w:rPr>
  </w:style>
  <w:style w:type="paragraph" w:customStyle="1" w:styleId="1352">
    <w:name w:val="样式 标题 41.1.1.1标题 4.1.1.1.1标题 4 Char款1.1.1.1 Char标4段1.1.1..."/>
    <w:basedOn w:val="6"/>
    <w:qFormat/>
    <w:uiPriority w:val="99"/>
    <w:pPr>
      <w:tabs>
        <w:tab w:val="left" w:pos="0"/>
        <w:tab w:val="left" w:pos="360"/>
      </w:tabs>
      <w:spacing w:before="120" w:after="120" w:line="312" w:lineRule="auto"/>
      <w:ind w:left="284" w:hanging="284"/>
    </w:pPr>
    <w:rPr>
      <w:rFonts w:ascii="Arial" w:hAnsi="Arial" w:eastAsia="黑体" w:cs="宋体"/>
      <w:sz w:val="24"/>
      <w:szCs w:val="20"/>
    </w:rPr>
  </w:style>
  <w:style w:type="paragraph" w:customStyle="1" w:styleId="1353">
    <w:name w:val="样式6"/>
    <w:basedOn w:val="1"/>
    <w:link w:val="1354"/>
    <w:qFormat/>
    <w:uiPriority w:val="0"/>
    <w:pPr>
      <w:autoSpaceDE/>
      <w:autoSpaceDN/>
      <w:adjustRightInd w:val="0"/>
      <w:snapToGrid w:val="0"/>
      <w:spacing w:line="360" w:lineRule="auto"/>
      <w:ind w:firstLine="200" w:firstLineChars="200"/>
      <w:textAlignment w:val="baseline"/>
    </w:pPr>
    <w:rPr>
      <w:rFonts w:hAnsi="Times New Roman" w:cs="Times New Roman"/>
      <w:sz w:val="24"/>
      <w:szCs w:val="24"/>
      <w:lang w:val="en-US" w:bidi="ar-SA"/>
    </w:rPr>
  </w:style>
  <w:style w:type="character" w:customStyle="1" w:styleId="1354">
    <w:name w:val="样式6 Char"/>
    <w:link w:val="1353"/>
    <w:qFormat/>
    <w:uiPriority w:val="0"/>
    <w:rPr>
      <w:rFonts w:ascii="宋体"/>
      <w:sz w:val="24"/>
      <w:szCs w:val="24"/>
    </w:rPr>
  </w:style>
  <w:style w:type="paragraph" w:customStyle="1" w:styleId="1355">
    <w:name w:val="Char4 Char Char Char Char Char Char12"/>
    <w:basedOn w:val="1"/>
    <w:qFormat/>
    <w:uiPriority w:val="99"/>
    <w:pPr>
      <w:autoSpaceDE/>
      <w:autoSpaceDN/>
      <w:spacing w:line="360" w:lineRule="auto"/>
      <w:ind w:firstLine="200" w:firstLineChars="200"/>
      <w:jc w:val="both"/>
    </w:pPr>
    <w:rPr>
      <w:kern w:val="2"/>
      <w:sz w:val="24"/>
      <w:szCs w:val="24"/>
      <w:lang w:val="en-US" w:bidi="ar-SA"/>
    </w:rPr>
  </w:style>
  <w:style w:type="paragraph" w:customStyle="1" w:styleId="1356">
    <w:name w:val="源代码"/>
    <w:basedOn w:val="1"/>
    <w:qFormat/>
    <w:uiPriority w:val="0"/>
    <w:pPr>
      <w:widowControl/>
      <w:kinsoku w:val="0"/>
      <w:overflowPunct w:val="0"/>
      <w:adjustRightInd w:val="0"/>
      <w:snapToGrid w:val="0"/>
    </w:pPr>
    <w:rPr>
      <w:rFonts w:ascii="Courier New" w:hAnsi="Courier New" w:cs="Times New Roman"/>
      <w:b/>
      <w:snapToGrid w:val="0"/>
      <w:sz w:val="24"/>
      <w:szCs w:val="24"/>
      <w:lang w:val="en-US" w:bidi="ar-SA"/>
    </w:rPr>
  </w:style>
  <w:style w:type="paragraph" w:customStyle="1" w:styleId="1357">
    <w:name w:val="德胜二级标题"/>
    <w:basedOn w:val="1"/>
    <w:qFormat/>
    <w:uiPriority w:val="99"/>
    <w:pPr>
      <w:keepNext/>
      <w:keepLines/>
      <w:autoSpaceDE/>
      <w:autoSpaceDN/>
      <w:adjustRightInd w:val="0"/>
      <w:snapToGrid w:val="0"/>
      <w:spacing w:line="360" w:lineRule="auto"/>
      <w:outlineLvl w:val="1"/>
    </w:pPr>
    <w:rPr>
      <w:rFonts w:ascii="Times New Roman" w:hAnsi="Times New Roman" w:cs="Times New Roman"/>
      <w:b/>
      <w:bCs/>
      <w:snapToGrid w:val="0"/>
      <w:color w:val="0000FF"/>
      <w:sz w:val="28"/>
      <w:szCs w:val="28"/>
      <w:lang w:val="en-US" w:bidi="ar-SA"/>
    </w:rPr>
  </w:style>
  <w:style w:type="paragraph" w:customStyle="1" w:styleId="1358">
    <w:name w:val="City/State"/>
    <w:basedOn w:val="31"/>
    <w:next w:val="31"/>
    <w:qFormat/>
    <w:uiPriority w:val="99"/>
    <w:pPr>
      <w:keepNext/>
      <w:widowControl/>
      <w:autoSpaceDE/>
      <w:autoSpaceDN/>
      <w:spacing w:after="220" w:line="220" w:lineRule="atLeast"/>
      <w:ind w:right="-360"/>
    </w:pPr>
    <w:rPr>
      <w:rFonts w:ascii="Times New Roman" w:hAnsi="Times New Roman" w:cs="Times New Roman"/>
      <w:sz w:val="20"/>
      <w:szCs w:val="20"/>
      <w:lang w:val="en-US" w:bidi="ar-SA"/>
    </w:rPr>
  </w:style>
  <w:style w:type="paragraph" w:customStyle="1" w:styleId="1359">
    <w:name w:val="BG1"/>
    <w:basedOn w:val="1"/>
    <w:qFormat/>
    <w:uiPriority w:val="99"/>
    <w:pPr>
      <w:autoSpaceDE/>
      <w:autoSpaceDN/>
      <w:adjustRightInd w:val="0"/>
      <w:jc w:val="center"/>
    </w:pPr>
    <w:rPr>
      <w:rFonts w:ascii="Times New Roman" w:hAnsi="Times New Roman" w:cs="Times New Roman"/>
      <w:spacing w:val="20"/>
      <w:kern w:val="2"/>
      <w:sz w:val="21"/>
      <w:szCs w:val="20"/>
      <w:lang w:val="en-US" w:bidi="ar-SA"/>
    </w:rPr>
  </w:style>
  <w:style w:type="paragraph" w:customStyle="1" w:styleId="1360">
    <w:name w:val="Char Char Char Char Char Char Char Char Char Char Char Char Char Char Char Char Char1"/>
    <w:basedOn w:val="1"/>
    <w:qFormat/>
    <w:uiPriority w:val="99"/>
    <w:pPr>
      <w:autoSpaceDE/>
      <w:autoSpaceDN/>
      <w:jc w:val="both"/>
    </w:pPr>
    <w:rPr>
      <w:rFonts w:ascii="Times New Roman" w:hAnsi="Times New Roman" w:eastAsia="仿宋_GB2312" w:cs="Times New Roman"/>
      <w:kern w:val="2"/>
      <w:sz w:val="21"/>
      <w:szCs w:val="21"/>
      <w:lang w:val="en-US" w:bidi="ar-SA"/>
    </w:rPr>
  </w:style>
  <w:style w:type="paragraph" w:customStyle="1" w:styleId="1361">
    <w:name w:val="列表 3E"/>
    <w:basedOn w:val="12"/>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362">
    <w:name w:val="规划正文样式"/>
    <w:basedOn w:val="1"/>
    <w:qFormat/>
    <w:uiPriority w:val="99"/>
    <w:pPr>
      <w:autoSpaceDE/>
      <w:autoSpaceDN/>
      <w:spacing w:line="400" w:lineRule="exact"/>
      <w:ind w:firstLine="480" w:firstLineChars="200"/>
      <w:jc w:val="both"/>
    </w:pPr>
    <w:rPr>
      <w:rFonts w:ascii="Times New Roman" w:hAnsi="Times New Roman" w:cs="Times New Roman"/>
      <w:kern w:val="2"/>
      <w:sz w:val="24"/>
      <w:szCs w:val="24"/>
      <w:lang w:val="en-US" w:bidi="ar-SA"/>
    </w:rPr>
  </w:style>
  <w:style w:type="paragraph" w:customStyle="1" w:styleId="1363">
    <w:name w:val="xl28"/>
    <w:basedOn w:val="1"/>
    <w:qFormat/>
    <w:uiPriority w:val="0"/>
    <w:pPr>
      <w:widowControl/>
      <w:pBdr>
        <w:left w:val="single" w:color="auto" w:sz="4" w:space="0"/>
        <w:bottom w:val="single" w:color="auto" w:sz="4" w:space="0"/>
        <w:right w:val="single" w:color="auto" w:sz="4" w:space="0"/>
      </w:pBdr>
      <w:autoSpaceDE/>
      <w:autoSpaceDN/>
      <w:spacing w:before="100" w:beforeAutospacing="1" w:after="100" w:afterAutospacing="1"/>
      <w:jc w:val="center"/>
      <w:textAlignment w:val="top"/>
    </w:pPr>
    <w:rPr>
      <w:rFonts w:cs="Times New Roman"/>
      <w:sz w:val="24"/>
      <w:szCs w:val="20"/>
      <w:lang w:val="en-US" w:bidi="ar-SA"/>
    </w:rPr>
  </w:style>
  <w:style w:type="paragraph" w:customStyle="1" w:styleId="1364">
    <w:name w:val="图题7"/>
    <w:basedOn w:val="1"/>
    <w:qFormat/>
    <w:uiPriority w:val="99"/>
    <w:pPr>
      <w:autoSpaceDE/>
      <w:autoSpaceDN/>
      <w:adjustRightInd w:val="0"/>
      <w:snapToGrid w:val="0"/>
      <w:spacing w:line="360" w:lineRule="auto"/>
      <w:jc w:val="center"/>
    </w:pPr>
    <w:rPr>
      <w:rFonts w:ascii="Times New Roman" w:hAnsi="Times New Roman" w:eastAsia="仿宋_GB2312" w:cs="Times New Roman"/>
      <w:b/>
      <w:snapToGrid w:val="0"/>
      <w:sz w:val="24"/>
      <w:szCs w:val="24"/>
      <w:lang w:val="en-US" w:bidi="ar-SA"/>
    </w:rPr>
  </w:style>
  <w:style w:type="paragraph" w:customStyle="1" w:styleId="1365">
    <w:name w:val="Address 2"/>
    <w:basedOn w:val="1"/>
    <w:qFormat/>
    <w:uiPriority w:val="99"/>
    <w:pPr>
      <w:widowControl/>
      <w:autoSpaceDE/>
      <w:autoSpaceDN/>
      <w:spacing w:line="200" w:lineRule="atLeast"/>
    </w:pPr>
    <w:rPr>
      <w:rFonts w:ascii="Times New Roman" w:hAnsi="Times New Roman" w:cs="Times New Roman"/>
      <w:sz w:val="16"/>
      <w:szCs w:val="20"/>
      <w:lang w:val="en-US" w:bidi="ar-SA"/>
    </w:rPr>
  </w:style>
  <w:style w:type="paragraph" w:customStyle="1" w:styleId="1366">
    <w:name w:val="xl107"/>
    <w:basedOn w:val="1"/>
    <w:qFormat/>
    <w:uiPriority w:val="0"/>
    <w:pPr>
      <w:widowControl/>
      <w:pBdr>
        <w:top w:val="single" w:color="auto" w:sz="4" w:space="0"/>
        <w:right w:val="single" w:color="auto" w:sz="8" w:space="0"/>
      </w:pBdr>
      <w:autoSpaceDE/>
      <w:autoSpaceDN/>
      <w:spacing w:before="100" w:beforeAutospacing="1" w:after="100" w:afterAutospacing="1"/>
      <w:jc w:val="center"/>
      <w:textAlignment w:val="center"/>
    </w:pPr>
    <w:rPr>
      <w:rFonts w:ascii="Arial Unicode MS" w:hAnsi="Arial Unicode MS" w:eastAsia="Arial Unicode MS" w:cs="Arial Unicode MS"/>
      <w:sz w:val="16"/>
      <w:szCs w:val="16"/>
      <w:lang w:val="en-US" w:bidi="ar-SA"/>
    </w:rPr>
  </w:style>
  <w:style w:type="paragraph" w:customStyle="1" w:styleId="1367">
    <w:name w:val="列表 3B"/>
    <w:basedOn w:val="12"/>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368">
    <w:name w:val="样式 (符号) 宋体 首行缩进:  2 字符1"/>
    <w:basedOn w:val="1"/>
    <w:qFormat/>
    <w:uiPriority w:val="99"/>
    <w:pPr>
      <w:autoSpaceDE/>
      <w:autoSpaceDN/>
      <w:ind w:firstLine="567" w:firstLineChars="200"/>
      <w:jc w:val="both"/>
    </w:pPr>
    <w:rPr>
      <w:kern w:val="2"/>
      <w:sz w:val="27"/>
      <w:szCs w:val="20"/>
      <w:lang w:val="en-US" w:bidi="ar-SA"/>
    </w:rPr>
  </w:style>
  <w:style w:type="paragraph" w:customStyle="1" w:styleId="1369">
    <w:name w:val="表中文字 + 居中"/>
    <w:basedOn w:val="1059"/>
    <w:qFormat/>
    <w:uiPriority w:val="99"/>
  </w:style>
  <w:style w:type="paragraph" w:customStyle="1" w:styleId="1370">
    <w:name w:val="列表 2K"/>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371">
    <w:name w:val="Objective"/>
    <w:basedOn w:val="1"/>
    <w:next w:val="31"/>
    <w:qFormat/>
    <w:uiPriority w:val="99"/>
    <w:pPr>
      <w:widowControl/>
      <w:autoSpaceDE/>
      <w:autoSpaceDN/>
      <w:spacing w:before="220" w:after="220" w:line="220" w:lineRule="atLeast"/>
    </w:pPr>
    <w:rPr>
      <w:rFonts w:ascii="Times New Roman" w:hAnsi="Times New Roman" w:cs="Times New Roman"/>
      <w:sz w:val="20"/>
      <w:szCs w:val="20"/>
      <w:lang w:val="en-US" w:bidi="ar-SA"/>
    </w:rPr>
  </w:style>
  <w:style w:type="paragraph" w:customStyle="1" w:styleId="1372">
    <w:name w:val="居中"/>
    <w:basedOn w:val="1"/>
    <w:qFormat/>
    <w:uiPriority w:val="99"/>
    <w:pPr>
      <w:autoSpaceDE/>
      <w:autoSpaceDN/>
      <w:spacing w:before="40" w:after="40" w:line="480" w:lineRule="exact"/>
      <w:jc w:val="center"/>
    </w:pPr>
    <w:rPr>
      <w:rFonts w:ascii="Arial" w:hAnsi="Arial" w:cs="Times New Roman"/>
      <w:kern w:val="2"/>
      <w:sz w:val="24"/>
      <w:szCs w:val="20"/>
      <w:lang w:val="en-US" w:bidi="ar-SA"/>
    </w:rPr>
  </w:style>
  <w:style w:type="paragraph" w:customStyle="1" w:styleId="1373">
    <w:name w:val="CM15"/>
    <w:basedOn w:val="1"/>
    <w:next w:val="1"/>
    <w:qFormat/>
    <w:uiPriority w:val="99"/>
    <w:pPr>
      <w:adjustRightInd w:val="0"/>
      <w:spacing w:line="456" w:lineRule="atLeast"/>
    </w:pPr>
    <w:rPr>
      <w:rFonts w:hAnsi="Times New Roman"/>
      <w:sz w:val="24"/>
      <w:szCs w:val="24"/>
      <w:lang w:val="en-US" w:bidi="ar-SA"/>
    </w:rPr>
  </w:style>
  <w:style w:type="paragraph" w:customStyle="1" w:styleId="1374">
    <w:name w:val="样式 标题 2 + Times New Roman"/>
    <w:basedOn w:val="4"/>
    <w:qFormat/>
    <w:uiPriority w:val="99"/>
    <w:pPr>
      <w:keepNext/>
      <w:keepLines/>
      <w:widowControl/>
      <w:autoSpaceDE/>
      <w:autoSpaceDN/>
      <w:spacing w:before="260" w:after="260" w:line="415" w:lineRule="auto"/>
      <w:ind w:left="0" w:firstLine="538" w:firstLineChars="192"/>
    </w:pPr>
    <w:rPr>
      <w:rFonts w:ascii="Times New Roman" w:hAnsi="Times New Roman" w:eastAsia="黑体" w:cs="Times New Roman"/>
      <w:b/>
      <w:sz w:val="32"/>
      <w:szCs w:val="32"/>
      <w:lang w:val="en-US" w:bidi="ar-SA"/>
    </w:rPr>
  </w:style>
  <w:style w:type="paragraph" w:customStyle="1" w:styleId="1375">
    <w:name w:val="表标"/>
    <w:next w:val="1"/>
    <w:link w:val="1376"/>
    <w:qFormat/>
    <w:uiPriority w:val="0"/>
    <w:pPr>
      <w:widowControl w:val="0"/>
      <w:tabs>
        <w:tab w:val="left" w:pos="280"/>
      </w:tabs>
      <w:adjustRightInd w:val="0"/>
      <w:snapToGrid w:val="0"/>
      <w:jc w:val="center"/>
    </w:pPr>
    <w:rPr>
      <w:rFonts w:ascii="Times New Roman" w:hAnsi="Times New Roman" w:eastAsia="宋体" w:cs="Times New Roman"/>
      <w:b/>
      <w:kern w:val="2"/>
      <w:sz w:val="24"/>
      <w:szCs w:val="24"/>
      <w:lang w:val="en-US" w:eastAsia="zh-CN" w:bidi="ar-SA"/>
    </w:rPr>
  </w:style>
  <w:style w:type="character" w:customStyle="1" w:styleId="1376">
    <w:name w:val="表标 Char Char"/>
    <w:link w:val="1375"/>
    <w:qFormat/>
    <w:uiPriority w:val="0"/>
    <w:rPr>
      <w:b/>
      <w:kern w:val="2"/>
      <w:sz w:val="24"/>
      <w:szCs w:val="24"/>
    </w:rPr>
  </w:style>
  <w:style w:type="paragraph" w:customStyle="1" w:styleId="1377">
    <w:name w:val="pl正文"/>
    <w:basedOn w:val="1"/>
    <w:qFormat/>
    <w:uiPriority w:val="99"/>
    <w:pPr>
      <w:autoSpaceDE/>
      <w:autoSpaceDN/>
      <w:snapToGrid w:val="0"/>
      <w:spacing w:line="360" w:lineRule="auto"/>
      <w:ind w:firstLine="492"/>
      <w:jc w:val="both"/>
    </w:pPr>
    <w:rPr>
      <w:rFonts w:cs="Times New Roman"/>
      <w:color w:val="000000"/>
      <w:spacing w:val="6"/>
      <w:kern w:val="2"/>
      <w:sz w:val="28"/>
      <w:szCs w:val="24"/>
      <w:lang w:val="en-US" w:bidi="ar-SA"/>
    </w:rPr>
  </w:style>
  <w:style w:type="paragraph" w:customStyle="1" w:styleId="1378">
    <w:name w:val="样式 (西文) Times New Roman 五号 居中"/>
    <w:basedOn w:val="1"/>
    <w:qFormat/>
    <w:uiPriority w:val="0"/>
    <w:pPr>
      <w:autoSpaceDE/>
      <w:autoSpaceDN/>
      <w:jc w:val="center"/>
    </w:pPr>
    <w:rPr>
      <w:rFonts w:ascii="Times New Roman" w:hAnsi="Times New Roman"/>
      <w:sz w:val="21"/>
      <w:szCs w:val="20"/>
      <w:lang w:val="en-US" w:bidi="ar-SA"/>
    </w:rPr>
  </w:style>
  <w:style w:type="paragraph" w:customStyle="1" w:styleId="1379">
    <w:name w:val="样式 正文首行缩进 + 黑体 四号 黑色"/>
    <w:basedOn w:val="1"/>
    <w:next w:val="1"/>
    <w:qFormat/>
    <w:uiPriority w:val="99"/>
    <w:pPr>
      <w:tabs>
        <w:tab w:val="left" w:pos="2514"/>
      </w:tabs>
      <w:autoSpaceDE/>
      <w:autoSpaceDN/>
      <w:spacing w:line="360" w:lineRule="auto"/>
      <w:ind w:left="864" w:right="-132" w:rightChars="-47" w:hanging="864"/>
      <w:jc w:val="both"/>
      <w:outlineLvl w:val="3"/>
    </w:pPr>
    <w:rPr>
      <w:rFonts w:ascii="黑体" w:hAnsi="Arial" w:eastAsia="黑体"/>
      <w:color w:val="000000"/>
      <w:kern w:val="2"/>
      <w:sz w:val="28"/>
      <w:szCs w:val="20"/>
      <w:lang w:val="en-US" w:bidi="ar-SA"/>
    </w:rPr>
  </w:style>
  <w:style w:type="paragraph" w:customStyle="1" w:styleId="1380">
    <w:name w:val="xl40"/>
    <w:basedOn w:val="1"/>
    <w:qFormat/>
    <w:uiPriority w:val="0"/>
    <w:pPr>
      <w:widowControl/>
      <w:pBdr>
        <w:top w:val="single" w:color="auto" w:sz="8" w:space="0"/>
        <w:left w:val="single" w:color="auto" w:sz="4" w:space="0"/>
        <w:bottom w:val="single" w:color="auto" w:sz="4" w:space="0"/>
        <w:right w:val="single" w:color="auto" w:sz="8" w:space="0"/>
      </w:pBdr>
      <w:autoSpaceDE/>
      <w:autoSpaceDN/>
      <w:spacing w:before="100" w:beforeAutospacing="1" w:after="100" w:afterAutospacing="1"/>
      <w:jc w:val="center"/>
      <w:textAlignment w:val="center"/>
    </w:pPr>
    <w:rPr>
      <w:rFonts w:ascii="Arial Unicode MS" w:hAnsi="Arial Unicode MS" w:eastAsia="Arial Unicode MS" w:cs="Arial Unicode MS"/>
      <w:b/>
      <w:bCs/>
      <w:sz w:val="24"/>
      <w:szCs w:val="20"/>
      <w:lang w:val="en-US" w:bidi="ar-SA"/>
    </w:rPr>
  </w:style>
  <w:style w:type="paragraph" w:customStyle="1" w:styleId="1381">
    <w:name w:val="日期1"/>
    <w:basedOn w:val="1"/>
    <w:next w:val="1"/>
    <w:qFormat/>
    <w:uiPriority w:val="0"/>
    <w:pPr>
      <w:autoSpaceDE/>
      <w:autoSpaceDN/>
      <w:adjustRightInd w:val="0"/>
      <w:spacing w:line="360" w:lineRule="atLeast"/>
      <w:jc w:val="both"/>
      <w:textAlignment w:val="baseline"/>
    </w:pPr>
    <w:rPr>
      <w:rFonts w:hAnsi="Times New Roman" w:cs="Times New Roman"/>
      <w:spacing w:val="20"/>
      <w:sz w:val="28"/>
      <w:szCs w:val="20"/>
      <w:lang w:val="en-US" w:bidi="ar-SA"/>
    </w:rPr>
  </w:style>
  <w:style w:type="paragraph" w:customStyle="1" w:styleId="1382">
    <w:name w:val="xl88"/>
    <w:basedOn w:val="1"/>
    <w:qFormat/>
    <w:uiPriority w:val="0"/>
    <w:pPr>
      <w:widowControl/>
      <w:pBdr>
        <w:top w:val="single" w:color="auto" w:sz="4" w:space="0"/>
        <w:left w:val="single" w:color="auto" w:sz="8" w:space="0"/>
        <w:bottom w:val="single" w:color="auto" w:sz="4" w:space="0"/>
      </w:pBdr>
      <w:autoSpaceDE/>
      <w:autoSpaceDN/>
      <w:spacing w:before="100" w:beforeAutospacing="1" w:after="100" w:afterAutospacing="1"/>
    </w:pPr>
    <w:rPr>
      <w:rFonts w:ascii="Times New Roman" w:hAnsi="Times New Roman" w:eastAsia="Arial Unicode MS" w:cs="Times New Roman"/>
      <w:sz w:val="16"/>
      <w:szCs w:val="16"/>
      <w:lang w:val="en-US" w:bidi="ar-SA"/>
    </w:rPr>
  </w:style>
  <w:style w:type="paragraph" w:customStyle="1" w:styleId="1383">
    <w:name w:val="Char Char Char"/>
    <w:basedOn w:val="1"/>
    <w:qFormat/>
    <w:uiPriority w:val="0"/>
    <w:pPr>
      <w:autoSpaceDE/>
      <w:autoSpaceDN/>
      <w:jc w:val="both"/>
    </w:pPr>
    <w:rPr>
      <w:rFonts w:ascii="Times New Roman" w:hAnsi="Times New Roman" w:cs="Times New Roman"/>
      <w:kern w:val="2"/>
      <w:sz w:val="24"/>
      <w:szCs w:val="24"/>
      <w:lang w:val="en-US" w:bidi="ar-SA"/>
    </w:rPr>
  </w:style>
  <w:style w:type="paragraph" w:customStyle="1" w:styleId="1384">
    <w:name w:val="!Texte courant"/>
    <w:qFormat/>
    <w:uiPriority w:val="99"/>
    <w:pPr>
      <w:spacing w:before="120" w:line="280" w:lineRule="atLeast"/>
      <w:jc w:val="both"/>
    </w:pPr>
    <w:rPr>
      <w:rFonts w:ascii="Times New Roman" w:hAnsi="Times New Roman" w:eastAsia="宋体" w:cs="Times New Roman"/>
      <w:sz w:val="24"/>
      <w:lang w:val="fr-FR" w:eastAsia="en-US" w:bidi="ar-SA"/>
    </w:rPr>
  </w:style>
  <w:style w:type="paragraph" w:customStyle="1" w:styleId="1385">
    <w:name w:val="xl31"/>
    <w:basedOn w:val="1"/>
    <w:qFormat/>
    <w:uiPriority w:val="0"/>
    <w:pPr>
      <w:widowControl/>
      <w:autoSpaceDE/>
      <w:autoSpaceDN/>
      <w:spacing w:before="100" w:beforeAutospacing="1" w:after="100" w:afterAutospacing="1"/>
      <w:jc w:val="center"/>
    </w:pPr>
    <w:rPr>
      <w:rFonts w:ascii="Times New Roman" w:hAnsi="Times New Roman" w:cs="Times New Roman"/>
      <w:sz w:val="24"/>
      <w:szCs w:val="24"/>
      <w:lang w:val="en-US" w:bidi="ar-SA"/>
    </w:rPr>
  </w:style>
  <w:style w:type="paragraph" w:customStyle="1" w:styleId="1386">
    <w:name w:val="章(一级)"/>
    <w:basedOn w:val="3"/>
    <w:next w:val="963"/>
    <w:qFormat/>
    <w:uiPriority w:val="99"/>
    <w:pPr>
      <w:tabs>
        <w:tab w:val="left" w:pos="360"/>
        <w:tab w:val="left" w:pos="915"/>
      </w:tabs>
      <w:autoSpaceDE/>
      <w:autoSpaceDN/>
      <w:adjustRightInd w:val="0"/>
      <w:spacing w:before="0" w:beforeLines="100" w:afterLines="100" w:line="700" w:lineRule="exact"/>
      <w:ind w:left="915" w:hanging="435"/>
      <w:textAlignment w:val="baseline"/>
      <w:outlineLvl w:val="9"/>
    </w:pPr>
    <w:rPr>
      <w:rFonts w:ascii="宋体" w:hAnsi="宋体" w:eastAsia="宋体" w:cs="Times New Roman"/>
      <w:kern w:val="24"/>
      <w:sz w:val="24"/>
      <w:szCs w:val="20"/>
      <w:lang w:val="en-US" w:bidi="ar-SA"/>
    </w:rPr>
  </w:style>
  <w:style w:type="paragraph" w:customStyle="1" w:styleId="1387">
    <w:name w:val="表题74"/>
    <w:basedOn w:val="32"/>
    <w:qFormat/>
    <w:uiPriority w:val="99"/>
    <w:pPr>
      <w:tabs>
        <w:tab w:val="left" w:pos="4305"/>
      </w:tabs>
      <w:autoSpaceDE/>
      <w:autoSpaceDN/>
      <w:adjustRightInd w:val="0"/>
      <w:snapToGrid w:val="0"/>
      <w:spacing w:after="0"/>
      <w:ind w:left="0" w:leftChars="0"/>
      <w:jc w:val="center"/>
    </w:pPr>
    <w:rPr>
      <w:rFonts w:ascii="黑体" w:eastAsia="黑体" w:cs="Times New Roman"/>
      <w:sz w:val="24"/>
      <w:szCs w:val="24"/>
      <w:lang w:val="en-US" w:bidi="ar-SA"/>
    </w:rPr>
  </w:style>
  <w:style w:type="paragraph" w:customStyle="1" w:styleId="1388">
    <w:name w:val="xl85"/>
    <w:basedOn w:val="1"/>
    <w:qFormat/>
    <w:uiPriority w:val="0"/>
    <w:pPr>
      <w:widowControl/>
      <w:autoSpaceDE/>
      <w:autoSpaceDN/>
      <w:spacing w:before="100" w:beforeAutospacing="1" w:after="100" w:afterAutospacing="1"/>
      <w:textAlignment w:val="center"/>
    </w:pPr>
    <w:rPr>
      <w:rFonts w:ascii="Arial Unicode MS" w:hAnsi="Arial Unicode MS" w:eastAsia="Arial Unicode MS" w:cs="Arial Unicode MS"/>
      <w:sz w:val="20"/>
      <w:szCs w:val="20"/>
      <w:lang w:val="en-US" w:bidi="ar-SA"/>
    </w:rPr>
  </w:style>
  <w:style w:type="paragraph" w:customStyle="1" w:styleId="1389">
    <w:name w:val="brdrw15brsp20 tqctx4153t"/>
    <w:qFormat/>
    <w:uiPriority w:val="99"/>
    <w:pPr>
      <w:widowControl w:val="0"/>
      <w:pBdr>
        <w:bottom w:val="single" w:color="auto" w:sz="6" w:space="0"/>
      </w:pBdr>
      <w:adjustRightInd w:val="0"/>
      <w:spacing w:line="312" w:lineRule="atLeast"/>
      <w:jc w:val="center"/>
    </w:pPr>
    <w:rPr>
      <w:rFonts w:ascii="Times New Roman" w:hAnsi="Times New Roman" w:eastAsia="宋体" w:cs="Times New Roman"/>
      <w:sz w:val="21"/>
      <w:lang w:val="en-US" w:eastAsia="zh-CN" w:bidi="ar-SA"/>
    </w:rPr>
  </w:style>
  <w:style w:type="paragraph" w:customStyle="1" w:styleId="1390">
    <w:name w:val="Char Char10"/>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1391">
    <w:name w:val="2 Char Char Char"/>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1392">
    <w:name w:val="表格内容"/>
    <w:basedOn w:val="1"/>
    <w:qFormat/>
    <w:uiPriority w:val="0"/>
    <w:pPr>
      <w:tabs>
        <w:tab w:val="left" w:pos="1800"/>
        <w:tab w:val="left" w:pos="2805"/>
      </w:tabs>
      <w:overflowPunct w:val="0"/>
      <w:autoSpaceDE/>
      <w:autoSpaceDN/>
      <w:adjustRightInd w:val="0"/>
      <w:snapToGrid w:val="0"/>
      <w:spacing w:before="40" w:after="60" w:line="200" w:lineRule="atLeast"/>
      <w:ind w:firstLine="200" w:firstLineChars="200"/>
      <w:jc w:val="both"/>
      <w:textAlignment w:val="baseline"/>
    </w:pPr>
    <w:rPr>
      <w:rFonts w:ascii="Arial" w:hAnsi="Arial" w:eastAsia="仿宋_GB2312" w:cs="Arial"/>
      <w:sz w:val="24"/>
      <w:szCs w:val="24"/>
      <w:lang w:val="en-US" w:bidi="ar-SA"/>
    </w:rPr>
  </w:style>
  <w:style w:type="paragraph" w:customStyle="1" w:styleId="1393">
    <w:name w:val="MTDisplayEquation"/>
    <w:basedOn w:val="1"/>
    <w:next w:val="1"/>
    <w:qFormat/>
    <w:uiPriority w:val="0"/>
    <w:pPr>
      <w:tabs>
        <w:tab w:val="center" w:pos="4080"/>
        <w:tab w:val="right" w:pos="8160"/>
      </w:tabs>
      <w:autoSpaceDE/>
      <w:autoSpaceDN/>
      <w:spacing w:line="360" w:lineRule="auto"/>
      <w:ind w:firstLine="480" w:firstLineChars="200"/>
      <w:jc w:val="both"/>
    </w:pPr>
    <w:rPr>
      <w:rFonts w:ascii="Times New Roman" w:hAnsi="Times New Roman" w:cs="Times New Roman"/>
      <w:kern w:val="2"/>
      <w:sz w:val="24"/>
      <w:szCs w:val="24"/>
      <w:lang w:val="en-US" w:bidi="ar-SA"/>
    </w:rPr>
  </w:style>
  <w:style w:type="paragraph" w:customStyle="1" w:styleId="1394">
    <w:name w:val="表标题3.7"/>
    <w:basedOn w:val="1"/>
    <w:qFormat/>
    <w:uiPriority w:val="99"/>
    <w:pPr>
      <w:tabs>
        <w:tab w:val="left" w:pos="2444"/>
        <w:tab w:val="center" w:pos="4060"/>
        <w:tab w:val="right" w:pos="8261"/>
      </w:tabs>
      <w:suppressAutoHyphens/>
      <w:autoSpaceDE/>
      <w:autoSpaceDN/>
      <w:adjustRightInd w:val="0"/>
      <w:spacing w:before="240" w:line="0" w:lineRule="atLeast"/>
      <w:ind w:left="1720" w:firstLine="4"/>
      <w:jc w:val="both"/>
    </w:pPr>
    <w:rPr>
      <w:rFonts w:ascii="黑体" w:hAnsi="Times New Roman" w:eastAsia="黑体" w:cs="Times New Roman"/>
      <w:b/>
      <w:spacing w:val="6"/>
      <w:sz w:val="26"/>
      <w:szCs w:val="26"/>
      <w:lang w:val="en-US" w:bidi="ar-SA"/>
    </w:rPr>
  </w:style>
  <w:style w:type="paragraph" w:customStyle="1" w:styleId="1395">
    <w:name w:val="页号"/>
    <w:basedOn w:val="50"/>
    <w:qFormat/>
    <w:uiPriority w:val="99"/>
    <w:pPr>
      <w:tabs>
        <w:tab w:val="center" w:pos="4320"/>
        <w:tab w:val="right" w:pos="8640"/>
        <w:tab w:val="clear" w:pos="4153"/>
        <w:tab w:val="clear" w:pos="8306"/>
      </w:tabs>
      <w:autoSpaceDE/>
      <w:autoSpaceDN/>
      <w:adjustRightInd w:val="0"/>
      <w:snapToGrid/>
      <w:jc w:val="center"/>
      <w:textAlignment w:val="baseline"/>
    </w:pPr>
    <w:rPr>
      <w:rFonts w:hAnsi="Arial" w:cs="Times New Roman"/>
      <w:spacing w:val="3"/>
      <w:kern w:val="24"/>
      <w:sz w:val="24"/>
      <w:szCs w:val="20"/>
      <w:lang w:val="en-US" w:bidi="ar-SA"/>
    </w:rPr>
  </w:style>
  <w:style w:type="paragraph" w:customStyle="1" w:styleId="1396">
    <w:name w:val="reader-word-layer"/>
    <w:basedOn w:val="1"/>
    <w:qFormat/>
    <w:uiPriority w:val="0"/>
    <w:pPr>
      <w:widowControl/>
      <w:autoSpaceDE/>
      <w:autoSpaceDN/>
      <w:spacing w:before="100" w:beforeAutospacing="1" w:after="100" w:afterAutospacing="1"/>
    </w:pPr>
    <w:rPr>
      <w:sz w:val="24"/>
      <w:szCs w:val="24"/>
      <w:lang w:val="en-US" w:bidi="ar-SA"/>
    </w:rPr>
  </w:style>
  <w:style w:type="paragraph" w:customStyle="1" w:styleId="1397">
    <w:name w:val="Char1 Char Char Char Char Char1 Char2"/>
    <w:basedOn w:val="1"/>
    <w:qFormat/>
    <w:uiPriority w:val="99"/>
    <w:pPr>
      <w:autoSpaceDE/>
      <w:autoSpaceDN/>
      <w:jc w:val="both"/>
    </w:pPr>
    <w:rPr>
      <w:rFonts w:ascii="Tahoma" w:hAnsi="Tahoma" w:cs="Times New Roman"/>
      <w:kern w:val="2"/>
      <w:sz w:val="24"/>
      <w:szCs w:val="20"/>
      <w:lang w:val="en-US" w:bidi="ar-SA"/>
    </w:rPr>
  </w:style>
  <w:style w:type="paragraph" w:customStyle="1" w:styleId="1398">
    <w:name w:val="页脚1"/>
    <w:basedOn w:val="218"/>
    <w:qFormat/>
    <w:uiPriority w:val="99"/>
    <w:pPr>
      <w:tabs>
        <w:tab w:val="center" w:pos="4153"/>
        <w:tab w:val="right" w:pos="8306"/>
      </w:tabs>
      <w:spacing w:line="240" w:lineRule="atLeast"/>
    </w:pPr>
    <w:rPr>
      <w:rFonts w:eastAsia="Times New Roman"/>
      <w:sz w:val="18"/>
      <w:szCs w:val="22"/>
    </w:rPr>
  </w:style>
  <w:style w:type="paragraph" w:customStyle="1" w:styleId="1399">
    <w:name w:val="正文21"/>
    <w:basedOn w:val="1"/>
    <w:next w:val="1"/>
    <w:qFormat/>
    <w:uiPriority w:val="0"/>
    <w:pPr>
      <w:autoSpaceDE/>
      <w:autoSpaceDN/>
      <w:spacing w:line="360" w:lineRule="auto"/>
      <w:jc w:val="both"/>
    </w:pPr>
    <w:rPr>
      <w:rFonts w:ascii="仿宋_GB2312" w:hAnsi="Times New Roman" w:eastAsia="仿宋_GB2312" w:cs="Times New Roman"/>
      <w:kern w:val="2"/>
      <w:sz w:val="28"/>
      <w:szCs w:val="28"/>
      <w:lang w:val="en-US" w:bidi="ar-SA"/>
    </w:rPr>
  </w:style>
  <w:style w:type="paragraph" w:customStyle="1" w:styleId="1400">
    <w:name w:val="基准标题"/>
    <w:basedOn w:val="31"/>
    <w:next w:val="31"/>
    <w:qFormat/>
    <w:uiPriority w:val="99"/>
    <w:pPr>
      <w:keepNext/>
      <w:keepLines/>
      <w:widowControl/>
      <w:autoSpaceDE/>
      <w:autoSpaceDN/>
      <w:spacing w:line="280" w:lineRule="exact"/>
    </w:pPr>
    <w:rPr>
      <w:rFonts w:ascii="Arial Black" w:hAnsi="Arial Black" w:cs="Times New Roman"/>
      <w:spacing w:val="-10"/>
      <w:kern w:val="28"/>
      <w:sz w:val="30"/>
      <w:szCs w:val="20"/>
      <w:lang w:val="en-US" w:bidi="ar-SA"/>
    </w:rPr>
  </w:style>
  <w:style w:type="paragraph" w:customStyle="1" w:styleId="1401">
    <w:name w:val="样式 表内5 + 首行缩进:  2 字符"/>
    <w:basedOn w:val="1035"/>
    <w:qFormat/>
    <w:uiPriority w:val="99"/>
    <w:pPr>
      <w:ind w:firstLine="420"/>
    </w:pPr>
    <w:rPr>
      <w:szCs w:val="20"/>
    </w:rPr>
  </w:style>
  <w:style w:type="paragraph" w:customStyle="1" w:styleId="1402">
    <w:name w:val="标题16.1.1.1"/>
    <w:basedOn w:val="6"/>
    <w:qFormat/>
    <w:uiPriority w:val="99"/>
    <w:pPr>
      <w:tabs>
        <w:tab w:val="left" w:pos="360"/>
        <w:tab w:val="left" w:pos="1680"/>
      </w:tabs>
      <w:spacing w:before="120" w:after="120" w:line="312" w:lineRule="auto"/>
      <w:ind w:left="1680" w:hanging="420"/>
    </w:pPr>
    <w:rPr>
      <w:rFonts w:ascii="Arial" w:hAnsi="Arial" w:eastAsia="黑体"/>
      <w:sz w:val="24"/>
      <w:szCs w:val="24"/>
    </w:rPr>
  </w:style>
  <w:style w:type="paragraph" w:customStyle="1" w:styleId="1403">
    <w:name w:val="xl79"/>
    <w:basedOn w:val="1"/>
    <w:qFormat/>
    <w:uiPriority w:val="0"/>
    <w:pPr>
      <w:widowControl/>
      <w:pBdr>
        <w:top w:val="single" w:color="auto" w:sz="4" w:space="0"/>
        <w:right w:val="single" w:color="auto" w:sz="8" w:space="0"/>
      </w:pBdr>
      <w:autoSpaceDE/>
      <w:autoSpaceDN/>
      <w:spacing w:before="100" w:beforeAutospacing="1" w:after="100" w:afterAutospacing="1"/>
      <w:jc w:val="center"/>
      <w:textAlignment w:val="center"/>
    </w:pPr>
    <w:rPr>
      <w:rFonts w:ascii="Arial Unicode MS" w:hAnsi="Arial Unicode MS" w:eastAsia="Arial Unicode MS" w:cs="Arial Unicode MS"/>
      <w:sz w:val="16"/>
      <w:szCs w:val="16"/>
      <w:lang w:val="en-US" w:bidi="ar-SA"/>
    </w:rPr>
  </w:style>
  <w:style w:type="paragraph" w:customStyle="1" w:styleId="1404">
    <w:name w:val="CM138"/>
    <w:basedOn w:val="1"/>
    <w:next w:val="1"/>
    <w:qFormat/>
    <w:uiPriority w:val="99"/>
    <w:pPr>
      <w:adjustRightInd w:val="0"/>
      <w:spacing w:after="130"/>
    </w:pPr>
    <w:rPr>
      <w:rFonts w:hAnsi="Times New Roman"/>
      <w:sz w:val="24"/>
      <w:szCs w:val="24"/>
      <w:lang w:val="en-US" w:bidi="ar-SA"/>
    </w:rPr>
  </w:style>
  <w:style w:type="paragraph" w:customStyle="1" w:styleId="1405">
    <w:name w:val="xl45"/>
    <w:basedOn w:val="1"/>
    <w:qFormat/>
    <w:uiPriority w:val="0"/>
    <w:pPr>
      <w:widowControl/>
      <w:pBdr>
        <w:top w:val="single" w:color="auto" w:sz="8"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Arial Unicode MS" w:hAnsi="Arial Unicode MS" w:eastAsia="Arial Unicode MS" w:cs="Arial Unicode MS"/>
      <w:b/>
      <w:bCs/>
      <w:sz w:val="24"/>
      <w:szCs w:val="20"/>
      <w:lang w:val="en-US" w:bidi="ar-SA"/>
    </w:rPr>
  </w:style>
  <w:style w:type="paragraph" w:customStyle="1" w:styleId="1406">
    <w:name w:val="样式 宋体 四号 黑色 行距: 1.5 倍行距"/>
    <w:basedOn w:val="1"/>
    <w:qFormat/>
    <w:uiPriority w:val="99"/>
    <w:pPr>
      <w:spacing w:line="360" w:lineRule="auto"/>
      <w:ind w:firstLine="200" w:firstLineChars="200"/>
      <w:jc w:val="both"/>
    </w:pPr>
    <w:rPr>
      <w:color w:val="000000"/>
      <w:kern w:val="2"/>
      <w:sz w:val="28"/>
      <w:szCs w:val="20"/>
      <w:lang w:val="en-US" w:bidi="ar-SA"/>
    </w:rPr>
  </w:style>
  <w:style w:type="paragraph" w:customStyle="1" w:styleId="1407">
    <w:name w:val="表标题2"/>
    <w:basedOn w:val="1"/>
    <w:qFormat/>
    <w:uiPriority w:val="0"/>
    <w:pPr>
      <w:keepNext/>
      <w:autoSpaceDE/>
      <w:autoSpaceDN/>
      <w:adjustRightInd w:val="0"/>
      <w:spacing w:before="60" w:after="60" w:line="397" w:lineRule="atLeast"/>
      <w:jc w:val="center"/>
      <w:textAlignment w:val="baseline"/>
    </w:pPr>
    <w:rPr>
      <w:rFonts w:ascii="Times New Roman" w:hAnsi="Times New Roman" w:cs="Times New Roman"/>
      <w:b/>
      <w:sz w:val="24"/>
      <w:szCs w:val="20"/>
      <w:lang w:val="en-US" w:bidi="ar-SA"/>
    </w:rPr>
  </w:style>
  <w:style w:type="paragraph" w:customStyle="1" w:styleId="1408">
    <w:name w:val="CM63"/>
    <w:basedOn w:val="101"/>
    <w:next w:val="101"/>
    <w:qFormat/>
    <w:uiPriority w:val="99"/>
    <w:pPr>
      <w:snapToGrid w:val="0"/>
      <w:spacing w:beforeLines="0" w:after="270" w:afterLines="0" w:line="360" w:lineRule="auto"/>
    </w:pPr>
    <w:rPr>
      <w:rFonts w:ascii="Times New Roman" w:cs="Times New Roman"/>
      <w:b w:val="0"/>
      <w:color w:val="auto"/>
      <w:kern w:val="0"/>
      <w:sz w:val="24"/>
      <w:szCs w:val="24"/>
    </w:rPr>
  </w:style>
  <w:style w:type="paragraph" w:customStyle="1" w:styleId="1409">
    <w:name w:val="CM16"/>
    <w:basedOn w:val="101"/>
    <w:next w:val="101"/>
    <w:qFormat/>
    <w:uiPriority w:val="99"/>
    <w:pPr>
      <w:snapToGrid w:val="0"/>
      <w:spacing w:beforeLines="0" w:afterLines="0" w:line="468" w:lineRule="atLeast"/>
    </w:pPr>
    <w:rPr>
      <w:rFonts w:ascii="Times New Roman" w:cs="Times New Roman"/>
      <w:b w:val="0"/>
      <w:color w:val="auto"/>
      <w:kern w:val="0"/>
      <w:sz w:val="24"/>
      <w:szCs w:val="24"/>
    </w:rPr>
  </w:style>
  <w:style w:type="paragraph" w:customStyle="1" w:styleId="1410">
    <w:name w:val="Char Char1 Char"/>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1411">
    <w:name w:val="样式 样式 样式 标题 4款标题1.1.1.1 南陵标题 4标题 4 CharH4PIM 4h4First Subheadin...."/>
    <w:basedOn w:val="1"/>
    <w:qFormat/>
    <w:uiPriority w:val="0"/>
    <w:pPr>
      <w:autoSpaceDE/>
      <w:autoSpaceDN/>
      <w:spacing w:line="360" w:lineRule="auto"/>
      <w:jc w:val="both"/>
      <w:outlineLvl w:val="3"/>
    </w:pPr>
    <w:rPr>
      <w:rFonts w:ascii="黑体" w:hAnsi="Times New Roman" w:eastAsia="黑体" w:cs="Times New Roman"/>
      <w:sz w:val="24"/>
      <w:szCs w:val="24"/>
      <w:lang w:val="en-US" w:bidi="ar-SA"/>
    </w:rPr>
  </w:style>
  <w:style w:type="paragraph" w:customStyle="1" w:styleId="1412">
    <w:name w:val="char"/>
    <w:basedOn w:val="1"/>
    <w:qFormat/>
    <w:uiPriority w:val="0"/>
    <w:pPr>
      <w:widowControl/>
      <w:autoSpaceDE/>
      <w:autoSpaceDN/>
      <w:spacing w:after="160" w:line="240" w:lineRule="exact"/>
    </w:pPr>
    <w:rPr>
      <w:rFonts w:ascii="Verdana" w:hAnsi="Verdana" w:eastAsia="仿宋_GB2312" w:cs="”“Times New Roman”“"/>
      <w:sz w:val="24"/>
      <w:szCs w:val="20"/>
      <w:lang w:val="en-US" w:eastAsia="en-US" w:bidi="ar-SA"/>
    </w:rPr>
  </w:style>
  <w:style w:type="paragraph" w:customStyle="1" w:styleId="1413">
    <w:name w:val="kk"/>
    <w:basedOn w:val="31"/>
    <w:qFormat/>
    <w:uiPriority w:val="99"/>
    <w:pPr>
      <w:adjustRightInd w:val="0"/>
      <w:spacing w:line="360" w:lineRule="auto"/>
      <w:jc w:val="both"/>
      <w:textAlignment w:val="baseline"/>
    </w:pPr>
    <w:rPr>
      <w:rFonts w:ascii="Times New Roman" w:hAnsi="Times New Roman" w:cs="Times New Roman"/>
      <w:spacing w:val="10"/>
      <w:sz w:val="24"/>
      <w:szCs w:val="20"/>
      <w:lang w:val="en-US" w:bidi="ar-SA"/>
    </w:rPr>
  </w:style>
  <w:style w:type="paragraph" w:customStyle="1" w:styleId="1414">
    <w:name w:val="样式 标题 2标题 21标题 121节H2SeHead wsa2标题 1.1 + 黑体 四号 非加粗"/>
    <w:basedOn w:val="4"/>
    <w:qFormat/>
    <w:uiPriority w:val="99"/>
    <w:pPr>
      <w:keepNext/>
      <w:keepLines/>
      <w:tabs>
        <w:tab w:val="left" w:pos="576"/>
      </w:tabs>
      <w:autoSpaceDE/>
      <w:autoSpaceDN/>
      <w:spacing w:before="260" w:after="260" w:line="416" w:lineRule="auto"/>
      <w:ind w:left="576" w:hanging="576"/>
      <w:jc w:val="both"/>
    </w:pPr>
    <w:rPr>
      <w:rFonts w:ascii="黑体" w:hAnsi="黑体" w:eastAsia="黑体" w:cs="Times New Roman"/>
      <w:sz w:val="28"/>
      <w:szCs w:val="32"/>
      <w:lang w:val="en-US" w:bidi="ar-SA"/>
    </w:rPr>
  </w:style>
  <w:style w:type="paragraph" w:customStyle="1" w:styleId="1415">
    <w:name w:val="样式3wf"/>
    <w:basedOn w:val="1335"/>
    <w:qFormat/>
    <w:uiPriority w:val="99"/>
    <w:pPr>
      <w:keepNext w:val="0"/>
      <w:keepLines w:val="0"/>
      <w:autoSpaceDE w:val="0"/>
      <w:autoSpaceDN w:val="0"/>
      <w:adjustRightInd w:val="0"/>
      <w:snapToGrid w:val="0"/>
      <w:spacing w:before="120" w:line="240" w:lineRule="auto"/>
      <w:jc w:val="center"/>
      <w:textAlignment w:val="baseline"/>
      <w:outlineLvl w:val="9"/>
    </w:pPr>
    <w:rPr>
      <w:rFonts w:ascii="Times New Roman" w:hAnsi="Times New Roman" w:eastAsia="宋体"/>
      <w:bCs w:val="0"/>
      <w:sz w:val="21"/>
      <w:szCs w:val="21"/>
    </w:rPr>
  </w:style>
  <w:style w:type="paragraph" w:customStyle="1" w:styleId="1416">
    <w:name w:val="样式 表格文字居中 + 五号"/>
    <w:basedOn w:val="604"/>
    <w:qFormat/>
    <w:uiPriority w:val="99"/>
    <w:pPr>
      <w:spacing w:line="240" w:lineRule="exact"/>
    </w:pPr>
    <w:rPr>
      <w:rFonts w:hAnsi="Times New Roman"/>
      <w:snapToGrid w:val="0"/>
      <w:color w:val="000000"/>
      <w:spacing w:val="-6"/>
    </w:rPr>
  </w:style>
  <w:style w:type="paragraph" w:customStyle="1" w:styleId="1417">
    <w:name w:val="Address 1"/>
    <w:basedOn w:val="1"/>
    <w:qFormat/>
    <w:uiPriority w:val="99"/>
    <w:pPr>
      <w:widowControl/>
      <w:autoSpaceDE/>
      <w:autoSpaceDN/>
      <w:spacing w:line="200" w:lineRule="atLeast"/>
    </w:pPr>
    <w:rPr>
      <w:rFonts w:ascii="Times New Roman" w:hAnsi="Times New Roman" w:cs="Times New Roman"/>
      <w:sz w:val="16"/>
      <w:szCs w:val="20"/>
      <w:lang w:val="en-US" w:bidi="ar-SA"/>
    </w:rPr>
  </w:style>
  <w:style w:type="paragraph" w:customStyle="1" w:styleId="1418">
    <w:name w:val="font15"/>
    <w:basedOn w:val="1"/>
    <w:qFormat/>
    <w:uiPriority w:val="0"/>
    <w:pPr>
      <w:widowControl/>
      <w:autoSpaceDE/>
      <w:autoSpaceDN/>
      <w:spacing w:before="100" w:beforeAutospacing="1" w:after="100" w:afterAutospacing="1"/>
    </w:pPr>
    <w:rPr>
      <w:rFonts w:ascii="Times New Roman" w:hAnsi="Times New Roman" w:eastAsia="Arial Unicode MS" w:cs="Times New Roman"/>
      <w:b/>
      <w:bCs/>
      <w:sz w:val="16"/>
      <w:szCs w:val="16"/>
      <w:lang w:val="en-US" w:bidi="ar-SA"/>
    </w:rPr>
  </w:style>
  <w:style w:type="paragraph" w:customStyle="1" w:styleId="1419">
    <w:name w:val="xl93"/>
    <w:basedOn w:val="1"/>
    <w:qFormat/>
    <w:uiPriority w:val="0"/>
    <w:pPr>
      <w:widowControl/>
      <w:pBdr>
        <w:top w:val="single" w:color="auto" w:sz="4" w:space="0"/>
        <w:bottom w:val="single" w:color="auto" w:sz="8" w:space="0"/>
        <w:right w:val="single" w:color="auto" w:sz="8" w:space="0"/>
      </w:pBdr>
      <w:autoSpaceDE/>
      <w:autoSpaceDN/>
      <w:spacing w:before="100" w:beforeAutospacing="1" w:after="100" w:afterAutospacing="1"/>
    </w:pPr>
    <w:rPr>
      <w:rFonts w:ascii="Arial Unicode MS" w:hAnsi="Arial Unicode MS" w:eastAsia="Arial Unicode MS" w:cs="Arial Unicode MS"/>
      <w:sz w:val="24"/>
      <w:szCs w:val="24"/>
      <w:lang w:val="en-US" w:bidi="ar-SA"/>
    </w:rPr>
  </w:style>
  <w:style w:type="paragraph" w:customStyle="1" w:styleId="1420">
    <w:name w:val="列表 4C"/>
    <w:basedOn w:val="69"/>
    <w:next w:val="69"/>
    <w:qFormat/>
    <w:uiPriority w:val="99"/>
    <w:pPr>
      <w:tabs>
        <w:tab w:val="left" w:pos="562"/>
      </w:tabs>
      <w:topLinePunct w:val="0"/>
      <w:spacing w:beforeLines="20" w:afterLines="20" w:line="288" w:lineRule="auto"/>
      <w:ind w:left="562" w:leftChars="0" w:hanging="420" w:firstLineChars="0"/>
      <w:jc w:val="both"/>
    </w:pPr>
    <w:rPr>
      <w:rFonts w:ascii="Arial" w:hAnsi="Arial" w:eastAsia="宋体"/>
      <w:color w:val="CCFFFF"/>
      <w:sz w:val="24"/>
    </w:rPr>
  </w:style>
  <w:style w:type="paragraph" w:customStyle="1" w:styleId="1421">
    <w:name w:val="xl47"/>
    <w:basedOn w:val="1"/>
    <w:qFormat/>
    <w:uiPriority w:val="0"/>
    <w:pPr>
      <w:widowControl/>
      <w:pBdr>
        <w:left w:val="single" w:color="auto" w:sz="4" w:space="0"/>
        <w:bottom w:val="single" w:color="auto" w:sz="4" w:space="0"/>
        <w:right w:val="single" w:color="auto" w:sz="4" w:space="0"/>
      </w:pBdr>
      <w:autoSpaceDE/>
      <w:autoSpaceDN/>
      <w:spacing w:before="100" w:beforeAutospacing="1" w:after="100" w:afterAutospacing="1"/>
      <w:jc w:val="both"/>
    </w:pPr>
    <w:rPr>
      <w:rFonts w:ascii="Arial Unicode MS" w:hAnsi="Arial Unicode MS" w:eastAsia="Arial Unicode MS" w:cs="Times New Roman"/>
      <w:sz w:val="21"/>
      <w:szCs w:val="21"/>
      <w:lang w:val="en-US" w:bidi="ar-SA"/>
    </w:rPr>
  </w:style>
  <w:style w:type="paragraph" w:customStyle="1" w:styleId="1422">
    <w:name w:val="CM21"/>
    <w:basedOn w:val="101"/>
    <w:next w:val="101"/>
    <w:qFormat/>
    <w:uiPriority w:val="99"/>
    <w:pPr>
      <w:snapToGrid w:val="0"/>
      <w:spacing w:beforeLines="0" w:afterLines="0" w:line="468" w:lineRule="atLeast"/>
    </w:pPr>
    <w:rPr>
      <w:rFonts w:ascii="Times New Roman" w:cs="Times New Roman"/>
      <w:b w:val="0"/>
      <w:color w:val="auto"/>
      <w:kern w:val="0"/>
      <w:sz w:val="24"/>
      <w:szCs w:val="24"/>
    </w:rPr>
  </w:style>
  <w:style w:type="paragraph" w:customStyle="1" w:styleId="1423">
    <w:name w:val="列表 4V"/>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424">
    <w:name w:val="样式9"/>
    <w:basedOn w:val="5"/>
    <w:link w:val="1425"/>
    <w:qFormat/>
    <w:uiPriority w:val="0"/>
    <w:pPr>
      <w:widowControl/>
      <w:autoSpaceDE/>
      <w:autoSpaceDN/>
      <w:adjustRightInd w:val="0"/>
      <w:snapToGrid w:val="0"/>
      <w:spacing w:beforeLines="50" w:afterLines="50" w:line="360" w:lineRule="auto"/>
      <w:ind w:left="0" w:firstLine="0"/>
      <w:textAlignment w:val="baseline"/>
    </w:pPr>
    <w:rPr>
      <w:rFonts w:hAnsi="Times New Roman" w:cs="Times New Roman"/>
      <w:bCs w:val="0"/>
      <w:szCs w:val="20"/>
      <w:lang w:val="en-US" w:bidi="ar-SA"/>
    </w:rPr>
  </w:style>
  <w:style w:type="character" w:customStyle="1" w:styleId="1425">
    <w:name w:val="样式9 Char"/>
    <w:link w:val="1424"/>
    <w:qFormat/>
    <w:uiPriority w:val="0"/>
    <w:rPr>
      <w:rFonts w:ascii="宋体"/>
      <w:b/>
      <w:sz w:val="24"/>
    </w:rPr>
  </w:style>
  <w:style w:type="paragraph" w:customStyle="1" w:styleId="1426">
    <w:name w:val="xl54"/>
    <w:basedOn w:val="1"/>
    <w:qFormat/>
    <w:uiPriority w:val="0"/>
    <w:pPr>
      <w:widowControl/>
      <w:pBdr>
        <w:top w:val="single" w:color="auto" w:sz="8" w:space="0"/>
        <w:bottom w:val="single" w:color="auto" w:sz="8" w:space="0"/>
        <w:right w:val="single" w:color="auto" w:sz="4" w:space="0"/>
      </w:pBdr>
      <w:autoSpaceDE/>
      <w:autoSpaceDN/>
      <w:spacing w:before="100" w:beforeAutospacing="1" w:after="100" w:afterAutospacing="1"/>
      <w:jc w:val="center"/>
      <w:textAlignment w:val="top"/>
    </w:pPr>
    <w:rPr>
      <w:rFonts w:eastAsia="仿宋_GB2312" w:cs="Times New Roman"/>
      <w:position w:val="-6"/>
      <w:sz w:val="24"/>
      <w:szCs w:val="21"/>
      <w:lang w:val="en-US" w:bidi="ar-SA"/>
    </w:rPr>
  </w:style>
  <w:style w:type="paragraph" w:customStyle="1" w:styleId="1427">
    <w:name w:val="表中居中文字"/>
    <w:basedOn w:val="1"/>
    <w:qFormat/>
    <w:uiPriority w:val="99"/>
    <w:pPr>
      <w:autoSpaceDE/>
      <w:autoSpaceDN/>
      <w:jc w:val="both"/>
    </w:pPr>
    <w:rPr>
      <w:rFonts w:cs="Arial"/>
      <w:bCs/>
      <w:color w:val="FF0000"/>
      <w:kern w:val="2"/>
      <w:sz w:val="24"/>
      <w:szCs w:val="18"/>
      <w:lang w:val="en-US" w:bidi="ar-SA"/>
    </w:rPr>
  </w:style>
  <w:style w:type="paragraph" w:customStyle="1" w:styleId="1428">
    <w:name w:val="备注"/>
    <w:basedOn w:val="78"/>
    <w:qFormat/>
    <w:uiPriority w:val="99"/>
    <w:pPr>
      <w:keepNext/>
      <w:tabs>
        <w:tab w:val="left" w:pos="628"/>
        <w:tab w:val="left" w:pos="1727"/>
        <w:tab w:val="left" w:pos="1884"/>
        <w:tab w:val="left" w:pos="4900"/>
      </w:tabs>
      <w:adjustRightInd w:val="0"/>
      <w:snapToGrid w:val="0"/>
      <w:spacing w:after="0" w:line="0" w:lineRule="atLeast"/>
      <w:ind w:firstLine="0" w:firstLineChars="0"/>
    </w:pPr>
    <w:rPr>
      <w:rFonts w:cs="Arial"/>
      <w:sz w:val="18"/>
      <w:szCs w:val="18"/>
    </w:rPr>
  </w:style>
  <w:style w:type="paragraph" w:customStyle="1" w:styleId="1429">
    <w:name w:val="列表 5M"/>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30">
    <w:name w:val="Char Char Char2 Char Char Char Char Char Char Char Char Char Char1"/>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1431">
    <w:name w:val="表标16.6"/>
    <w:next w:val="117"/>
    <w:qFormat/>
    <w:uiPriority w:val="99"/>
    <w:pPr>
      <w:tabs>
        <w:tab w:val="left" w:pos="1560"/>
        <w:tab w:val="left" w:pos="2160"/>
      </w:tabs>
      <w:adjustRightInd w:val="0"/>
      <w:snapToGrid w:val="0"/>
      <w:spacing w:line="360" w:lineRule="auto"/>
      <w:jc w:val="center"/>
      <w:textAlignment w:val="baseline"/>
    </w:pPr>
    <w:rPr>
      <w:rFonts w:ascii="Times New Roman" w:hAnsi="Times New Roman" w:eastAsia="仿宋_GB2312" w:cs="Times New Roman"/>
      <w:b/>
      <w:color w:val="000000"/>
      <w:kern w:val="2"/>
      <w:sz w:val="24"/>
      <w:szCs w:val="24"/>
      <w:lang w:val="en-US" w:eastAsia="zh-CN" w:bidi="ar-SA"/>
    </w:rPr>
  </w:style>
  <w:style w:type="paragraph" w:customStyle="1" w:styleId="1432">
    <w:name w:val="表3.3"/>
    <w:basedOn w:val="1"/>
    <w:qFormat/>
    <w:uiPriority w:val="99"/>
    <w:pPr>
      <w:tabs>
        <w:tab w:val="left" w:pos="726"/>
        <w:tab w:val="center" w:pos="4060"/>
        <w:tab w:val="right" w:pos="8261"/>
      </w:tabs>
      <w:suppressAutoHyphens/>
      <w:autoSpaceDE/>
      <w:autoSpaceDN/>
      <w:adjustRightInd w:val="0"/>
      <w:spacing w:before="240" w:line="0" w:lineRule="atLeast"/>
      <w:ind w:left="2" w:firstLine="4"/>
      <w:jc w:val="both"/>
    </w:pPr>
    <w:rPr>
      <w:rFonts w:ascii="黑体" w:hAnsi="Times New Roman" w:eastAsia="黑体" w:cs="Times New Roman"/>
      <w:b/>
      <w:spacing w:val="6"/>
      <w:sz w:val="26"/>
      <w:szCs w:val="26"/>
      <w:lang w:val="en-US" w:bidi="ar-SA"/>
    </w:rPr>
  </w:style>
  <w:style w:type="paragraph" w:customStyle="1" w:styleId="1433">
    <w:name w:val="表格内容（OPCC宋体）"/>
    <w:basedOn w:val="1"/>
    <w:qFormat/>
    <w:uiPriority w:val="99"/>
    <w:pPr>
      <w:autoSpaceDE/>
      <w:autoSpaceDN/>
      <w:adjustRightInd w:val="0"/>
      <w:snapToGrid w:val="0"/>
      <w:jc w:val="center"/>
    </w:pPr>
    <w:rPr>
      <w:rFonts w:ascii="Times New Roman" w:hAnsi="Times New Roman" w:eastAsia="仿宋_GB2312"/>
      <w:snapToGrid w:val="0"/>
      <w:sz w:val="21"/>
      <w:szCs w:val="21"/>
      <w:lang w:val="en-US" w:bidi="ar-SA"/>
    </w:rPr>
  </w:style>
  <w:style w:type="paragraph" w:customStyle="1" w:styleId="1434">
    <w:name w:val="样式 表标题4.9 + 居中"/>
    <w:basedOn w:val="1265"/>
    <w:qFormat/>
    <w:uiPriority w:val="99"/>
    <w:pPr>
      <w:tabs>
        <w:tab w:val="left" w:pos="726"/>
        <w:tab w:val="clear" w:pos="4060"/>
        <w:tab w:val="clear" w:pos="8261"/>
      </w:tabs>
      <w:ind w:left="2" w:firstLine="4"/>
      <w:jc w:val="center"/>
    </w:pPr>
    <w:rPr>
      <w:rFonts w:cs="宋体"/>
      <w:bCs/>
      <w:szCs w:val="20"/>
    </w:rPr>
  </w:style>
  <w:style w:type="paragraph" w:customStyle="1" w:styleId="1435">
    <w:name w:val="威顿报告正文"/>
    <w:basedOn w:val="1"/>
    <w:qFormat/>
    <w:uiPriority w:val="99"/>
    <w:pPr>
      <w:autoSpaceDE/>
      <w:autoSpaceDN/>
      <w:adjustRightInd w:val="0"/>
      <w:snapToGrid w:val="0"/>
      <w:spacing w:beforeLines="25" w:line="440" w:lineRule="exact"/>
      <w:ind w:firstLine="200" w:firstLineChars="200"/>
      <w:jc w:val="both"/>
    </w:pPr>
    <w:rPr>
      <w:rFonts w:ascii="Times New Roman" w:hAnsi="Times New Roman" w:cs="Times New Roman"/>
      <w:color w:val="000000"/>
      <w:kern w:val="2"/>
      <w:sz w:val="24"/>
      <w:szCs w:val="24"/>
      <w:lang w:val="en-US" w:bidi="ar-SA"/>
    </w:rPr>
  </w:style>
  <w:style w:type="paragraph" w:customStyle="1" w:styleId="1436">
    <w:name w:val="字元 字元 Char Char 字元 字元1 Char Char Char"/>
    <w:basedOn w:val="1"/>
    <w:qFormat/>
    <w:uiPriority w:val="0"/>
    <w:pPr>
      <w:autoSpaceDE/>
      <w:autoSpaceDN/>
      <w:jc w:val="both"/>
    </w:pPr>
    <w:rPr>
      <w:rFonts w:ascii="Times New Roman" w:hAnsi="Times New Roman" w:cs="Times New Roman"/>
      <w:kern w:val="2"/>
      <w:sz w:val="24"/>
      <w:szCs w:val="24"/>
      <w:lang w:val="en-US" w:bidi="ar-SA"/>
    </w:rPr>
  </w:style>
  <w:style w:type="paragraph" w:customStyle="1" w:styleId="1437">
    <w:name w:val="样式 样式 样式 方正宋三简体 14 磅 行距: 1.5 倍行距1 + 首行缩进:  2 字符 + 首行缩进:  2 字符"/>
    <w:basedOn w:val="1"/>
    <w:qFormat/>
    <w:uiPriority w:val="99"/>
    <w:pPr>
      <w:autoSpaceDE/>
      <w:autoSpaceDN/>
      <w:ind w:firstLine="574" w:firstLineChars="200"/>
      <w:jc w:val="both"/>
    </w:pPr>
    <w:rPr>
      <w:rFonts w:hAnsi="方正宋三简体" w:cs="Times New Roman"/>
      <w:kern w:val="2"/>
      <w:sz w:val="27"/>
      <w:szCs w:val="20"/>
      <w:lang w:val="en-US" w:bidi="ar-SA"/>
    </w:rPr>
  </w:style>
  <w:style w:type="paragraph" w:customStyle="1" w:styleId="1438">
    <w:name w:val="001"/>
    <w:basedOn w:val="1"/>
    <w:qFormat/>
    <w:uiPriority w:val="0"/>
    <w:pPr>
      <w:autoSpaceDE/>
      <w:autoSpaceDN/>
      <w:ind w:firstLine="200" w:firstLineChars="200"/>
      <w:jc w:val="both"/>
    </w:pPr>
    <w:rPr>
      <w:rFonts w:ascii="Times New Roman" w:hAnsi="Times New Roman" w:eastAsia="黑体" w:cs="Times New Roman"/>
      <w:kern w:val="2"/>
      <w:sz w:val="28"/>
      <w:szCs w:val="20"/>
      <w:lang w:val="en-US" w:bidi="ar-SA"/>
    </w:rPr>
  </w:style>
  <w:style w:type="paragraph" w:customStyle="1" w:styleId="1439">
    <w:name w:val="样式 标题 3 + 五号 非加粗 段前: 0 磅 段后: 0 磅 行距: 最小值 0 磅"/>
    <w:basedOn w:val="5"/>
    <w:qFormat/>
    <w:uiPriority w:val="99"/>
    <w:pPr>
      <w:keepLines/>
      <w:widowControl/>
      <w:tabs>
        <w:tab w:val="left" w:pos="1260"/>
      </w:tabs>
      <w:autoSpaceDE/>
      <w:autoSpaceDN/>
      <w:spacing w:beforeLines="50" w:afterLines="50" w:line="0" w:lineRule="atLeast"/>
      <w:ind w:left="0" w:firstLine="0"/>
      <w:jc w:val="center"/>
    </w:pPr>
    <w:rPr>
      <w:rFonts w:ascii="Times New Roman" w:hAnsi="Times New Roman" w:eastAsia="黑体" w:cs="Times New Roman"/>
      <w:bCs w:val="0"/>
      <w:snapToGrid w:val="0"/>
      <w:sz w:val="21"/>
      <w:szCs w:val="20"/>
      <w:lang w:val="en-US" w:bidi="ar-SA"/>
    </w:rPr>
  </w:style>
  <w:style w:type="paragraph" w:customStyle="1" w:styleId="1440">
    <w:name w:val="表格王"/>
    <w:basedOn w:val="1"/>
    <w:qFormat/>
    <w:uiPriority w:val="99"/>
    <w:pPr>
      <w:autoSpaceDE/>
      <w:autoSpaceDN/>
      <w:spacing w:line="360" w:lineRule="exact"/>
      <w:jc w:val="center"/>
    </w:pPr>
    <w:rPr>
      <w:rFonts w:ascii="Times New Roman" w:hAnsi="Times New Roman" w:cs="Times New Roman"/>
      <w:kern w:val="2"/>
      <w:sz w:val="21"/>
      <w:szCs w:val="24"/>
      <w:lang w:val="en-US" w:bidi="ar-SA"/>
    </w:rPr>
  </w:style>
  <w:style w:type="paragraph" w:customStyle="1" w:styleId="1441">
    <w:name w:val="Qzy样式1"/>
    <w:basedOn w:val="3"/>
    <w:qFormat/>
    <w:uiPriority w:val="99"/>
    <w:pPr>
      <w:keepLines/>
      <w:widowControl/>
      <w:autoSpaceDE/>
      <w:autoSpaceDN/>
      <w:spacing w:before="0" w:line="240" w:lineRule="atLeast"/>
      <w:ind w:left="0" w:firstLine="0"/>
      <w:jc w:val="both"/>
    </w:pPr>
    <w:rPr>
      <w:rFonts w:ascii="Times New Roman" w:hAnsi="Times New Roman" w:eastAsia="宋体" w:cs="Times New Roman"/>
      <w:kern w:val="44"/>
      <w:sz w:val="36"/>
      <w:szCs w:val="20"/>
      <w:lang w:val="en-US" w:bidi="ar-SA"/>
    </w:rPr>
  </w:style>
  <w:style w:type="paragraph" w:customStyle="1" w:styleId="1442">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443">
    <w:name w:val="标题 1 + 段前: 0.5 行 段后: 0.5 行1"/>
    <w:basedOn w:val="1"/>
    <w:qFormat/>
    <w:uiPriority w:val="99"/>
    <w:pPr>
      <w:tabs>
        <w:tab w:val="left" w:pos="3480"/>
      </w:tabs>
      <w:autoSpaceDE/>
      <w:autoSpaceDN/>
      <w:spacing w:before="120" w:after="120"/>
      <w:ind w:left="2820" w:hanging="420"/>
      <w:outlineLvl w:val="0"/>
    </w:pPr>
    <w:rPr>
      <w:rFonts w:ascii="Times New Roman" w:hAnsi="Times New Roman" w:eastAsia="黑体"/>
      <w:kern w:val="2"/>
      <w:sz w:val="28"/>
      <w:szCs w:val="20"/>
      <w:lang w:val="en-US" w:bidi="ar-SA"/>
    </w:rPr>
  </w:style>
  <w:style w:type="paragraph" w:customStyle="1" w:styleId="1444">
    <w:name w:val="CM20"/>
    <w:basedOn w:val="101"/>
    <w:next w:val="101"/>
    <w:qFormat/>
    <w:uiPriority w:val="99"/>
    <w:pPr>
      <w:snapToGrid w:val="0"/>
      <w:spacing w:beforeLines="0" w:afterLines="0" w:line="360" w:lineRule="auto"/>
    </w:pPr>
    <w:rPr>
      <w:rFonts w:ascii="Times New Roman" w:cs="Times New Roman"/>
      <w:b w:val="0"/>
      <w:color w:val="auto"/>
      <w:kern w:val="0"/>
      <w:sz w:val="24"/>
      <w:szCs w:val="24"/>
    </w:rPr>
  </w:style>
  <w:style w:type="paragraph" w:customStyle="1" w:styleId="1445">
    <w:name w:val="Char Char Char Char12"/>
    <w:basedOn w:val="1"/>
    <w:qFormat/>
    <w:uiPriority w:val="99"/>
    <w:pPr>
      <w:autoSpaceDE/>
      <w:autoSpaceDN/>
      <w:snapToGrid w:val="0"/>
      <w:spacing w:line="440" w:lineRule="atLeast"/>
      <w:jc w:val="both"/>
    </w:pPr>
    <w:rPr>
      <w:rFonts w:hAnsi="Times New Roman" w:cs="Times New Roman"/>
      <w:kern w:val="2"/>
      <w:sz w:val="24"/>
      <w:szCs w:val="24"/>
      <w:lang w:val="en-US" w:bidi="ar-SA"/>
    </w:rPr>
  </w:style>
  <w:style w:type="paragraph" w:customStyle="1" w:styleId="1446">
    <w:name w:val="CM64"/>
    <w:basedOn w:val="101"/>
    <w:next w:val="101"/>
    <w:qFormat/>
    <w:uiPriority w:val="99"/>
    <w:pPr>
      <w:snapToGrid w:val="0"/>
      <w:spacing w:beforeLines="0" w:after="583" w:afterLines="0" w:line="360" w:lineRule="auto"/>
    </w:pPr>
    <w:rPr>
      <w:rFonts w:ascii="Times New Roman" w:cs="Times New Roman"/>
      <w:b w:val="0"/>
      <w:color w:val="auto"/>
      <w:kern w:val="0"/>
      <w:sz w:val="24"/>
      <w:szCs w:val="24"/>
    </w:rPr>
  </w:style>
  <w:style w:type="paragraph" w:customStyle="1" w:styleId="1447">
    <w:name w:val="Char Char Char1 Char Char Char Char Char Char Char Char Char Char1"/>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1448">
    <w:name w:val="样式 样式 标题 2 + 左侧:  2 字符1 + 左侧:  2 字符"/>
    <w:basedOn w:val="1"/>
    <w:qFormat/>
    <w:uiPriority w:val="99"/>
    <w:pPr>
      <w:keepNext/>
      <w:keepLines/>
      <w:tabs>
        <w:tab w:val="left" w:pos="840"/>
      </w:tabs>
      <w:autoSpaceDE/>
      <w:autoSpaceDN/>
      <w:spacing w:beforeLines="50" w:afterLines="50"/>
      <w:ind w:left="210" w:right="210" w:rightChars="100"/>
      <w:jc w:val="both"/>
      <w:outlineLvl w:val="1"/>
    </w:pPr>
    <w:rPr>
      <w:rFonts w:ascii="黑体" w:hAnsi="Arial" w:eastAsia="黑体" w:cs="Times New Roman"/>
      <w:kern w:val="2"/>
      <w:sz w:val="52"/>
      <w:szCs w:val="20"/>
      <w:lang w:val="en-US" w:bidi="ar-SA"/>
    </w:rPr>
  </w:style>
  <w:style w:type="paragraph" w:customStyle="1" w:styleId="1449">
    <w:name w:val="自定义正文 Char Char Char"/>
    <w:qFormat/>
    <w:uiPriority w:val="99"/>
    <w:pPr>
      <w:widowControl w:val="0"/>
      <w:adjustRightInd w:val="0"/>
      <w:snapToGrid w:val="0"/>
      <w:spacing w:line="360" w:lineRule="auto"/>
      <w:ind w:firstLine="510"/>
      <w:jc w:val="both"/>
    </w:pPr>
    <w:rPr>
      <w:rFonts w:ascii="Times New Roman" w:hAnsi="Times New Roman" w:eastAsia="宋体" w:cs="Times New Roman"/>
      <w:spacing w:val="-2"/>
      <w:kern w:val="2"/>
      <w:sz w:val="28"/>
      <w:szCs w:val="24"/>
      <w:lang w:val="en-US" w:eastAsia="zh-CN" w:bidi="ar-SA"/>
    </w:rPr>
  </w:style>
  <w:style w:type="paragraph" w:customStyle="1" w:styleId="1450">
    <w:name w:val="表格文字小四"/>
    <w:basedOn w:val="1"/>
    <w:next w:val="31"/>
    <w:qFormat/>
    <w:uiPriority w:val="99"/>
    <w:pPr>
      <w:autoSpaceDE/>
      <w:autoSpaceDN/>
      <w:adjustRightInd w:val="0"/>
      <w:snapToGrid w:val="0"/>
      <w:ind w:left="-593"/>
      <w:jc w:val="center"/>
    </w:pPr>
    <w:rPr>
      <w:rFonts w:cs="Times New Roman"/>
      <w:kern w:val="2"/>
      <w:sz w:val="24"/>
      <w:szCs w:val="24"/>
      <w:lang w:val="en-US" w:bidi="ar-SA"/>
    </w:rPr>
  </w:style>
  <w:style w:type="paragraph" w:customStyle="1" w:styleId="1451">
    <w:name w:val="WW-Body Text Indent 3"/>
    <w:basedOn w:val="1"/>
    <w:qFormat/>
    <w:uiPriority w:val="99"/>
    <w:pPr>
      <w:suppressAutoHyphens/>
      <w:autoSpaceDE/>
      <w:autoSpaceDN/>
      <w:spacing w:after="120" w:line="360" w:lineRule="auto"/>
      <w:ind w:firstLine="420"/>
      <w:jc w:val="both"/>
    </w:pPr>
    <w:rPr>
      <w:rFonts w:ascii="Arial" w:hAnsi="Arial" w:cs="Times New Roman"/>
      <w:kern w:val="20481"/>
      <w:sz w:val="24"/>
      <w:szCs w:val="20"/>
      <w:lang w:val="en-US" w:bidi="ar-SA"/>
    </w:rPr>
  </w:style>
  <w:style w:type="paragraph" w:customStyle="1" w:styleId="1452">
    <w:name w:val="Char Char Char Char Char Char1 Char Char Char Char2"/>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1453">
    <w:name w:val="xl84"/>
    <w:basedOn w:val="1"/>
    <w:qFormat/>
    <w:uiPriority w:val="0"/>
    <w:pPr>
      <w:widowControl/>
      <w:pBdr>
        <w:bottom w:val="single" w:color="auto" w:sz="4" w:space="0"/>
      </w:pBdr>
      <w:autoSpaceDE/>
      <w:autoSpaceDN/>
      <w:spacing w:before="100" w:beforeAutospacing="1" w:after="100" w:afterAutospacing="1"/>
      <w:jc w:val="center"/>
      <w:textAlignment w:val="center"/>
    </w:pPr>
    <w:rPr>
      <w:rFonts w:ascii="Arial Unicode MS" w:hAnsi="Arial Unicode MS" w:eastAsia="Arial Unicode MS" w:cs="Arial Unicode MS"/>
      <w:sz w:val="16"/>
      <w:szCs w:val="16"/>
      <w:lang w:val="en-US" w:bidi="ar-SA"/>
    </w:rPr>
  </w:style>
  <w:style w:type="paragraph" w:customStyle="1" w:styleId="1454">
    <w:name w:val="表标题5.7"/>
    <w:basedOn w:val="1"/>
    <w:qFormat/>
    <w:uiPriority w:val="99"/>
    <w:pPr>
      <w:tabs>
        <w:tab w:val="left" w:pos="726"/>
      </w:tabs>
      <w:autoSpaceDE/>
      <w:autoSpaceDN/>
      <w:spacing w:beforeLines="100" w:line="0" w:lineRule="atLeast"/>
      <w:ind w:left="2" w:firstLine="4"/>
      <w:jc w:val="center"/>
    </w:pPr>
    <w:rPr>
      <w:rFonts w:ascii="Times New Roman" w:hAnsi="Times New Roman" w:eastAsia="黑体" w:cs="Times New Roman"/>
      <w:b/>
      <w:kern w:val="2"/>
      <w:sz w:val="24"/>
      <w:szCs w:val="24"/>
      <w:lang w:val="en-US" w:bidi="ar-SA"/>
    </w:rPr>
  </w:style>
  <w:style w:type="paragraph" w:customStyle="1" w:styleId="1455">
    <w:name w:val="列表 3J"/>
    <w:basedOn w:val="12"/>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456">
    <w:name w:val="列表 5C"/>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57">
    <w:name w:val="样式 标题 3 + Arial"/>
    <w:basedOn w:val="1"/>
    <w:qFormat/>
    <w:uiPriority w:val="99"/>
    <w:pPr>
      <w:autoSpaceDE/>
      <w:autoSpaceDN/>
      <w:jc w:val="both"/>
    </w:pPr>
    <w:rPr>
      <w:rFonts w:ascii="Times New Roman" w:hAnsi="Times New Roman" w:cs="Times New Roman"/>
      <w:kern w:val="2"/>
      <w:sz w:val="21"/>
      <w:szCs w:val="20"/>
      <w:lang w:val="en-US" w:bidi="ar-SA"/>
    </w:rPr>
  </w:style>
  <w:style w:type="paragraph" w:customStyle="1" w:styleId="1458">
    <w:name w:val="样式 标题 3样式　标题 3　自动设置标题 3 Char章 + Times New 表题3"/>
    <w:basedOn w:val="5"/>
    <w:qFormat/>
    <w:uiPriority w:val="0"/>
    <w:pPr>
      <w:keepNext/>
      <w:keepLines/>
      <w:tabs>
        <w:tab w:val="left" w:pos="3800"/>
        <w:tab w:val="left" w:pos="5200"/>
      </w:tabs>
      <w:adjustRightInd w:val="0"/>
      <w:snapToGrid w:val="0"/>
      <w:spacing w:beforeLines="50" w:afterLines="50"/>
      <w:ind w:left="-1523" w:firstLine="1523"/>
      <w:jc w:val="both"/>
    </w:pPr>
    <w:rPr>
      <w:rFonts w:ascii="Times New Roman" w:hAnsi="Times New Roman"/>
      <w:sz w:val="28"/>
      <w:szCs w:val="28"/>
      <w:lang w:val="en-US" w:bidi="ar-SA"/>
    </w:rPr>
  </w:style>
  <w:style w:type="paragraph" w:customStyle="1" w:styleId="1459">
    <w:name w:val="环标3"/>
    <w:basedOn w:val="1188"/>
    <w:next w:val="1188"/>
    <w:qFormat/>
    <w:uiPriority w:val="0"/>
    <w:pPr>
      <w:keepNext/>
      <w:keepLines/>
      <w:spacing w:line="360" w:lineRule="auto"/>
      <w:ind w:right="-11" w:firstLine="0" w:firstLineChars="0"/>
      <w:jc w:val="left"/>
      <w:outlineLvl w:val="2"/>
    </w:pPr>
    <w:rPr>
      <w:rFonts w:ascii="黑体" w:eastAsia="黑体"/>
      <w:color w:val="auto"/>
      <w:spacing w:val="0"/>
      <w:kern w:val="2"/>
    </w:rPr>
  </w:style>
  <w:style w:type="paragraph" w:customStyle="1" w:styleId="1460">
    <w:name w:val="默认段落字体 Para Char"/>
    <w:basedOn w:val="1"/>
    <w:qFormat/>
    <w:uiPriority w:val="0"/>
    <w:pPr>
      <w:autoSpaceDE/>
      <w:autoSpaceDN/>
      <w:spacing w:line="360" w:lineRule="auto"/>
      <w:ind w:firstLine="200" w:firstLineChars="200"/>
      <w:jc w:val="both"/>
    </w:pPr>
    <w:rPr>
      <w:kern w:val="2"/>
      <w:sz w:val="24"/>
      <w:szCs w:val="24"/>
      <w:lang w:val="en-US" w:bidi="ar-SA"/>
    </w:rPr>
  </w:style>
  <w:style w:type="paragraph" w:customStyle="1" w:styleId="1461">
    <w:name w:val="样式 正文缩进 + 小四 首行缩进:  2 字符1"/>
    <w:basedOn w:val="20"/>
    <w:qFormat/>
    <w:uiPriority w:val="99"/>
    <w:pPr>
      <w:keepNext/>
      <w:tabs>
        <w:tab w:val="left" w:pos="1727"/>
        <w:tab w:val="left" w:pos="1884"/>
      </w:tabs>
      <w:autoSpaceDE/>
      <w:autoSpaceDN/>
      <w:spacing w:line="360" w:lineRule="auto"/>
      <w:ind w:firstLine="480" w:firstLineChars="200"/>
      <w:outlineLvl w:val="0"/>
    </w:pPr>
    <w:rPr>
      <w:snapToGrid w:val="0"/>
      <w:color w:val="000000"/>
      <w:sz w:val="28"/>
      <w:szCs w:val="20"/>
      <w:lang w:val="en-US" w:bidi="ar-SA"/>
    </w:rPr>
  </w:style>
  <w:style w:type="paragraph" w:customStyle="1" w:styleId="1462">
    <w:name w:val="表内小5"/>
    <w:basedOn w:val="1"/>
    <w:qFormat/>
    <w:uiPriority w:val="99"/>
    <w:pPr>
      <w:autoSpaceDE/>
      <w:autoSpaceDN/>
      <w:adjustRightInd w:val="0"/>
      <w:snapToGrid w:val="0"/>
      <w:spacing w:line="300" w:lineRule="auto"/>
      <w:ind w:left="176"/>
      <w:jc w:val="both"/>
    </w:pPr>
    <w:rPr>
      <w:rFonts w:cs="Times New Roman"/>
      <w:kern w:val="2"/>
      <w:sz w:val="18"/>
      <w:szCs w:val="24"/>
      <w:lang w:val="en-US" w:bidi="ar-SA"/>
    </w:rPr>
  </w:style>
  <w:style w:type="paragraph" w:customStyle="1" w:styleId="1463">
    <w:name w:val="正文文本缩进 311"/>
    <w:basedOn w:val="1"/>
    <w:qFormat/>
    <w:uiPriority w:val="0"/>
    <w:pPr>
      <w:autoSpaceDE/>
      <w:autoSpaceDN/>
      <w:adjustRightInd w:val="0"/>
      <w:spacing w:line="360" w:lineRule="atLeast"/>
      <w:ind w:firstLine="480"/>
      <w:jc w:val="both"/>
      <w:textAlignment w:val="baseline"/>
    </w:pPr>
    <w:rPr>
      <w:rFonts w:hAnsi="Times New Roman" w:cs="Times New Roman"/>
      <w:sz w:val="24"/>
      <w:szCs w:val="20"/>
      <w:lang w:val="en-US" w:bidi="ar-SA"/>
    </w:rPr>
  </w:style>
  <w:style w:type="paragraph" w:customStyle="1" w:styleId="1464">
    <w:name w:val="列表 3F"/>
    <w:basedOn w:val="12"/>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465">
    <w:name w:val="列表 5Q"/>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66">
    <w:name w:val="样式 正文首行缩进 + 四号 段后: 0 磅 行距: 1.5 倍行距"/>
    <w:basedOn w:val="78"/>
    <w:qFormat/>
    <w:uiPriority w:val="99"/>
    <w:pPr>
      <w:widowControl w:val="0"/>
      <w:spacing w:after="0" w:line="360" w:lineRule="auto"/>
      <w:ind w:firstLine="560" w:firstLineChars="200"/>
    </w:pPr>
    <w:rPr>
      <w:rFonts w:hAnsi="Times New Roman"/>
      <w:sz w:val="28"/>
    </w:rPr>
  </w:style>
  <w:style w:type="paragraph" w:customStyle="1" w:styleId="1467">
    <w:name w:val="TOC 标题1"/>
    <w:basedOn w:val="3"/>
    <w:next w:val="1"/>
    <w:qFormat/>
    <w:uiPriority w:val="39"/>
    <w:pPr>
      <w:keepNext/>
      <w:keepLines/>
      <w:widowControl/>
      <w:autoSpaceDE/>
      <w:autoSpaceDN/>
      <w:spacing w:before="480" w:line="276" w:lineRule="auto"/>
      <w:ind w:left="0" w:firstLine="0"/>
      <w:outlineLvl w:val="9"/>
    </w:pPr>
    <w:rPr>
      <w:rFonts w:ascii="Cambria" w:hAnsi="Cambria" w:eastAsia="宋体" w:cs="Times New Roman"/>
      <w:bCs/>
      <w:color w:val="365F91"/>
      <w:sz w:val="32"/>
      <w:szCs w:val="32"/>
      <w:lang w:val="en-US" w:bidi="ar-SA"/>
    </w:rPr>
  </w:style>
  <w:style w:type="paragraph" w:customStyle="1" w:styleId="1468">
    <w:name w:val="TY"/>
    <w:basedOn w:val="1"/>
    <w:qFormat/>
    <w:uiPriority w:val="99"/>
    <w:pPr>
      <w:autoSpaceDE/>
      <w:autoSpaceDN/>
      <w:adjustRightInd w:val="0"/>
      <w:snapToGrid w:val="0"/>
      <w:spacing w:before="40" w:after="40"/>
      <w:jc w:val="both"/>
    </w:pPr>
    <w:rPr>
      <w:rFonts w:cs="Times New Roman"/>
      <w:kern w:val="2"/>
      <w:sz w:val="24"/>
      <w:szCs w:val="20"/>
      <w:lang w:val="en-US" w:bidi="ar-SA"/>
    </w:rPr>
  </w:style>
  <w:style w:type="paragraph" w:customStyle="1" w:styleId="1469">
    <w:name w:val="样式 正文首行缩进 + 首行缩进:  0 字符"/>
    <w:basedOn w:val="78"/>
    <w:qFormat/>
    <w:uiPriority w:val="99"/>
    <w:pPr>
      <w:widowControl w:val="0"/>
      <w:adjustRightInd w:val="0"/>
      <w:snapToGrid w:val="0"/>
      <w:spacing w:after="0" w:line="360" w:lineRule="auto"/>
      <w:ind w:firstLine="567" w:firstLineChars="0"/>
    </w:pPr>
    <w:rPr>
      <w:rFonts w:hAnsi="Times New Roman"/>
      <w:sz w:val="24"/>
      <w:szCs w:val="28"/>
    </w:rPr>
  </w:style>
  <w:style w:type="paragraph" w:customStyle="1" w:styleId="1470">
    <w:name w:val="列表 4B"/>
    <w:basedOn w:val="69"/>
    <w:qFormat/>
    <w:uiPriority w:val="99"/>
    <w:pPr>
      <w:tabs>
        <w:tab w:val="left" w:pos="360"/>
      </w:tabs>
      <w:topLinePunct w:val="0"/>
      <w:spacing w:beforeLines="50" w:afterLines="30" w:line="288" w:lineRule="auto"/>
      <w:ind w:left="360" w:leftChars="0" w:hanging="360" w:firstLineChars="0"/>
      <w:jc w:val="both"/>
    </w:pPr>
    <w:rPr>
      <w:rFonts w:ascii="Arial" w:hAnsi="Arial" w:eastAsia="宋体"/>
      <w:color w:val="CCFFFF"/>
      <w:sz w:val="24"/>
    </w:rPr>
  </w:style>
  <w:style w:type="paragraph" w:customStyle="1" w:styleId="1471">
    <w:name w:val="附图编号"/>
    <w:basedOn w:val="1"/>
    <w:qFormat/>
    <w:uiPriority w:val="99"/>
    <w:pPr>
      <w:tabs>
        <w:tab w:val="left" w:pos="1760"/>
      </w:tabs>
      <w:autoSpaceDE/>
      <w:autoSpaceDN/>
      <w:spacing w:line="288" w:lineRule="auto"/>
      <w:ind w:left="1021" w:hanging="341"/>
      <w:jc w:val="both"/>
    </w:pPr>
    <w:rPr>
      <w:rFonts w:ascii="Arial" w:hAnsi="Arial" w:cs="Times New Roman"/>
      <w:color w:val="CC99FF"/>
      <w:kern w:val="2"/>
      <w:sz w:val="24"/>
      <w:szCs w:val="20"/>
      <w:lang w:val="en-US" w:bidi="ar-SA"/>
    </w:rPr>
  </w:style>
  <w:style w:type="paragraph" w:customStyle="1" w:styleId="1472">
    <w:name w:val="列表 4I"/>
    <w:basedOn w:val="69"/>
    <w:qFormat/>
    <w:uiPriority w:val="99"/>
    <w:pPr>
      <w:tabs>
        <w:tab w:val="left" w:pos="785"/>
      </w:tabs>
      <w:topLinePunct w:val="0"/>
      <w:spacing w:beforeLines="50" w:afterLines="30" w:line="288" w:lineRule="auto"/>
      <w:ind w:left="0" w:leftChars="0" w:firstLine="425" w:firstLineChars="0"/>
      <w:jc w:val="both"/>
    </w:pPr>
    <w:rPr>
      <w:rFonts w:ascii="Arial" w:hAnsi="Arial" w:eastAsia="宋体"/>
      <w:color w:val="CCFFFF"/>
      <w:sz w:val="24"/>
    </w:rPr>
  </w:style>
  <w:style w:type="paragraph" w:customStyle="1" w:styleId="1473">
    <w:name w:val="font8"/>
    <w:basedOn w:val="1"/>
    <w:qFormat/>
    <w:uiPriority w:val="0"/>
    <w:pPr>
      <w:widowControl/>
      <w:autoSpaceDE/>
      <w:autoSpaceDN/>
      <w:spacing w:before="100" w:beforeAutospacing="1" w:after="100" w:afterAutospacing="1"/>
    </w:pPr>
    <w:rPr>
      <w:rFonts w:ascii="Times New Roman" w:hAnsi="Times New Roman" w:eastAsia="Arial Unicode MS" w:cs="Times New Roman"/>
      <w:b/>
      <w:bCs/>
      <w:sz w:val="44"/>
      <w:szCs w:val="44"/>
      <w:lang w:val="en-US" w:bidi="ar-SA"/>
    </w:rPr>
  </w:style>
  <w:style w:type="paragraph" w:customStyle="1" w:styleId="1474">
    <w:name w:val="222"/>
    <w:basedOn w:val="1"/>
    <w:qFormat/>
    <w:uiPriority w:val="99"/>
    <w:pPr>
      <w:widowControl/>
      <w:autoSpaceDE/>
      <w:autoSpaceDN/>
      <w:spacing w:line="360" w:lineRule="auto"/>
    </w:pPr>
    <w:rPr>
      <w:rFonts w:ascii="Times New Roman" w:hAnsi="Times New Roman" w:cs="Times New Roman"/>
      <w:b/>
      <w:sz w:val="28"/>
      <w:szCs w:val="20"/>
      <w:lang w:val="en-US" w:eastAsia="zh-TW" w:bidi="ar-SA"/>
    </w:rPr>
  </w:style>
  <w:style w:type="paragraph" w:customStyle="1" w:styleId="1475">
    <w:name w:val="二级无标题条"/>
    <w:basedOn w:val="1"/>
    <w:qFormat/>
    <w:uiPriority w:val="99"/>
    <w:pPr>
      <w:autoSpaceDE/>
      <w:autoSpaceDN/>
      <w:jc w:val="both"/>
    </w:pPr>
    <w:rPr>
      <w:rFonts w:ascii="Times New Roman" w:hAnsi="Times New Roman" w:cs="Times New Roman"/>
      <w:kern w:val="2"/>
      <w:sz w:val="21"/>
      <w:szCs w:val="24"/>
      <w:lang w:val="en-US" w:bidi="ar-SA"/>
    </w:rPr>
  </w:style>
  <w:style w:type="paragraph" w:customStyle="1" w:styleId="1476">
    <w:name w:val="Char Char1 Char1"/>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1477">
    <w:name w:val="xl36"/>
    <w:basedOn w:val="1"/>
    <w:qFormat/>
    <w:uiPriority w:val="0"/>
    <w:pPr>
      <w:widowControl/>
      <w:pBdr>
        <w:left w:val="single" w:color="auto" w:sz="4" w:space="0"/>
        <w:bottom w:val="single" w:color="auto" w:sz="4" w:space="0"/>
        <w:right w:val="single" w:color="auto" w:sz="4" w:space="0"/>
      </w:pBdr>
      <w:autoSpaceDE/>
      <w:autoSpaceDN/>
      <w:spacing w:before="100" w:beforeAutospacing="1" w:after="100" w:afterAutospacing="1"/>
      <w:textAlignment w:val="center"/>
    </w:pPr>
    <w:rPr>
      <w:rFonts w:ascii="Arial Unicode MS" w:hAnsi="Arial Unicode MS" w:eastAsia="Arial Unicode MS" w:cs="Arial Unicode MS"/>
      <w:sz w:val="24"/>
      <w:szCs w:val="20"/>
      <w:lang w:val="en-US" w:bidi="ar-SA"/>
    </w:rPr>
  </w:style>
  <w:style w:type="paragraph" w:customStyle="1" w:styleId="1478">
    <w:name w:val="列表 4L"/>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479">
    <w:name w:val="xl50"/>
    <w:basedOn w:val="1"/>
    <w:qFormat/>
    <w:uiPriority w:val="0"/>
    <w:pPr>
      <w:widowControl/>
      <w:pBdr>
        <w:top w:val="single" w:color="auto" w:sz="8"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Arial Unicode MS" w:hAnsi="Arial Unicode MS" w:eastAsia="Arial Unicode MS" w:cs="Arial Unicode MS"/>
      <w:b/>
      <w:bCs/>
      <w:sz w:val="24"/>
      <w:szCs w:val="20"/>
      <w:lang w:val="en-US" w:bidi="ar-SA"/>
    </w:rPr>
  </w:style>
  <w:style w:type="paragraph" w:customStyle="1" w:styleId="1480">
    <w:name w:val="Char Char Char Char Char Char Char Char Char1"/>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1481">
    <w:name w:val="正文文字缩进2"/>
    <w:basedOn w:val="32"/>
    <w:qFormat/>
    <w:uiPriority w:val="0"/>
    <w:pPr>
      <w:autoSpaceDE/>
      <w:autoSpaceDN/>
      <w:spacing w:after="0" w:line="360" w:lineRule="auto"/>
      <w:ind w:left="0" w:leftChars="0" w:firstLine="600"/>
      <w:jc w:val="both"/>
    </w:pPr>
    <w:rPr>
      <w:rFonts w:ascii="黑体" w:eastAsia="黑体" w:cs="Times New Roman"/>
      <w:b/>
      <w:bCs/>
      <w:sz w:val="28"/>
      <w:szCs w:val="20"/>
      <w:lang w:val="en-US" w:bidi="ar-SA"/>
    </w:rPr>
  </w:style>
  <w:style w:type="paragraph" w:customStyle="1" w:styleId="1482">
    <w:name w:val="Heading Base"/>
    <w:basedOn w:val="31"/>
    <w:next w:val="31"/>
    <w:qFormat/>
    <w:uiPriority w:val="99"/>
    <w:pPr>
      <w:keepNext/>
      <w:keepLines/>
      <w:widowControl/>
      <w:autoSpaceDE/>
      <w:autoSpaceDN/>
      <w:spacing w:line="220" w:lineRule="atLeast"/>
      <w:ind w:right="-360"/>
    </w:pPr>
    <w:rPr>
      <w:rFonts w:ascii="Arial" w:hAnsi="Arial" w:cs="Times New Roman"/>
      <w:spacing w:val="-4"/>
      <w:sz w:val="18"/>
      <w:szCs w:val="20"/>
      <w:lang w:val="en-US" w:bidi="ar-SA"/>
    </w:rPr>
  </w:style>
  <w:style w:type="paragraph" w:customStyle="1" w:styleId="1483">
    <w:name w:val="Char Char Char Char3"/>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1484">
    <w:name w:val="正文（1）"/>
    <w:basedOn w:val="20"/>
    <w:next w:val="78"/>
    <w:qFormat/>
    <w:uiPriority w:val="99"/>
    <w:pPr>
      <w:widowControl/>
      <w:autoSpaceDE/>
      <w:autoSpaceDN/>
      <w:adjustRightInd w:val="0"/>
      <w:snapToGrid w:val="0"/>
      <w:spacing w:line="480" w:lineRule="exact"/>
      <w:ind w:firstLine="480" w:firstLineChars="200"/>
      <w:jc w:val="both"/>
    </w:pPr>
    <w:rPr>
      <w:rFonts w:ascii="Times New Roman" w:hAnsi="Times New Roman" w:cs="Times New Roman"/>
      <w:sz w:val="24"/>
      <w:szCs w:val="24"/>
      <w:lang w:val="en-US" w:bidi="ar-SA"/>
    </w:rPr>
  </w:style>
  <w:style w:type="paragraph" w:customStyle="1" w:styleId="1485">
    <w:name w:val="Char Char Char Char Char Char Char Char Char Char Char Char Char Char Char Char Char Char Char Char Char Char Char Char"/>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1486">
    <w:name w:val="图"/>
    <w:basedOn w:val="31"/>
    <w:qFormat/>
    <w:uiPriority w:val="99"/>
    <w:pPr>
      <w:autoSpaceDE/>
      <w:autoSpaceDN/>
      <w:adjustRightInd w:val="0"/>
      <w:spacing w:line="288" w:lineRule="auto"/>
      <w:jc w:val="center"/>
      <w:textAlignment w:val="baseline"/>
    </w:pPr>
    <w:rPr>
      <w:rFonts w:ascii="黑体" w:hAnsi="Times New Roman" w:eastAsia="黑体" w:cs="Times New Roman"/>
      <w:b/>
      <w:sz w:val="20"/>
      <w:szCs w:val="20"/>
      <w:lang w:val="en-US" w:bidi="ar-SA"/>
    </w:rPr>
  </w:style>
  <w:style w:type="paragraph" w:customStyle="1" w:styleId="1487">
    <w:name w:val="副标题3"/>
    <w:basedOn w:val="1"/>
    <w:qFormat/>
    <w:uiPriority w:val="0"/>
    <w:pPr>
      <w:keepLines/>
      <w:tabs>
        <w:tab w:val="left" w:pos="672"/>
        <w:tab w:val="left" w:pos="720"/>
      </w:tabs>
      <w:autoSpaceDE/>
      <w:autoSpaceDN/>
      <w:adjustRightInd w:val="0"/>
      <w:snapToGrid w:val="0"/>
      <w:spacing w:line="400" w:lineRule="atLeast"/>
      <w:ind w:left="672" w:hanging="348"/>
      <w:jc w:val="both"/>
      <w:outlineLvl w:val="3"/>
    </w:pPr>
    <w:rPr>
      <w:rFonts w:hAnsi="Times New Roman" w:cs="Times New Roman"/>
      <w:snapToGrid w:val="0"/>
      <w:sz w:val="24"/>
      <w:szCs w:val="24"/>
      <w:lang w:val="en-US" w:bidi="ar-SA"/>
    </w:rPr>
  </w:style>
  <w:style w:type="paragraph" w:customStyle="1" w:styleId="1488">
    <w:name w:val="列表 5J"/>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89">
    <w:name w:val="2-标准-表头"/>
    <w:basedOn w:val="1"/>
    <w:qFormat/>
    <w:uiPriority w:val="0"/>
    <w:pPr>
      <w:widowControl/>
      <w:topLinePunct/>
      <w:autoSpaceDE/>
      <w:autoSpaceDN/>
      <w:adjustRightInd w:val="0"/>
      <w:snapToGrid w:val="0"/>
      <w:spacing w:beforeLines="50"/>
      <w:jc w:val="center"/>
    </w:pPr>
    <w:rPr>
      <w:rFonts w:ascii="Times New Roman" w:hAnsi="Times New Roman" w:eastAsia="黑体" w:cs="Times New Roman"/>
      <w:b/>
      <w:sz w:val="24"/>
      <w:szCs w:val="20"/>
      <w:lang w:bidi="ar-SA"/>
    </w:rPr>
  </w:style>
  <w:style w:type="paragraph" w:customStyle="1" w:styleId="1490">
    <w:name w:val="列表 5D"/>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91">
    <w:name w:val="Char Char Char Char Char Char Char Char Char Char Char Char1 Char1"/>
    <w:basedOn w:val="1"/>
    <w:next w:val="1"/>
    <w:qFormat/>
    <w:uiPriority w:val="99"/>
    <w:pPr>
      <w:autoSpaceDE/>
      <w:autoSpaceDN/>
      <w:spacing w:line="336" w:lineRule="auto"/>
      <w:ind w:firstLine="200" w:firstLineChars="200"/>
      <w:jc w:val="both"/>
    </w:pPr>
    <w:rPr>
      <w:rFonts w:eastAsia="汉鼎简书宋"/>
      <w:kern w:val="2"/>
      <w:sz w:val="24"/>
      <w:szCs w:val="24"/>
      <w:lang w:val="en-US" w:bidi="ar-SA"/>
    </w:rPr>
  </w:style>
  <w:style w:type="paragraph" w:customStyle="1" w:styleId="1492">
    <w:name w:val="表内文"/>
    <w:qFormat/>
    <w:uiPriority w:val="0"/>
    <w:pPr>
      <w:spacing w:line="360" w:lineRule="exact"/>
      <w:jc w:val="center"/>
    </w:pPr>
    <w:rPr>
      <w:rFonts w:ascii="Times New Roman" w:hAnsi="Times New Roman" w:eastAsia="仿宋_GB2312" w:cs="Times New Roman"/>
      <w:bCs/>
      <w:kern w:val="20"/>
      <w:sz w:val="21"/>
      <w:lang w:val="en-US" w:eastAsia="zh-CN" w:bidi="ar-SA"/>
    </w:rPr>
  </w:style>
  <w:style w:type="paragraph" w:customStyle="1" w:styleId="1493">
    <w:name w:val="样式 正文文本缩进 + 首行缩进:  2.25 字符"/>
    <w:basedOn w:val="32"/>
    <w:qFormat/>
    <w:uiPriority w:val="99"/>
    <w:pPr>
      <w:autoSpaceDE/>
      <w:autoSpaceDN/>
      <w:jc w:val="both"/>
    </w:pPr>
    <w:rPr>
      <w:rFonts w:ascii="Times New Roman" w:hAnsi="Times New Roman" w:cs="Times New Roman"/>
      <w:sz w:val="20"/>
      <w:szCs w:val="24"/>
      <w:lang w:val="en-US" w:bidi="ar-SA"/>
    </w:rPr>
  </w:style>
  <w:style w:type="paragraph" w:customStyle="1" w:styleId="1494">
    <w:name w:val="xl41"/>
    <w:basedOn w:val="1"/>
    <w:qFormat/>
    <w:uiPriority w:val="0"/>
    <w:pPr>
      <w:widowControl/>
      <w:autoSpaceDE/>
      <w:autoSpaceDN/>
      <w:spacing w:before="100" w:beforeAutospacing="1" w:after="100" w:afterAutospacing="1"/>
      <w:textAlignment w:val="center"/>
    </w:pPr>
    <w:rPr>
      <w:rFonts w:ascii="Arial Unicode MS" w:hAnsi="Arial Unicode MS" w:eastAsia="Arial Unicode MS" w:cs="Arial Unicode MS"/>
      <w:b/>
      <w:bCs/>
      <w:sz w:val="36"/>
      <w:szCs w:val="36"/>
      <w:lang w:val="en-US" w:bidi="ar-SA"/>
    </w:rPr>
  </w:style>
  <w:style w:type="paragraph" w:customStyle="1" w:styleId="1495">
    <w:name w:val="xl39"/>
    <w:basedOn w:val="1"/>
    <w:qFormat/>
    <w:uiPriority w:val="0"/>
    <w:pPr>
      <w:widowControl/>
      <w:pBdr>
        <w:top w:val="single" w:color="auto" w:sz="8" w:space="0"/>
        <w:left w:val="single" w:color="auto" w:sz="8" w:space="0"/>
        <w:bottom w:val="single" w:color="auto" w:sz="4" w:space="0"/>
        <w:right w:val="single" w:color="auto" w:sz="4" w:space="0"/>
      </w:pBdr>
      <w:autoSpaceDE/>
      <w:autoSpaceDN/>
      <w:spacing w:before="100" w:beforeAutospacing="1" w:after="100" w:afterAutospacing="1"/>
      <w:jc w:val="center"/>
      <w:textAlignment w:val="center"/>
    </w:pPr>
    <w:rPr>
      <w:rFonts w:ascii="Arial Unicode MS" w:hAnsi="Arial Unicode MS" w:eastAsia="Arial Unicode MS" w:cs="Arial Unicode MS"/>
      <w:b/>
      <w:bCs/>
      <w:sz w:val="24"/>
      <w:szCs w:val="20"/>
      <w:lang w:val="en-US" w:bidi="ar-SA"/>
    </w:rPr>
  </w:style>
  <w:style w:type="paragraph" w:customStyle="1" w:styleId="1496">
    <w:name w:val="段落2"/>
    <w:basedOn w:val="1"/>
    <w:qFormat/>
    <w:uiPriority w:val="99"/>
    <w:pPr>
      <w:autoSpaceDE/>
      <w:autoSpaceDN/>
      <w:adjustRightInd w:val="0"/>
      <w:spacing w:line="440" w:lineRule="atLeast"/>
      <w:jc w:val="both"/>
    </w:pPr>
    <w:rPr>
      <w:rFonts w:ascii="Times New Roman" w:hAnsi="Times New Roman" w:cs="Times New Roman"/>
      <w:spacing w:val="6"/>
      <w:kern w:val="2"/>
      <w:sz w:val="28"/>
      <w:szCs w:val="20"/>
      <w:lang w:val="en-US" w:bidi="ar-SA"/>
    </w:rPr>
  </w:style>
  <w:style w:type="paragraph" w:customStyle="1" w:styleId="1497">
    <w:name w:val="预测表格"/>
    <w:basedOn w:val="475"/>
    <w:next w:val="1"/>
    <w:qFormat/>
    <w:uiPriority w:val="99"/>
    <w:pPr>
      <w:topLinePunct w:val="0"/>
      <w:ind w:left="-15" w:leftChars="-15" w:right="-15" w:rightChars="-15"/>
    </w:pPr>
    <w:rPr>
      <w:rFonts w:eastAsia="宋体"/>
      <w:bCs/>
      <w:spacing w:val="-10"/>
      <w:sz w:val="18"/>
      <w:szCs w:val="15"/>
    </w:rPr>
  </w:style>
  <w:style w:type="paragraph" w:customStyle="1" w:styleId="1498">
    <w:name w:val="列表 5B"/>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99">
    <w:name w:val="Document Label"/>
    <w:basedOn w:val="1"/>
    <w:next w:val="1"/>
    <w:qFormat/>
    <w:uiPriority w:val="99"/>
    <w:pPr>
      <w:widowControl/>
      <w:autoSpaceDE/>
      <w:autoSpaceDN/>
      <w:spacing w:after="220"/>
      <w:ind w:right="-360"/>
    </w:pPr>
    <w:rPr>
      <w:rFonts w:ascii="Times New Roman" w:hAnsi="Times New Roman" w:cs="Times New Roman"/>
      <w:spacing w:val="-20"/>
      <w:sz w:val="48"/>
      <w:szCs w:val="20"/>
      <w:lang w:val="en-US" w:bidi="ar-SA"/>
    </w:rPr>
  </w:style>
  <w:style w:type="paragraph" w:customStyle="1" w:styleId="1500">
    <w:name w:val="18"/>
    <w:basedOn w:val="1"/>
    <w:qFormat/>
    <w:uiPriority w:val="99"/>
    <w:pPr>
      <w:widowControl/>
      <w:autoSpaceDE/>
      <w:autoSpaceDN/>
      <w:snapToGrid w:val="0"/>
      <w:spacing w:before="120" w:after="100" w:afterAutospacing="1" w:line="240" w:lineRule="atLeast"/>
      <w:jc w:val="center"/>
    </w:pPr>
    <w:rPr>
      <w:rFonts w:ascii="Times New Roman" w:hAnsi="Times New Roman" w:cs="Times New Roman"/>
      <w:b/>
      <w:bCs/>
      <w:sz w:val="24"/>
      <w:szCs w:val="24"/>
      <w:lang w:val="en-US" w:bidi="ar-SA"/>
    </w:rPr>
  </w:style>
  <w:style w:type="paragraph" w:customStyle="1" w:styleId="1501">
    <w:name w:val="正文（首行缩进）"/>
    <w:basedOn w:val="1"/>
    <w:qFormat/>
    <w:uiPriority w:val="0"/>
    <w:pPr>
      <w:widowControl/>
      <w:autoSpaceDE/>
      <w:autoSpaceDN/>
      <w:spacing w:line="360" w:lineRule="auto"/>
      <w:ind w:firstLine="480" w:firstLineChars="200"/>
    </w:pPr>
    <w:rPr>
      <w:rFonts w:cs="Times New Roman"/>
      <w:color w:val="000000"/>
      <w:kern w:val="2"/>
      <w:sz w:val="24"/>
      <w:szCs w:val="20"/>
      <w:lang w:val="en-US" w:bidi="ar-SA"/>
    </w:rPr>
  </w:style>
  <w:style w:type="paragraph" w:customStyle="1" w:styleId="1502">
    <w:name w:val="列表 3H"/>
    <w:basedOn w:val="12"/>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03">
    <w:name w:val="表格正文"/>
    <w:qFormat/>
    <w:uiPriority w:val="0"/>
    <w:pPr>
      <w:spacing w:before="60" w:after="60"/>
      <w:ind w:left="32"/>
      <w:jc w:val="center"/>
    </w:pPr>
    <w:rPr>
      <w:rFonts w:ascii="Times New Roman" w:hAnsi="Times New Roman" w:eastAsia="宋体" w:cs="Times New Roman"/>
      <w:color w:val="FF0000"/>
      <w:sz w:val="21"/>
      <w:lang w:val="en-US" w:eastAsia="zh-CN" w:bidi="ar-SA"/>
    </w:rPr>
  </w:style>
  <w:style w:type="paragraph" w:customStyle="1" w:styleId="1504">
    <w:name w:val="列表 5E"/>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505">
    <w:name w:val="列表 4D"/>
    <w:basedOn w:val="69"/>
    <w:qFormat/>
    <w:uiPriority w:val="99"/>
    <w:pPr>
      <w:tabs>
        <w:tab w:val="left" w:pos="360"/>
      </w:tabs>
      <w:topLinePunct w:val="0"/>
      <w:spacing w:beforeLines="50" w:afterLines="30" w:line="288" w:lineRule="auto"/>
      <w:ind w:left="360" w:leftChars="0" w:hanging="360" w:firstLineChars="0"/>
      <w:jc w:val="both"/>
    </w:pPr>
    <w:rPr>
      <w:rFonts w:ascii="Arial" w:hAnsi="Arial" w:eastAsia="宋体"/>
      <w:color w:val="CCFFFF"/>
      <w:sz w:val="24"/>
    </w:rPr>
  </w:style>
  <w:style w:type="paragraph" w:customStyle="1" w:styleId="1506">
    <w:name w:val="档案号"/>
    <w:basedOn w:val="52"/>
    <w:qFormat/>
    <w:uiPriority w:val="99"/>
    <w:pPr>
      <w:pBdr>
        <w:top w:val="none" w:color="auto" w:sz="0" w:space="0"/>
        <w:left w:val="none" w:color="auto" w:sz="0" w:space="0"/>
        <w:bottom w:val="none" w:color="auto" w:sz="0" w:space="0"/>
        <w:right w:val="none" w:color="auto" w:sz="0" w:space="0"/>
      </w:pBdr>
      <w:tabs>
        <w:tab w:val="center" w:pos="4320"/>
        <w:tab w:val="right" w:pos="8640"/>
        <w:tab w:val="clear" w:pos="4153"/>
        <w:tab w:val="clear" w:pos="8306"/>
      </w:tabs>
      <w:autoSpaceDE/>
      <w:autoSpaceDN/>
      <w:adjustRightInd w:val="0"/>
      <w:snapToGrid/>
      <w:spacing w:line="460" w:lineRule="exact"/>
      <w:jc w:val="right"/>
      <w:textAlignment w:val="baseline"/>
    </w:pPr>
    <w:rPr>
      <w:rFonts w:hAnsi="Arial" w:cs="Times New Roman"/>
      <w:spacing w:val="3"/>
      <w:kern w:val="24"/>
      <w:sz w:val="24"/>
      <w:szCs w:val="20"/>
      <w:lang w:val="en-US" w:bidi="ar-SA"/>
    </w:rPr>
  </w:style>
  <w:style w:type="paragraph" w:customStyle="1" w:styleId="1507">
    <w:name w:val="样式 (中文) 仿宋_GB2312 四号 行距: 1.5 倍行距 Char"/>
    <w:basedOn w:val="1"/>
    <w:qFormat/>
    <w:uiPriority w:val="0"/>
    <w:pPr>
      <w:autoSpaceDE/>
      <w:autoSpaceDN/>
      <w:jc w:val="center"/>
    </w:pPr>
    <w:rPr>
      <w:rFonts w:ascii="Times New Roman" w:hAnsi="Times New Roman" w:cs="Times New Roman"/>
      <w:kern w:val="2"/>
      <w:sz w:val="24"/>
      <w:szCs w:val="28"/>
      <w:lang w:val="en-US" w:bidi="ar-SA"/>
    </w:rPr>
  </w:style>
  <w:style w:type="paragraph" w:customStyle="1" w:styleId="1508">
    <w:name w:val="Header Base"/>
    <w:basedOn w:val="1"/>
    <w:qFormat/>
    <w:uiPriority w:val="99"/>
    <w:pPr>
      <w:widowControl/>
      <w:autoSpaceDE/>
      <w:autoSpaceDN/>
      <w:ind w:right="-360"/>
    </w:pPr>
    <w:rPr>
      <w:rFonts w:ascii="Times New Roman" w:hAnsi="Times New Roman" w:cs="Times New Roman"/>
      <w:sz w:val="20"/>
      <w:szCs w:val="20"/>
      <w:lang w:val="en-US" w:bidi="ar-SA"/>
    </w:rPr>
  </w:style>
  <w:style w:type="paragraph" w:customStyle="1" w:styleId="1509">
    <w:name w:val="列表 C"/>
    <w:basedOn w:val="59"/>
    <w:qFormat/>
    <w:uiPriority w:val="99"/>
    <w:pPr>
      <w:tabs>
        <w:tab w:val="left" w:pos="425"/>
        <w:tab w:val="clear" w:pos="3480"/>
      </w:tabs>
      <w:autoSpaceDE/>
      <w:autoSpaceDN/>
      <w:spacing w:beforeLines="100" w:afterLines="50" w:line="288" w:lineRule="auto"/>
      <w:ind w:left="425" w:hanging="425"/>
      <w:jc w:val="both"/>
    </w:pPr>
    <w:rPr>
      <w:rFonts w:ascii="Arial" w:hAnsi="Arial" w:eastAsia="宋体" w:cs="Times New Roman"/>
      <w:b/>
      <w:bCs/>
      <w:color w:val="FF99CC"/>
      <w:sz w:val="24"/>
      <w:szCs w:val="20"/>
      <w:lang w:val="en-US" w:bidi="ar-SA"/>
    </w:rPr>
  </w:style>
  <w:style w:type="paragraph" w:customStyle="1" w:styleId="1510">
    <w:name w:val="xl92"/>
    <w:basedOn w:val="1"/>
    <w:qFormat/>
    <w:uiPriority w:val="0"/>
    <w:pPr>
      <w:widowControl/>
      <w:pBdr>
        <w:top w:val="single" w:color="auto" w:sz="4" w:space="0"/>
        <w:left w:val="single" w:color="auto" w:sz="4" w:space="0"/>
        <w:bottom w:val="single" w:color="auto" w:sz="8" w:space="0"/>
      </w:pBdr>
      <w:autoSpaceDE/>
      <w:autoSpaceDN/>
      <w:spacing w:before="100" w:beforeAutospacing="1" w:after="100" w:afterAutospacing="1"/>
      <w:jc w:val="center"/>
    </w:pPr>
    <w:rPr>
      <w:rFonts w:ascii="Arial Unicode MS" w:hAnsi="Arial Unicode MS" w:eastAsia="Arial Unicode MS" w:cs="Arial Unicode MS"/>
      <w:sz w:val="16"/>
      <w:szCs w:val="16"/>
      <w:lang w:val="en-US" w:bidi="ar-SA"/>
    </w:rPr>
  </w:style>
  <w:style w:type="paragraph" w:customStyle="1" w:styleId="1511">
    <w:name w:val="样式－表"/>
    <w:basedOn w:val="1"/>
    <w:qFormat/>
    <w:uiPriority w:val="99"/>
    <w:pPr>
      <w:autoSpaceDE/>
      <w:autoSpaceDN/>
      <w:adjustRightInd w:val="0"/>
      <w:snapToGrid w:val="0"/>
      <w:spacing w:before="62"/>
      <w:jc w:val="center"/>
    </w:pPr>
    <w:rPr>
      <w:rFonts w:ascii="Times New Roman" w:hAnsi="Times New Roman" w:cs="Times New Roman"/>
      <w:snapToGrid w:val="0"/>
      <w:color w:val="000000"/>
      <w:sz w:val="24"/>
      <w:szCs w:val="20"/>
      <w:lang w:val="en-US" w:bidi="ar-SA"/>
    </w:rPr>
  </w:style>
  <w:style w:type="paragraph" w:customStyle="1" w:styleId="1512">
    <w:name w:val="font1"/>
    <w:basedOn w:val="1"/>
    <w:qFormat/>
    <w:uiPriority w:val="0"/>
    <w:pPr>
      <w:widowControl/>
      <w:autoSpaceDE/>
      <w:autoSpaceDN/>
      <w:spacing w:before="100" w:beforeAutospacing="1" w:after="100" w:afterAutospacing="1"/>
    </w:pPr>
    <w:rPr>
      <w:rFonts w:hint="eastAsia" w:cs="Times New Roman"/>
      <w:sz w:val="24"/>
      <w:szCs w:val="24"/>
      <w:lang w:val="en-US" w:bidi="ar-SA"/>
    </w:rPr>
  </w:style>
  <w:style w:type="paragraph" w:customStyle="1" w:styleId="1513">
    <w:name w:val="列表 2S"/>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14">
    <w:name w:val="蒲表头"/>
    <w:basedOn w:val="1"/>
    <w:qFormat/>
    <w:uiPriority w:val="99"/>
    <w:pPr>
      <w:autoSpaceDE/>
      <w:autoSpaceDN/>
      <w:adjustRightInd w:val="0"/>
      <w:snapToGrid w:val="0"/>
      <w:spacing w:beforeLines="20"/>
      <w:ind w:firstLine="480" w:firstLineChars="200"/>
      <w:jc w:val="both"/>
    </w:pPr>
    <w:rPr>
      <w:rFonts w:ascii="Times New Roman" w:hAnsi="Times New Roman" w:cs="Times New Roman"/>
      <w:b/>
      <w:kern w:val="2"/>
      <w:sz w:val="24"/>
      <w:szCs w:val="24"/>
      <w:lang w:val="en-US" w:bidi="ar-SA"/>
    </w:rPr>
  </w:style>
  <w:style w:type="paragraph" w:customStyle="1" w:styleId="1515">
    <w:name w:val="CM67"/>
    <w:basedOn w:val="101"/>
    <w:next w:val="101"/>
    <w:qFormat/>
    <w:uiPriority w:val="99"/>
    <w:pPr>
      <w:snapToGrid w:val="0"/>
      <w:spacing w:beforeLines="0" w:after="142" w:afterLines="0" w:line="360" w:lineRule="auto"/>
    </w:pPr>
    <w:rPr>
      <w:rFonts w:ascii="Times New Roman" w:cs="Times New Roman"/>
      <w:b w:val="0"/>
      <w:color w:val="auto"/>
      <w:kern w:val="0"/>
      <w:sz w:val="24"/>
      <w:szCs w:val="24"/>
    </w:rPr>
  </w:style>
  <w:style w:type="paragraph" w:customStyle="1" w:styleId="1516">
    <w:name w:val="样式 正文缩进正文缩进 Char + 首行缩进:  2 字符"/>
    <w:basedOn w:val="20"/>
    <w:qFormat/>
    <w:uiPriority w:val="99"/>
    <w:pPr>
      <w:autoSpaceDE/>
      <w:autoSpaceDN/>
      <w:adjustRightInd w:val="0"/>
      <w:snapToGrid w:val="0"/>
      <w:spacing w:line="360" w:lineRule="auto"/>
      <w:ind w:firstLine="480" w:firstLineChars="200"/>
      <w:jc w:val="both"/>
    </w:pPr>
    <w:rPr>
      <w:rFonts w:ascii="Times New Roman" w:hAnsi="Times New Roman" w:cs="Times New Roman"/>
      <w:snapToGrid w:val="0"/>
      <w:sz w:val="24"/>
      <w:szCs w:val="24"/>
      <w:lang w:val="en-US" w:bidi="ar-SA"/>
    </w:rPr>
  </w:style>
  <w:style w:type="paragraph" w:customStyle="1" w:styleId="1517">
    <w:name w:val="正文(a)"/>
    <w:basedOn w:val="31"/>
    <w:qFormat/>
    <w:uiPriority w:val="99"/>
    <w:pPr>
      <w:widowControl/>
      <w:tabs>
        <w:tab w:val="left" w:pos="1139"/>
      </w:tabs>
      <w:autoSpaceDE/>
      <w:autoSpaceDN/>
      <w:spacing w:line="351" w:lineRule="atLeast"/>
      <w:ind w:left="-141" w:firstLine="566"/>
      <w:jc w:val="both"/>
      <w:textAlignment w:val="baseline"/>
    </w:pPr>
    <w:rPr>
      <w:rFonts w:hAnsi="Times New Roman"/>
      <w:bCs/>
      <w:color w:val="000000"/>
      <w:spacing w:val="5"/>
      <w:sz w:val="20"/>
      <w:szCs w:val="21"/>
      <w:u w:color="000000"/>
      <w:lang w:val="en-US" w:bidi="ar-SA"/>
    </w:rPr>
  </w:style>
  <w:style w:type="paragraph" w:customStyle="1" w:styleId="1518">
    <w:name w:val="尾注文本1"/>
    <w:basedOn w:val="218"/>
    <w:qFormat/>
    <w:uiPriority w:val="99"/>
    <w:rPr>
      <w:rFonts w:eastAsia="Times New Roman"/>
      <w:sz w:val="21"/>
      <w:szCs w:val="22"/>
    </w:rPr>
  </w:style>
  <w:style w:type="paragraph" w:customStyle="1" w:styleId="1519">
    <w:name w:val="列表 G"/>
    <w:basedOn w:val="59"/>
    <w:qFormat/>
    <w:uiPriority w:val="99"/>
    <w:pPr>
      <w:tabs>
        <w:tab w:val="left" w:pos="425"/>
        <w:tab w:val="clear" w:pos="3480"/>
      </w:tabs>
      <w:autoSpaceDE/>
      <w:autoSpaceDN/>
      <w:spacing w:beforeLines="100" w:afterLines="50" w:line="288" w:lineRule="auto"/>
      <w:ind w:left="425" w:hanging="425"/>
      <w:jc w:val="both"/>
    </w:pPr>
    <w:rPr>
      <w:rFonts w:ascii="Arial" w:hAnsi="Arial" w:eastAsia="宋体" w:cs="Times New Roman"/>
      <w:b/>
      <w:bCs/>
      <w:color w:val="FF99CC"/>
      <w:sz w:val="24"/>
      <w:szCs w:val="20"/>
      <w:lang w:val="en-US" w:bidi="ar-SA"/>
    </w:rPr>
  </w:style>
  <w:style w:type="paragraph" w:customStyle="1" w:styleId="1520">
    <w:name w:val="CM69"/>
    <w:basedOn w:val="101"/>
    <w:next w:val="101"/>
    <w:qFormat/>
    <w:uiPriority w:val="99"/>
    <w:pPr>
      <w:snapToGrid w:val="0"/>
      <w:spacing w:beforeLines="0" w:after="67" w:afterLines="0" w:line="360" w:lineRule="auto"/>
    </w:pPr>
    <w:rPr>
      <w:rFonts w:ascii="Times New Roman" w:cs="Times New Roman"/>
      <w:b w:val="0"/>
      <w:color w:val="auto"/>
      <w:kern w:val="0"/>
      <w:sz w:val="24"/>
      <w:szCs w:val="24"/>
    </w:rPr>
  </w:style>
  <w:style w:type="paragraph" w:customStyle="1" w:styleId="1521">
    <w:name w:val="样式 样式2 + 段前: 6 磅 行距: 单倍行距2"/>
    <w:basedOn w:val="1335"/>
    <w:qFormat/>
    <w:uiPriority w:val="99"/>
    <w:pPr>
      <w:keepNext w:val="0"/>
      <w:keepLines w:val="0"/>
      <w:autoSpaceDE w:val="0"/>
      <w:autoSpaceDN w:val="0"/>
      <w:adjustRightInd w:val="0"/>
      <w:snapToGrid w:val="0"/>
      <w:spacing w:before="120" w:line="240" w:lineRule="auto"/>
      <w:jc w:val="center"/>
      <w:textAlignment w:val="baseline"/>
      <w:outlineLvl w:val="9"/>
    </w:pPr>
    <w:rPr>
      <w:rFonts w:ascii="Times New Roman" w:hAnsi="Times New Roman" w:eastAsia="宋体"/>
      <w:bCs w:val="0"/>
      <w:spacing w:val="-16"/>
      <w:sz w:val="21"/>
      <w:szCs w:val="21"/>
    </w:rPr>
  </w:style>
  <w:style w:type="paragraph" w:customStyle="1" w:styleId="1522">
    <w:name w:val="列表 4F"/>
    <w:basedOn w:val="69"/>
    <w:qFormat/>
    <w:uiPriority w:val="99"/>
    <w:pPr>
      <w:tabs>
        <w:tab w:val="left" w:pos="980"/>
      </w:tabs>
      <w:topLinePunct w:val="0"/>
      <w:spacing w:beforeLines="50" w:afterLines="30" w:line="288" w:lineRule="auto"/>
      <w:ind w:left="980" w:leftChars="0" w:hanging="420" w:firstLineChars="0"/>
      <w:jc w:val="both"/>
    </w:pPr>
    <w:rPr>
      <w:rFonts w:ascii="Arial" w:hAnsi="Arial" w:eastAsia="宋体"/>
      <w:color w:val="CCFFFF"/>
      <w:sz w:val="24"/>
    </w:rPr>
  </w:style>
  <w:style w:type="paragraph" w:customStyle="1" w:styleId="1523">
    <w:name w:val="Table Body"/>
    <w:basedOn w:val="1"/>
    <w:qFormat/>
    <w:uiPriority w:val="99"/>
    <w:pPr>
      <w:widowControl/>
      <w:autoSpaceDE/>
      <w:autoSpaceDN/>
      <w:spacing w:before="80" w:after="80"/>
    </w:pPr>
    <w:rPr>
      <w:rFonts w:ascii="Arial" w:hAnsi="Arial" w:eastAsia="Batang" w:cs="Times New Roman"/>
      <w:sz w:val="18"/>
      <w:szCs w:val="20"/>
      <w:lang w:val="en-US" w:eastAsia="ko-KR" w:bidi="ar-SA"/>
    </w:rPr>
  </w:style>
  <w:style w:type="paragraph" w:customStyle="1" w:styleId="1524">
    <w:name w:val="CM6"/>
    <w:basedOn w:val="101"/>
    <w:next w:val="101"/>
    <w:qFormat/>
    <w:uiPriority w:val="99"/>
    <w:pPr>
      <w:snapToGrid w:val="0"/>
      <w:spacing w:beforeLines="0" w:afterLines="0" w:line="360" w:lineRule="auto"/>
    </w:pPr>
    <w:rPr>
      <w:rFonts w:ascii="Times New Roman" w:cs="Times New Roman"/>
      <w:b w:val="0"/>
      <w:color w:val="auto"/>
      <w:kern w:val="0"/>
      <w:sz w:val="24"/>
      <w:szCs w:val="24"/>
    </w:rPr>
  </w:style>
  <w:style w:type="paragraph" w:customStyle="1" w:styleId="1525">
    <w:name w:val="Body Text First Indent3"/>
    <w:basedOn w:val="31"/>
    <w:qFormat/>
    <w:uiPriority w:val="99"/>
    <w:pPr>
      <w:autoSpaceDE/>
      <w:autoSpaceDN/>
      <w:adjustRightInd w:val="0"/>
      <w:spacing w:line="312" w:lineRule="auto"/>
      <w:ind w:firstLine="567"/>
      <w:jc w:val="both"/>
      <w:textAlignment w:val="baseline"/>
    </w:pPr>
    <w:rPr>
      <w:rFonts w:ascii="Times New Roman" w:hAnsi="Times New Roman" w:cs="Times New Roman"/>
      <w:szCs w:val="20"/>
      <w:lang w:val="en-US" w:bidi="ar-SA"/>
    </w:rPr>
  </w:style>
  <w:style w:type="paragraph" w:customStyle="1" w:styleId="1526">
    <w:name w:val="样式 题注 + 五号 加粗 居中"/>
    <w:basedOn w:val="1"/>
    <w:qFormat/>
    <w:uiPriority w:val="99"/>
    <w:pPr>
      <w:autoSpaceDE/>
      <w:autoSpaceDN/>
      <w:spacing w:beforeLines="20" w:afterLines="20" w:line="360" w:lineRule="auto"/>
      <w:jc w:val="center"/>
    </w:pPr>
    <w:rPr>
      <w:rFonts w:ascii="Arial" w:hAnsi="Arial" w:eastAsia="黑体" w:cs="Times New Roman"/>
      <w:b/>
      <w:bCs/>
      <w:kern w:val="2"/>
      <w:sz w:val="24"/>
      <w:szCs w:val="21"/>
      <w:lang w:val="en-US" w:bidi="ar-SA"/>
    </w:rPr>
  </w:style>
  <w:style w:type="paragraph" w:customStyle="1" w:styleId="1527">
    <w:name w:val="列表 L"/>
    <w:basedOn w:val="59"/>
    <w:qFormat/>
    <w:uiPriority w:val="99"/>
    <w:pPr>
      <w:tabs>
        <w:tab w:val="left" w:pos="425"/>
        <w:tab w:val="clear" w:pos="3480"/>
      </w:tabs>
      <w:autoSpaceDE/>
      <w:autoSpaceDN/>
      <w:spacing w:beforeLines="100" w:afterLines="50" w:line="288" w:lineRule="auto"/>
      <w:ind w:left="425" w:hanging="425"/>
      <w:jc w:val="both"/>
    </w:pPr>
    <w:rPr>
      <w:rFonts w:ascii="Arial" w:hAnsi="Arial" w:eastAsia="宋体" w:cs="Times New Roman"/>
      <w:b/>
      <w:bCs/>
      <w:color w:val="FF99CC"/>
      <w:sz w:val="24"/>
      <w:szCs w:val="20"/>
      <w:lang w:val="en-US" w:bidi="ar-SA"/>
    </w:rPr>
  </w:style>
  <w:style w:type="paragraph" w:customStyle="1" w:styleId="1528">
    <w:name w:val="列表 K"/>
    <w:basedOn w:val="59"/>
    <w:qFormat/>
    <w:uiPriority w:val="99"/>
    <w:pPr>
      <w:tabs>
        <w:tab w:val="left" w:pos="425"/>
        <w:tab w:val="clear" w:pos="3480"/>
      </w:tabs>
      <w:autoSpaceDE/>
      <w:autoSpaceDN/>
      <w:spacing w:beforeLines="100" w:afterLines="50" w:line="288" w:lineRule="auto"/>
      <w:ind w:left="425" w:hanging="425"/>
      <w:jc w:val="both"/>
    </w:pPr>
    <w:rPr>
      <w:rFonts w:ascii="Arial" w:hAnsi="Arial" w:eastAsia="宋体" w:cs="Times New Roman"/>
      <w:b/>
      <w:bCs/>
      <w:color w:val="FF99CC"/>
      <w:sz w:val="24"/>
      <w:szCs w:val="20"/>
      <w:lang w:val="en-US" w:bidi="ar-SA"/>
    </w:rPr>
  </w:style>
  <w:style w:type="paragraph" w:customStyle="1" w:styleId="1529">
    <w:name w:val="Char Char Char Char Char Char Char Char Char Char Char Char1 Char Char Char Char Char Char Char Char Char Char Char Char1 Char"/>
    <w:basedOn w:val="1"/>
    <w:next w:val="1"/>
    <w:qFormat/>
    <w:uiPriority w:val="99"/>
    <w:pPr>
      <w:autoSpaceDE/>
      <w:autoSpaceDN/>
      <w:spacing w:line="336" w:lineRule="auto"/>
      <w:ind w:firstLine="200" w:firstLineChars="200"/>
      <w:jc w:val="both"/>
    </w:pPr>
    <w:rPr>
      <w:rFonts w:eastAsia="汉鼎简书宋"/>
      <w:kern w:val="2"/>
      <w:sz w:val="24"/>
      <w:szCs w:val="24"/>
      <w:lang w:val="en-US" w:bidi="ar-SA"/>
    </w:rPr>
  </w:style>
  <w:style w:type="paragraph" w:customStyle="1" w:styleId="1530">
    <w:name w:val="列表 2Q"/>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31">
    <w:name w:val="列表 5H"/>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532">
    <w:name w:val="列表 2Y"/>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33">
    <w:name w:val="Char Char Char Char2"/>
    <w:basedOn w:val="1"/>
    <w:qFormat/>
    <w:uiPriority w:val="0"/>
    <w:pPr>
      <w:widowControl/>
      <w:autoSpaceDE/>
      <w:autoSpaceDN/>
      <w:spacing w:after="160" w:line="240" w:lineRule="exact"/>
    </w:pPr>
    <w:rPr>
      <w:rFonts w:ascii="Verdana" w:hAnsi="Verdana" w:cs="Times New Roman"/>
      <w:sz w:val="20"/>
      <w:szCs w:val="20"/>
      <w:lang w:val="en-US" w:eastAsia="en-US" w:bidi="ar-SA"/>
    </w:rPr>
  </w:style>
  <w:style w:type="paragraph" w:customStyle="1" w:styleId="1534">
    <w:name w:val="Char Char Char Char Char Char1"/>
    <w:basedOn w:val="1"/>
    <w:qFormat/>
    <w:uiPriority w:val="0"/>
    <w:pPr>
      <w:widowControl/>
      <w:autoSpaceDE/>
      <w:autoSpaceDN/>
      <w:jc w:val="both"/>
    </w:pPr>
    <w:rPr>
      <w:rFonts w:ascii="Times New Roman" w:hAnsi="Times New Roman" w:cs="Times New Roman"/>
      <w:sz w:val="24"/>
      <w:szCs w:val="24"/>
      <w:lang w:val="en-US" w:bidi="ar-SA"/>
    </w:rPr>
  </w:style>
  <w:style w:type="paragraph" w:customStyle="1" w:styleId="1535">
    <w:name w:val="6"/>
    <w:basedOn w:val="1"/>
    <w:next w:val="32"/>
    <w:qFormat/>
    <w:uiPriority w:val="99"/>
    <w:pPr>
      <w:autoSpaceDE/>
      <w:autoSpaceDN/>
      <w:spacing w:line="300" w:lineRule="auto"/>
      <w:ind w:firstLine="480" w:firstLineChars="200"/>
      <w:jc w:val="both"/>
    </w:pPr>
    <w:rPr>
      <w:rFonts w:ascii="Times New Roman" w:hAnsi="Times New Roman" w:cs="Times New Roman"/>
      <w:kern w:val="2"/>
      <w:sz w:val="24"/>
      <w:szCs w:val="24"/>
      <w:lang w:val="en-US" w:bidi="ar-SA"/>
    </w:rPr>
  </w:style>
  <w:style w:type="paragraph" w:customStyle="1" w:styleId="1536">
    <w:name w:val="标题 3 + Arial 小四 非加粗 段前: 0 磅 段后: 6 磅 行距: 固定值 22 磅"/>
    <w:basedOn w:val="5"/>
    <w:next w:val="1"/>
    <w:qFormat/>
    <w:uiPriority w:val="99"/>
    <w:pPr>
      <w:keepNext/>
      <w:keepLines/>
      <w:autoSpaceDE/>
      <w:autoSpaceDN/>
      <w:adjustRightInd w:val="0"/>
      <w:snapToGrid w:val="0"/>
      <w:spacing w:line="360" w:lineRule="auto"/>
      <w:ind w:left="0" w:firstLine="0"/>
      <w:jc w:val="both"/>
    </w:pPr>
    <w:rPr>
      <w:rFonts w:ascii="黑体" w:hAnsi="Arial" w:eastAsia="黑体" w:cs="Times New Roman"/>
      <w:b w:val="0"/>
      <w:bCs w:val="0"/>
      <w:color w:val="000000"/>
      <w:szCs w:val="20"/>
      <w:lang w:val="en-US" w:bidi="ar-SA"/>
    </w:rPr>
  </w:style>
  <w:style w:type="paragraph" w:customStyle="1" w:styleId="1537">
    <w:name w:val="表内文字"/>
    <w:basedOn w:val="1"/>
    <w:qFormat/>
    <w:uiPriority w:val="99"/>
    <w:pPr>
      <w:widowControl/>
      <w:autoSpaceDE/>
      <w:autoSpaceDN/>
      <w:ind w:left="57" w:right="57"/>
      <w:jc w:val="center"/>
    </w:pPr>
    <w:rPr>
      <w:rFonts w:ascii="Times" w:hAnsi="Times" w:cs="Times"/>
      <w:snapToGrid w:val="0"/>
      <w:spacing w:val="-20"/>
      <w:sz w:val="21"/>
      <w:szCs w:val="21"/>
      <w:lang w:val="en-US" w:bidi="ar-SA"/>
    </w:rPr>
  </w:style>
  <w:style w:type="paragraph" w:customStyle="1" w:styleId="1538">
    <w:name w:val="正文文本 小4"/>
    <w:qFormat/>
    <w:uiPriority w:val="99"/>
    <w:pPr>
      <w:widowControl w:val="0"/>
      <w:autoSpaceDE w:val="0"/>
      <w:autoSpaceDN w:val="0"/>
      <w:adjustRightInd w:val="0"/>
      <w:snapToGrid w:val="0"/>
      <w:spacing w:line="360" w:lineRule="auto"/>
      <w:ind w:firstLine="480" w:firstLineChars="200"/>
      <w:jc w:val="both"/>
    </w:pPr>
    <w:rPr>
      <w:rFonts w:ascii="仿宋_GB2312" w:hAnsi="Arial" w:eastAsia="仿宋_GB2312" w:cs="Times New Roman"/>
      <w:snapToGrid w:val="0"/>
      <w:color w:val="000000"/>
      <w:sz w:val="24"/>
      <w:lang w:val="en-US" w:eastAsia="zh-CN" w:bidi="ar-SA"/>
    </w:rPr>
  </w:style>
  <w:style w:type="paragraph" w:customStyle="1" w:styleId="1539">
    <w:name w:val="Char Char Char Char Char Char Char Char Char Char2"/>
    <w:basedOn w:val="1"/>
    <w:qFormat/>
    <w:uiPriority w:val="0"/>
    <w:pPr>
      <w:autoSpaceDE/>
      <w:autoSpaceDN/>
      <w:jc w:val="both"/>
    </w:pPr>
    <w:rPr>
      <w:color w:val="000000"/>
      <w:kern w:val="2"/>
      <w:sz w:val="21"/>
      <w:szCs w:val="21"/>
      <w:lang w:val="en-US" w:bidi="ar-SA"/>
    </w:rPr>
  </w:style>
  <w:style w:type="paragraph" w:customStyle="1" w:styleId="1540">
    <w:name w:val="表标题16.8－1"/>
    <w:basedOn w:val="1"/>
    <w:qFormat/>
    <w:uiPriority w:val="99"/>
    <w:pPr>
      <w:widowControl/>
      <w:tabs>
        <w:tab w:val="left" w:pos="1560"/>
        <w:tab w:val="left" w:pos="2160"/>
        <w:tab w:val="left" w:pos="3060"/>
      </w:tabs>
      <w:autoSpaceDE/>
      <w:autoSpaceDN/>
      <w:adjustRightInd w:val="0"/>
      <w:snapToGrid w:val="0"/>
      <w:spacing w:line="0" w:lineRule="atLeast"/>
      <w:ind w:left="2400" w:hanging="420"/>
      <w:jc w:val="center"/>
      <w:textAlignment w:val="baseline"/>
    </w:pPr>
    <w:rPr>
      <w:rFonts w:ascii="Times New Roman" w:hAnsi="Times New Roman" w:eastAsia="黑体" w:cs="Times New Roman"/>
      <w:b/>
      <w:color w:val="000000"/>
      <w:kern w:val="2"/>
      <w:sz w:val="24"/>
      <w:szCs w:val="24"/>
      <w:lang w:val="en-US" w:bidi="ar-SA"/>
    </w:rPr>
  </w:style>
  <w:style w:type="paragraph" w:customStyle="1" w:styleId="1541">
    <w:name w:val="p15"/>
    <w:basedOn w:val="1"/>
    <w:qFormat/>
    <w:uiPriority w:val="0"/>
    <w:pPr>
      <w:widowControl/>
      <w:autoSpaceDE/>
      <w:autoSpaceDN/>
      <w:snapToGrid w:val="0"/>
    </w:pPr>
    <w:rPr>
      <w:rFonts w:ascii="Times New Roman" w:hAnsi="Times New Roman" w:cs="Times New Roman"/>
      <w:color w:val="0000FF"/>
      <w:sz w:val="21"/>
      <w:szCs w:val="20"/>
      <w:lang w:val="en-US" w:bidi="ar-SA"/>
    </w:rPr>
  </w:style>
  <w:style w:type="paragraph" w:customStyle="1" w:styleId="1542">
    <w:name w:val="表左"/>
    <w:basedOn w:val="1096"/>
    <w:qFormat/>
    <w:uiPriority w:val="99"/>
    <w:pPr>
      <w:tabs>
        <w:tab w:val="clear" w:pos="2190"/>
      </w:tabs>
      <w:ind w:right="0" w:rightChars="0"/>
      <w:jc w:val="both"/>
    </w:pPr>
  </w:style>
  <w:style w:type="paragraph" w:customStyle="1" w:styleId="1543">
    <w:name w:val="样式 样式 样式 样式 正文 首行缩进 + 首行缩进:  2 字符 行距: 单倍行距 + 首行缩进:  2 字符 + 小四 首行...2"/>
    <w:basedOn w:val="1"/>
    <w:qFormat/>
    <w:uiPriority w:val="99"/>
    <w:pPr>
      <w:autoSpaceDE/>
      <w:autoSpaceDN/>
      <w:spacing w:line="312" w:lineRule="auto"/>
      <w:ind w:firstLine="480" w:firstLineChars="200"/>
      <w:jc w:val="both"/>
    </w:pPr>
    <w:rPr>
      <w:rFonts w:ascii="Arial" w:hAnsi="Arial"/>
      <w:kern w:val="2"/>
      <w:sz w:val="24"/>
      <w:szCs w:val="20"/>
      <w:lang w:val="en-US" w:bidi="ar-SA"/>
    </w:rPr>
  </w:style>
  <w:style w:type="paragraph" w:customStyle="1" w:styleId="1544">
    <w:name w:val="Char Char Char Char Char Char Char Char Char Char Char Char Char Char Char1"/>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1545">
    <w:name w:val="xl83"/>
    <w:basedOn w:val="1"/>
    <w:qFormat/>
    <w:uiPriority w:val="0"/>
    <w:pPr>
      <w:widowControl/>
      <w:pBdr>
        <w:top w:val="single" w:color="auto" w:sz="4" w:space="0"/>
      </w:pBdr>
      <w:autoSpaceDE/>
      <w:autoSpaceDN/>
      <w:spacing w:before="100" w:beforeAutospacing="1" w:after="100" w:afterAutospacing="1"/>
      <w:jc w:val="center"/>
      <w:textAlignment w:val="center"/>
    </w:pPr>
    <w:rPr>
      <w:rFonts w:ascii="Arial Unicode MS" w:hAnsi="Arial Unicode MS" w:eastAsia="Arial Unicode MS" w:cs="Arial Unicode MS"/>
      <w:sz w:val="16"/>
      <w:szCs w:val="16"/>
      <w:lang w:val="en-US" w:bidi="ar-SA"/>
    </w:rPr>
  </w:style>
  <w:style w:type="paragraph" w:customStyle="1" w:styleId="1546">
    <w:name w:val="xl103"/>
    <w:basedOn w:val="1"/>
    <w:qFormat/>
    <w:uiPriority w:val="0"/>
    <w:pPr>
      <w:widowControl/>
      <w:pBdr>
        <w:top w:val="single" w:color="auto" w:sz="4" w:space="0"/>
        <w:left w:val="single" w:color="auto" w:sz="8" w:space="0"/>
      </w:pBdr>
      <w:autoSpaceDE/>
      <w:autoSpaceDN/>
      <w:spacing w:before="100" w:beforeAutospacing="1" w:after="100" w:afterAutospacing="1"/>
      <w:textAlignment w:val="center"/>
    </w:pPr>
    <w:rPr>
      <w:rFonts w:ascii="Arial Unicode MS" w:hAnsi="Arial Unicode MS" w:eastAsia="Arial Unicode MS" w:cs="Arial Unicode MS"/>
      <w:sz w:val="16"/>
      <w:szCs w:val="16"/>
      <w:lang w:val="en-US" w:bidi="ar-SA"/>
    </w:rPr>
  </w:style>
  <w:style w:type="paragraph" w:customStyle="1" w:styleId="1547">
    <w:name w:val="列表 I"/>
    <w:basedOn w:val="59"/>
    <w:qFormat/>
    <w:uiPriority w:val="99"/>
    <w:pPr>
      <w:tabs>
        <w:tab w:val="left" w:pos="425"/>
        <w:tab w:val="clear" w:pos="3480"/>
      </w:tabs>
      <w:autoSpaceDE/>
      <w:autoSpaceDN/>
      <w:spacing w:beforeLines="100" w:afterLines="50" w:line="288" w:lineRule="auto"/>
      <w:ind w:left="425" w:hanging="425"/>
      <w:jc w:val="both"/>
    </w:pPr>
    <w:rPr>
      <w:rFonts w:ascii="Arial" w:hAnsi="Arial" w:eastAsia="宋体" w:cs="Times New Roman"/>
      <w:b/>
      <w:bCs/>
      <w:color w:val="FF99CC"/>
      <w:sz w:val="24"/>
      <w:szCs w:val="20"/>
      <w:lang w:val="en-US" w:bidi="ar-SA"/>
    </w:rPr>
  </w:style>
  <w:style w:type="paragraph" w:customStyle="1" w:styleId="1548">
    <w:name w:val="样式 标题 2节标题2H2h2第一层条二级 标题 2标题 2 Char节标题1MVA21.1Headin..."/>
    <w:basedOn w:val="4"/>
    <w:qFormat/>
    <w:uiPriority w:val="99"/>
    <w:pPr>
      <w:tabs>
        <w:tab w:val="left" w:pos="786"/>
      </w:tabs>
      <w:autoSpaceDE/>
      <w:autoSpaceDN/>
      <w:adjustRightInd w:val="0"/>
      <w:snapToGrid w:val="0"/>
      <w:spacing w:line="360" w:lineRule="auto"/>
      <w:ind w:left="786" w:hanging="786"/>
    </w:pPr>
    <w:rPr>
      <w:rFonts w:ascii="Times New Roman" w:cs="Times New Roman"/>
      <w:b/>
      <w:bCs/>
      <w:sz w:val="24"/>
      <w:szCs w:val="20"/>
      <w:lang w:val="en-US" w:bidi="ar-SA"/>
    </w:rPr>
  </w:style>
  <w:style w:type="paragraph" w:customStyle="1" w:styleId="1549">
    <w:name w:val="xl110"/>
    <w:basedOn w:val="1"/>
    <w:qFormat/>
    <w:uiPriority w:val="0"/>
    <w:pPr>
      <w:widowControl/>
      <w:pBdr>
        <w:bottom w:val="single" w:color="auto" w:sz="4" w:space="0"/>
        <w:right w:val="single" w:color="auto" w:sz="8" w:space="0"/>
      </w:pBdr>
      <w:autoSpaceDE/>
      <w:autoSpaceDN/>
      <w:spacing w:before="100" w:beforeAutospacing="1" w:after="100" w:afterAutospacing="1"/>
      <w:jc w:val="center"/>
      <w:textAlignment w:val="center"/>
    </w:pPr>
    <w:rPr>
      <w:rFonts w:ascii="Arial Unicode MS" w:hAnsi="Arial Unicode MS" w:eastAsia="Arial Unicode MS" w:cs="Arial Unicode MS"/>
      <w:sz w:val="16"/>
      <w:szCs w:val="16"/>
      <w:lang w:val="en-US" w:bidi="ar-SA"/>
    </w:rPr>
  </w:style>
  <w:style w:type="paragraph" w:customStyle="1" w:styleId="1550">
    <w:name w:val="列表 1A"/>
    <w:basedOn w:val="848"/>
    <w:qFormat/>
    <w:uiPriority w:val="99"/>
    <w:pPr>
      <w:tabs>
        <w:tab w:val="left" w:pos="907"/>
        <w:tab w:val="clear" w:pos="432"/>
      </w:tabs>
      <w:ind w:left="907" w:hanging="567"/>
    </w:pPr>
  </w:style>
  <w:style w:type="paragraph" w:customStyle="1" w:styleId="1551">
    <w:name w:val="公司名"/>
    <w:basedOn w:val="1"/>
    <w:qFormat/>
    <w:uiPriority w:val="99"/>
    <w:pPr>
      <w:keepNext/>
      <w:keepLines/>
      <w:widowControl/>
      <w:autoSpaceDE/>
      <w:autoSpaceDN/>
      <w:spacing w:beforeLines="50" w:afterLines="50" w:line="320" w:lineRule="atLeast"/>
      <w:jc w:val="center"/>
    </w:pPr>
    <w:rPr>
      <w:rFonts w:ascii="Arial" w:hAnsi="Arial" w:eastAsia="楷体_GB2312" w:cs="Times New Roman"/>
      <w:b/>
      <w:bCs/>
      <w:color w:val="CCFFCC"/>
      <w:kern w:val="28"/>
      <w:sz w:val="32"/>
      <w:szCs w:val="20"/>
      <w:lang w:val="en-US" w:bidi="he-IL"/>
    </w:rPr>
  </w:style>
  <w:style w:type="paragraph" w:customStyle="1" w:styleId="1552">
    <w:name w:val="样式 标题 2 + Times New Roman 小三 居中"/>
    <w:basedOn w:val="4"/>
    <w:qFormat/>
    <w:uiPriority w:val="99"/>
    <w:pPr>
      <w:keepNext/>
      <w:keepLines/>
      <w:widowControl/>
      <w:autoSpaceDE/>
      <w:autoSpaceDN/>
      <w:spacing w:before="260" w:after="260" w:line="415" w:lineRule="auto"/>
      <w:ind w:left="0" w:firstLine="538" w:firstLineChars="192"/>
    </w:pPr>
    <w:rPr>
      <w:rFonts w:ascii="Times New Roman" w:hAnsi="Times New Roman" w:eastAsia="黑体"/>
      <w:b/>
      <w:szCs w:val="20"/>
      <w:lang w:val="en-US" w:bidi="ar-SA"/>
    </w:rPr>
  </w:style>
  <w:style w:type="paragraph" w:customStyle="1" w:styleId="1553">
    <w:name w:val="列表 F"/>
    <w:basedOn w:val="59"/>
    <w:qFormat/>
    <w:uiPriority w:val="99"/>
    <w:pPr>
      <w:tabs>
        <w:tab w:val="left" w:pos="425"/>
        <w:tab w:val="clear" w:pos="3480"/>
      </w:tabs>
      <w:autoSpaceDE/>
      <w:autoSpaceDN/>
      <w:spacing w:beforeLines="100" w:afterLines="50" w:line="288" w:lineRule="auto"/>
      <w:ind w:left="425" w:hanging="425"/>
      <w:jc w:val="both"/>
    </w:pPr>
    <w:rPr>
      <w:rFonts w:ascii="Arial" w:hAnsi="Arial" w:eastAsia="宋体" w:cs="Times New Roman"/>
      <w:b/>
      <w:bCs/>
      <w:color w:val="FF99CC"/>
      <w:sz w:val="24"/>
      <w:szCs w:val="20"/>
      <w:lang w:val="en-US" w:bidi="ar-SA"/>
    </w:rPr>
  </w:style>
  <w:style w:type="paragraph" w:customStyle="1" w:styleId="1554">
    <w:name w:val="样式 段前: 0.5 行 首行缩进:  2 字符"/>
    <w:basedOn w:val="1"/>
    <w:qFormat/>
    <w:uiPriority w:val="99"/>
    <w:pPr>
      <w:autoSpaceDE/>
      <w:autoSpaceDN/>
      <w:adjustRightInd w:val="0"/>
      <w:snapToGrid w:val="0"/>
      <w:spacing w:before="156" w:line="360" w:lineRule="auto"/>
      <w:ind w:firstLine="480" w:firstLineChars="200"/>
      <w:jc w:val="both"/>
    </w:pPr>
    <w:rPr>
      <w:rFonts w:ascii="Times New Roman" w:hAnsi="Times New Roman"/>
      <w:kern w:val="2"/>
      <w:sz w:val="24"/>
      <w:szCs w:val="20"/>
      <w:lang w:val="en-US" w:bidi="ar-SA"/>
    </w:rPr>
  </w:style>
  <w:style w:type="paragraph" w:customStyle="1" w:styleId="1555">
    <w:name w:val="悬挂式正文"/>
    <w:basedOn w:val="1"/>
    <w:qFormat/>
    <w:uiPriority w:val="99"/>
    <w:pPr>
      <w:tabs>
        <w:tab w:val="center" w:pos="6804"/>
        <w:tab w:val="right" w:pos="7371"/>
      </w:tabs>
      <w:overflowPunct w:val="0"/>
      <w:autoSpaceDE/>
      <w:autoSpaceDN/>
      <w:adjustRightInd w:val="0"/>
      <w:spacing w:line="360" w:lineRule="auto"/>
      <w:ind w:left="1701" w:hanging="1134"/>
      <w:jc w:val="both"/>
      <w:textAlignment w:val="baseline"/>
    </w:pPr>
    <w:rPr>
      <w:rFonts w:ascii="Times New Roman" w:hAnsi="Times New Roman" w:cs="Times New Roman"/>
      <w:sz w:val="28"/>
      <w:szCs w:val="20"/>
      <w:lang w:val="en-US" w:bidi="ar-SA"/>
    </w:rPr>
  </w:style>
  <w:style w:type="paragraph" w:customStyle="1" w:styleId="1556">
    <w:name w:val="xl86"/>
    <w:basedOn w:val="1"/>
    <w:qFormat/>
    <w:uiPriority w:val="0"/>
    <w:pPr>
      <w:widowControl/>
      <w:pBdr>
        <w:top w:val="single" w:color="auto" w:sz="8" w:space="0"/>
        <w:left w:val="single" w:color="auto" w:sz="8" w:space="0"/>
        <w:bottom w:val="single" w:color="auto" w:sz="4" w:space="0"/>
      </w:pBdr>
      <w:autoSpaceDE/>
      <w:autoSpaceDN/>
      <w:spacing w:before="100" w:beforeAutospacing="1" w:after="100" w:afterAutospacing="1"/>
    </w:pPr>
    <w:rPr>
      <w:rFonts w:ascii="Times New Roman" w:hAnsi="Times New Roman" w:eastAsia="Arial Unicode MS" w:cs="Times New Roman"/>
      <w:sz w:val="16"/>
      <w:szCs w:val="16"/>
      <w:lang w:val="en-US" w:bidi="ar-SA"/>
    </w:rPr>
  </w:style>
  <w:style w:type="paragraph" w:customStyle="1" w:styleId="1557">
    <w:name w:val="样式1－表头"/>
    <w:basedOn w:val="1"/>
    <w:qFormat/>
    <w:uiPriority w:val="99"/>
    <w:pPr>
      <w:autoSpaceDE/>
      <w:autoSpaceDN/>
      <w:adjustRightInd w:val="0"/>
      <w:snapToGrid w:val="0"/>
      <w:spacing w:beforeLines="50" w:afterLines="50" w:line="336" w:lineRule="auto"/>
      <w:jc w:val="center"/>
    </w:pPr>
    <w:rPr>
      <w:rFonts w:ascii="Times New Roman" w:hAnsi="Times New Roman" w:eastAsia="黑体" w:cs="Times New Roman"/>
      <w:spacing w:val="6"/>
      <w:kern w:val="2"/>
      <w:sz w:val="24"/>
      <w:szCs w:val="20"/>
      <w:lang w:val="en-US" w:bidi="ar-SA"/>
    </w:rPr>
  </w:style>
  <w:style w:type="paragraph" w:customStyle="1" w:styleId="1558">
    <w:name w:val="xl104"/>
    <w:basedOn w:val="1"/>
    <w:qFormat/>
    <w:uiPriority w:val="0"/>
    <w:pPr>
      <w:widowControl/>
      <w:pBdr>
        <w:left w:val="single" w:color="auto" w:sz="8" w:space="0"/>
      </w:pBdr>
      <w:autoSpaceDE/>
      <w:autoSpaceDN/>
      <w:spacing w:before="100" w:beforeAutospacing="1" w:after="100" w:afterAutospacing="1"/>
      <w:textAlignment w:val="center"/>
    </w:pPr>
    <w:rPr>
      <w:rFonts w:ascii="Arial Unicode MS" w:hAnsi="Arial Unicode MS" w:eastAsia="Arial Unicode MS" w:cs="Arial Unicode MS"/>
      <w:sz w:val="16"/>
      <w:szCs w:val="16"/>
      <w:lang w:val="en-US" w:bidi="ar-SA"/>
    </w:rPr>
  </w:style>
  <w:style w:type="paragraph" w:customStyle="1" w:styleId="1559">
    <w:name w:val="列表 A"/>
    <w:basedOn w:val="59"/>
    <w:qFormat/>
    <w:uiPriority w:val="99"/>
    <w:pPr>
      <w:tabs>
        <w:tab w:val="left" w:pos="1021"/>
        <w:tab w:val="clear" w:pos="3480"/>
      </w:tabs>
      <w:autoSpaceDE/>
      <w:autoSpaceDN/>
      <w:spacing w:beforeLines="100" w:afterLines="50" w:line="288" w:lineRule="auto"/>
      <w:ind w:left="1021" w:hanging="454"/>
      <w:jc w:val="both"/>
    </w:pPr>
    <w:rPr>
      <w:rFonts w:ascii="Arial" w:hAnsi="Arial" w:eastAsia="宋体" w:cs="Times New Roman"/>
      <w:b/>
      <w:bCs/>
      <w:color w:val="FF99CC"/>
      <w:sz w:val="24"/>
      <w:szCs w:val="20"/>
      <w:lang w:val="en-US" w:bidi="ar-SA"/>
    </w:rPr>
  </w:style>
  <w:style w:type="paragraph" w:customStyle="1" w:styleId="1560">
    <w:name w:val="04"/>
    <w:basedOn w:val="1"/>
    <w:qFormat/>
    <w:uiPriority w:val="99"/>
    <w:pPr>
      <w:autoSpaceDE/>
      <w:autoSpaceDN/>
      <w:spacing w:line="312" w:lineRule="auto"/>
      <w:jc w:val="both"/>
    </w:pPr>
    <w:rPr>
      <w:rFonts w:ascii="Times New Roman" w:hAnsi="Times New Roman" w:eastAsia="华文仿宋" w:cs="Times New Roman"/>
      <w:kern w:val="2"/>
      <w:sz w:val="24"/>
      <w:szCs w:val="30"/>
      <w:lang w:val="en-US" w:bidi="ar-SA"/>
    </w:rPr>
  </w:style>
  <w:style w:type="paragraph" w:customStyle="1" w:styleId="1561">
    <w:name w:val="列表 5K"/>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562">
    <w:name w:val="正文文字进缩"/>
    <w:basedOn w:val="1"/>
    <w:qFormat/>
    <w:uiPriority w:val="0"/>
    <w:pPr>
      <w:autoSpaceDE/>
      <w:autoSpaceDN/>
      <w:spacing w:line="360" w:lineRule="auto"/>
      <w:ind w:firstLine="539"/>
      <w:jc w:val="both"/>
    </w:pPr>
    <w:rPr>
      <w:rFonts w:hAnsi="Arial Black" w:cs="Times New Roman"/>
      <w:bCs/>
      <w:iCs/>
      <w:kern w:val="2"/>
      <w:sz w:val="28"/>
      <w:szCs w:val="24"/>
      <w:lang w:val="en-US" w:bidi="ar-SA"/>
    </w:rPr>
  </w:style>
  <w:style w:type="paragraph" w:customStyle="1" w:styleId="1563">
    <w:name w:val="xl102"/>
    <w:basedOn w:val="1"/>
    <w:qFormat/>
    <w:uiPriority w:val="0"/>
    <w:pPr>
      <w:widowControl/>
      <w:pBdr>
        <w:top w:val="single" w:color="auto" w:sz="4" w:space="0"/>
        <w:bottom w:val="single" w:color="auto" w:sz="4" w:space="0"/>
        <w:right w:val="single" w:color="auto" w:sz="8" w:space="0"/>
      </w:pBdr>
      <w:autoSpaceDE/>
      <w:autoSpaceDN/>
      <w:spacing w:before="100" w:beforeAutospacing="1" w:after="100" w:afterAutospacing="1"/>
    </w:pPr>
    <w:rPr>
      <w:rFonts w:ascii="Arial Unicode MS" w:hAnsi="Arial Unicode MS" w:eastAsia="Arial Unicode MS" w:cs="Arial Unicode MS"/>
      <w:sz w:val="24"/>
      <w:szCs w:val="24"/>
      <w:lang w:val="en-US" w:bidi="ar-SA"/>
    </w:rPr>
  </w:style>
  <w:style w:type="paragraph" w:customStyle="1" w:styleId="1564">
    <w:name w:val="列表 4J"/>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565">
    <w:name w:val="奉读大示，心折殊深。"/>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566">
    <w:name w:val="16"/>
    <w:basedOn w:val="1"/>
    <w:qFormat/>
    <w:uiPriority w:val="0"/>
    <w:pPr>
      <w:widowControl/>
      <w:autoSpaceDE/>
      <w:autoSpaceDN/>
      <w:spacing w:before="100" w:beforeAutospacing="1" w:after="100" w:afterAutospacing="1"/>
    </w:pPr>
    <w:rPr>
      <w:sz w:val="24"/>
      <w:szCs w:val="24"/>
      <w:lang w:val="en-US" w:bidi="ar-SA"/>
    </w:rPr>
  </w:style>
  <w:style w:type="paragraph" w:customStyle="1" w:styleId="1567">
    <w:name w:val="acee正文"/>
    <w:basedOn w:val="1"/>
    <w:qFormat/>
    <w:uiPriority w:val="99"/>
    <w:pPr>
      <w:autoSpaceDE/>
      <w:autoSpaceDN/>
      <w:adjustRightInd w:val="0"/>
      <w:snapToGrid w:val="0"/>
      <w:spacing w:line="480" w:lineRule="exact"/>
      <w:ind w:firstLine="640" w:firstLineChars="200"/>
      <w:jc w:val="both"/>
    </w:pPr>
    <w:rPr>
      <w:rFonts w:ascii="仿宋_GB2312" w:eastAsia="仿宋_GB2312" w:cs="Times New Roman"/>
      <w:kern w:val="2"/>
      <w:sz w:val="32"/>
      <w:szCs w:val="24"/>
      <w:lang w:val="en-US" w:bidi="ar-SA"/>
    </w:rPr>
  </w:style>
  <w:style w:type="paragraph" w:customStyle="1" w:styleId="1568">
    <w:name w:val="列表 2C"/>
    <w:basedOn w:val="34"/>
    <w:qFormat/>
    <w:uiPriority w:val="99"/>
    <w:pPr>
      <w:tabs>
        <w:tab w:val="left" w:pos="1275"/>
      </w:tabs>
      <w:snapToGrid/>
      <w:spacing w:before="100" w:beforeAutospacing="1" w:after="100" w:afterAutospacing="1" w:line="288" w:lineRule="auto"/>
      <w:ind w:left="1275" w:hanging="705"/>
      <w:jc w:val="both"/>
    </w:pPr>
    <w:rPr>
      <w:rFonts w:ascii="Arial" w:hAnsi="Arial"/>
      <w:color w:val="FFFF99"/>
      <w:sz w:val="24"/>
    </w:rPr>
  </w:style>
  <w:style w:type="paragraph" w:customStyle="1" w:styleId="1569">
    <w:name w:val="xl99"/>
    <w:basedOn w:val="1"/>
    <w:qFormat/>
    <w:uiPriority w:val="0"/>
    <w:pPr>
      <w:widowControl/>
      <w:pBdr>
        <w:top w:val="single" w:color="auto" w:sz="8" w:space="0"/>
        <w:left w:val="single" w:color="auto" w:sz="8" w:space="0"/>
        <w:bottom w:val="single" w:color="auto" w:sz="4" w:space="0"/>
      </w:pBdr>
      <w:autoSpaceDE/>
      <w:autoSpaceDN/>
      <w:spacing w:before="100" w:beforeAutospacing="1" w:after="100" w:afterAutospacing="1"/>
      <w:jc w:val="center"/>
    </w:pPr>
    <w:rPr>
      <w:rFonts w:ascii="Arial Unicode MS" w:hAnsi="Arial Unicode MS" w:eastAsia="Arial Unicode MS" w:cs="Arial Unicode MS"/>
      <w:sz w:val="16"/>
      <w:szCs w:val="16"/>
      <w:lang w:val="en-US" w:bidi="ar-SA"/>
    </w:rPr>
  </w:style>
  <w:style w:type="paragraph" w:customStyle="1" w:styleId="1570">
    <w:name w:val="图目"/>
    <w:basedOn w:val="1"/>
    <w:qFormat/>
    <w:uiPriority w:val="99"/>
    <w:pPr>
      <w:autoSpaceDE/>
      <w:autoSpaceDN/>
      <w:adjustRightInd w:val="0"/>
      <w:spacing w:line="0" w:lineRule="atLeast"/>
      <w:jc w:val="center"/>
      <w:textAlignment w:val="baseline"/>
    </w:pPr>
    <w:rPr>
      <w:rFonts w:ascii="Arial" w:hAnsi="Arial" w:cs="Arial"/>
      <w:kern w:val="2"/>
      <w:sz w:val="21"/>
      <w:szCs w:val="20"/>
      <w:lang w:val="en-US" w:bidi="ar-SA"/>
    </w:rPr>
  </w:style>
  <w:style w:type="paragraph" w:customStyle="1" w:styleId="1571">
    <w:name w:val="样式 黑体 居中 行距: 1.5 倍行距"/>
    <w:basedOn w:val="1"/>
    <w:qFormat/>
    <w:uiPriority w:val="0"/>
    <w:pPr>
      <w:autoSpaceDE/>
      <w:autoSpaceDN/>
      <w:spacing w:line="360" w:lineRule="auto"/>
      <w:jc w:val="center"/>
    </w:pPr>
    <w:rPr>
      <w:rFonts w:ascii="黑体" w:hAnsi="黑体" w:eastAsia="黑体"/>
      <w:sz w:val="24"/>
      <w:szCs w:val="20"/>
      <w:lang w:val="en-US" w:bidi="ar-SA"/>
    </w:rPr>
  </w:style>
  <w:style w:type="paragraph" w:customStyle="1" w:styleId="1572">
    <w:name w:val="Char Char Char Char Char Char Char Char Char Char Char Char1 Char2"/>
    <w:basedOn w:val="1"/>
    <w:next w:val="1"/>
    <w:qFormat/>
    <w:uiPriority w:val="99"/>
    <w:pPr>
      <w:autoSpaceDE/>
      <w:autoSpaceDN/>
      <w:spacing w:line="336" w:lineRule="auto"/>
      <w:ind w:firstLine="200" w:firstLineChars="200"/>
      <w:jc w:val="both"/>
    </w:pPr>
    <w:rPr>
      <w:rFonts w:eastAsia="汉鼎简书宋"/>
      <w:kern w:val="2"/>
      <w:sz w:val="24"/>
      <w:szCs w:val="24"/>
      <w:lang w:val="en-US" w:bidi="ar-SA"/>
    </w:rPr>
  </w:style>
  <w:style w:type="paragraph" w:customStyle="1" w:styleId="1573">
    <w:name w:val="内蒙3"/>
    <w:basedOn w:val="5"/>
    <w:qFormat/>
    <w:uiPriority w:val="99"/>
    <w:pPr>
      <w:keepNext/>
      <w:keepLines/>
      <w:autoSpaceDE/>
      <w:autoSpaceDN/>
      <w:adjustRightInd w:val="0"/>
      <w:snapToGrid w:val="0"/>
      <w:spacing w:line="480" w:lineRule="exact"/>
      <w:ind w:left="0" w:firstLine="0"/>
      <w:jc w:val="both"/>
    </w:pPr>
    <w:rPr>
      <w:rFonts w:ascii="Times New Roman" w:hAnsi="Times New Roman" w:eastAsia="黑体" w:cs="Times New Roman"/>
      <w:color w:val="FF0000"/>
      <w:spacing w:val="20"/>
      <w:szCs w:val="32"/>
      <w:lang w:val="en-US" w:bidi="ar-SA"/>
    </w:rPr>
  </w:style>
  <w:style w:type="paragraph" w:customStyle="1" w:styleId="1574">
    <w:name w:val="样式 标题 1 + (中文) 黑体 三号 居中 行距: 单倍行距"/>
    <w:basedOn w:val="3"/>
    <w:qFormat/>
    <w:uiPriority w:val="99"/>
    <w:pPr>
      <w:keepNext/>
      <w:keepLines/>
      <w:widowControl/>
      <w:topLinePunct/>
      <w:adjustRightInd w:val="0"/>
      <w:snapToGrid w:val="0"/>
      <w:spacing w:before="340" w:after="330"/>
      <w:ind w:left="0" w:firstLine="538" w:firstLineChars="224"/>
    </w:pPr>
    <w:rPr>
      <w:rFonts w:ascii="宋体" w:hAnsi="Times New Roman" w:cs="宋体"/>
      <w:b/>
      <w:snapToGrid w:val="0"/>
      <w:kern w:val="44"/>
      <w:sz w:val="32"/>
      <w:szCs w:val="20"/>
      <w:lang w:val="en-US" w:bidi="ar-SA"/>
    </w:rPr>
  </w:style>
  <w:style w:type="paragraph" w:customStyle="1" w:styleId="1575">
    <w:name w:val="t12"/>
    <w:basedOn w:val="1"/>
    <w:qFormat/>
    <w:uiPriority w:val="99"/>
    <w:pPr>
      <w:widowControl/>
      <w:autoSpaceDE/>
      <w:autoSpaceDN/>
      <w:spacing w:before="100" w:beforeAutospacing="1" w:after="100" w:afterAutospacing="1"/>
    </w:pPr>
    <w:rPr>
      <w:sz w:val="24"/>
      <w:szCs w:val="24"/>
      <w:lang w:val="en-US" w:bidi="ar-SA"/>
    </w:rPr>
  </w:style>
  <w:style w:type="paragraph" w:customStyle="1" w:styleId="1576">
    <w:name w:val="列表 2X"/>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77">
    <w:name w:val="文字表格"/>
    <w:basedOn w:val="231"/>
    <w:qFormat/>
    <w:uiPriority w:val="99"/>
    <w:pPr>
      <w:widowControl w:val="0"/>
      <w:tabs>
        <w:tab w:val="clear" w:pos="146"/>
      </w:tabs>
      <w:autoSpaceDE w:val="0"/>
      <w:autoSpaceDN w:val="0"/>
      <w:adjustRightInd w:val="0"/>
      <w:snapToGrid w:val="0"/>
      <w:spacing w:line="360" w:lineRule="atLeast"/>
      <w:ind w:right="0" w:rightChars="0" w:firstLine="0"/>
    </w:pPr>
    <w:rPr>
      <w:rFonts w:ascii="Times New Roman" w:hAnsi="Times New Roman" w:cs="宋体"/>
      <w:snapToGrid w:val="0"/>
      <w:color w:val="000000"/>
      <w:spacing w:val="0"/>
      <w:sz w:val="20"/>
      <w:szCs w:val="21"/>
      <w:lang w:val="zh-CN"/>
    </w:rPr>
  </w:style>
  <w:style w:type="paragraph" w:customStyle="1" w:styleId="1578">
    <w:name w:val="xl77"/>
    <w:basedOn w:val="1"/>
    <w:qFormat/>
    <w:uiPriority w:val="0"/>
    <w:pPr>
      <w:widowControl/>
      <w:pBdr>
        <w:top w:val="single" w:color="auto" w:sz="8" w:space="0"/>
        <w:left w:val="single" w:color="auto" w:sz="4" w:space="0"/>
        <w:bottom w:val="single" w:color="auto" w:sz="4" w:space="0"/>
        <w:right w:val="single" w:color="auto" w:sz="8" w:space="0"/>
      </w:pBdr>
      <w:autoSpaceDE/>
      <w:autoSpaceDN/>
      <w:spacing w:before="100" w:beforeAutospacing="1" w:after="100" w:afterAutospacing="1"/>
      <w:jc w:val="center"/>
      <w:textAlignment w:val="center"/>
    </w:pPr>
    <w:rPr>
      <w:rFonts w:ascii="Arial Unicode MS" w:hAnsi="Arial Unicode MS" w:eastAsia="Arial Unicode MS" w:cs="Arial Unicode MS"/>
      <w:sz w:val="16"/>
      <w:szCs w:val="16"/>
      <w:lang w:val="en-US" w:bidi="ar-SA"/>
    </w:rPr>
  </w:style>
  <w:style w:type="paragraph" w:customStyle="1" w:styleId="1579">
    <w:name w:val="s0"/>
    <w:qFormat/>
    <w:uiPriority w:val="99"/>
    <w:pPr>
      <w:widowControl w:val="0"/>
      <w:autoSpaceDE w:val="0"/>
      <w:autoSpaceDN w:val="0"/>
      <w:adjustRightInd w:val="0"/>
    </w:pPr>
    <w:rPr>
      <w:rFonts w:ascii="????" w:hAnsi="Times New Roman" w:eastAsia="????" w:cs="Times New Roman"/>
      <w:lang w:val="en-US" w:eastAsia="zh-CN" w:bidi="ar-SA"/>
    </w:rPr>
  </w:style>
  <w:style w:type="paragraph" w:customStyle="1" w:styleId="1580">
    <w:name w:val="xl108"/>
    <w:basedOn w:val="1"/>
    <w:qFormat/>
    <w:uiPriority w:val="0"/>
    <w:pPr>
      <w:widowControl/>
      <w:pBdr>
        <w:bottom w:val="single" w:color="auto" w:sz="4" w:space="0"/>
        <w:right w:val="single" w:color="auto" w:sz="8" w:space="0"/>
      </w:pBdr>
      <w:autoSpaceDE/>
      <w:autoSpaceDN/>
      <w:spacing w:before="100" w:beforeAutospacing="1" w:after="100" w:afterAutospacing="1"/>
      <w:jc w:val="center"/>
      <w:textAlignment w:val="center"/>
    </w:pPr>
    <w:rPr>
      <w:rFonts w:ascii="Arial Unicode MS" w:hAnsi="Arial Unicode MS" w:eastAsia="Arial Unicode MS" w:cs="Arial Unicode MS"/>
      <w:sz w:val="16"/>
      <w:szCs w:val="16"/>
      <w:lang w:val="en-US" w:bidi="ar-SA"/>
    </w:rPr>
  </w:style>
  <w:style w:type="paragraph" w:customStyle="1" w:styleId="1581">
    <w:name w:val="列表 3M"/>
    <w:basedOn w:val="12"/>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82">
    <w:name w:val="正文文本缩进 31"/>
    <w:basedOn w:val="1"/>
    <w:qFormat/>
    <w:uiPriority w:val="0"/>
    <w:pPr>
      <w:autoSpaceDE/>
      <w:autoSpaceDN/>
      <w:adjustRightInd w:val="0"/>
      <w:spacing w:line="360" w:lineRule="atLeast"/>
      <w:ind w:firstLine="480"/>
      <w:jc w:val="both"/>
      <w:textAlignment w:val="baseline"/>
    </w:pPr>
    <w:rPr>
      <w:rFonts w:hAnsi="Times New Roman" w:cs="Times New Roman"/>
      <w:sz w:val="24"/>
      <w:szCs w:val="20"/>
      <w:lang w:val="en-US" w:bidi="ar-SA"/>
    </w:rPr>
  </w:style>
  <w:style w:type="paragraph" w:customStyle="1" w:styleId="1583">
    <w:name w:val="列表 2M"/>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84">
    <w:name w:val="表样式"/>
    <w:basedOn w:val="1075"/>
    <w:qFormat/>
    <w:uiPriority w:val="99"/>
    <w:pPr>
      <w:keepNext w:val="0"/>
      <w:widowControl w:val="0"/>
      <w:spacing w:beforeLines="0" w:line="240" w:lineRule="auto"/>
    </w:pPr>
    <w:rPr>
      <w:rFonts w:ascii="仿宋_GB2312" w:eastAsia="黑体"/>
      <w:sz w:val="21"/>
    </w:rPr>
  </w:style>
  <w:style w:type="paragraph" w:customStyle="1" w:styleId="1585">
    <w:name w:val="列表 3G"/>
    <w:basedOn w:val="12"/>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86">
    <w:name w:val="默认段落字体 Para Char Char Char Char Char Char Char"/>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1587">
    <w:name w:val="Char Char Char Char Char Char Char Char Char Char Char Char Char Char Char Char Char Char Char"/>
    <w:basedOn w:val="1"/>
    <w:qFormat/>
    <w:uiPriority w:val="99"/>
    <w:pPr>
      <w:autoSpaceDE/>
      <w:autoSpaceDN/>
      <w:jc w:val="both"/>
    </w:pPr>
    <w:rPr>
      <w:rFonts w:ascii="Times New Roman" w:hAnsi="Times New Roman" w:eastAsia="仿宋_GB2312" w:cs="Times New Roman"/>
      <w:kern w:val="2"/>
      <w:sz w:val="21"/>
      <w:szCs w:val="21"/>
      <w:lang w:val="en-US" w:bidi="ar-SA"/>
    </w:rPr>
  </w:style>
  <w:style w:type="paragraph" w:customStyle="1" w:styleId="1588">
    <w:name w:val="样式 标题 1 + 黑体 三号 居中 行距: 固定值 20 磅"/>
    <w:basedOn w:val="3"/>
    <w:qFormat/>
    <w:uiPriority w:val="99"/>
    <w:pPr>
      <w:keepNext/>
      <w:keepLines/>
      <w:widowControl/>
      <w:topLinePunct/>
      <w:adjustRightInd w:val="0"/>
      <w:snapToGrid w:val="0"/>
      <w:spacing w:before="340" w:after="330" w:line="400" w:lineRule="exact"/>
      <w:ind w:left="0" w:firstLine="538" w:firstLineChars="224"/>
    </w:pPr>
    <w:rPr>
      <w:rFonts w:cs="宋体"/>
      <w:b/>
      <w:snapToGrid w:val="0"/>
      <w:kern w:val="44"/>
      <w:sz w:val="32"/>
      <w:szCs w:val="20"/>
      <w:lang w:val="en-US" w:bidi="ar-SA"/>
    </w:rPr>
  </w:style>
  <w:style w:type="paragraph" w:customStyle="1" w:styleId="1589">
    <w:name w:val="论文正文"/>
    <w:basedOn w:val="1"/>
    <w:qFormat/>
    <w:uiPriority w:val="0"/>
    <w:pPr>
      <w:autoSpaceDE/>
      <w:autoSpaceDN/>
      <w:ind w:firstLine="567"/>
      <w:jc w:val="both"/>
    </w:pPr>
    <w:rPr>
      <w:rFonts w:ascii="Times New Roman" w:hAnsi="Times New Roman" w:cs="Times New Roman"/>
      <w:kern w:val="2"/>
      <w:sz w:val="28"/>
      <w:szCs w:val="20"/>
      <w:lang w:val="en-US" w:bidi="ar-SA"/>
    </w:rPr>
  </w:style>
  <w:style w:type="paragraph" w:customStyle="1" w:styleId="1590">
    <w:name w:val="样式 标题2　自动设置"/>
    <w:basedOn w:val="4"/>
    <w:qFormat/>
    <w:uiPriority w:val="0"/>
    <w:pPr>
      <w:keepNext/>
      <w:keepLines/>
      <w:tabs>
        <w:tab w:val="left" w:pos="576"/>
      </w:tabs>
      <w:autoSpaceDE/>
      <w:autoSpaceDN/>
      <w:spacing w:beforeLines="50" w:afterLines="50"/>
      <w:ind w:left="576" w:hanging="576"/>
      <w:jc w:val="both"/>
    </w:pPr>
    <w:rPr>
      <w:b/>
      <w:bCs/>
      <w:sz w:val="28"/>
      <w:szCs w:val="20"/>
      <w:lang w:val="en-US" w:bidi="ar-SA"/>
    </w:rPr>
  </w:style>
  <w:style w:type="paragraph" w:customStyle="1" w:styleId="1591">
    <w:name w:val="标题样式4"/>
    <w:basedOn w:val="6"/>
    <w:qFormat/>
    <w:uiPriority w:val="99"/>
    <w:pPr>
      <w:keepNext w:val="0"/>
      <w:keepLines w:val="0"/>
      <w:tabs>
        <w:tab w:val="left" w:pos="360"/>
      </w:tabs>
      <w:spacing w:before="0" w:after="0" w:line="360" w:lineRule="auto"/>
    </w:pPr>
    <w:rPr>
      <w:rFonts w:ascii="黑体" w:hAnsi="Times New Roman" w:eastAsia="黑体"/>
      <w:kern w:val="0"/>
      <w:szCs w:val="24"/>
      <w:lang w:val="zh-CN"/>
    </w:rPr>
  </w:style>
  <w:style w:type="paragraph" w:customStyle="1" w:styleId="1592">
    <w:name w:val="列表 3D"/>
    <w:basedOn w:val="12"/>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93">
    <w:name w:val="font14"/>
    <w:basedOn w:val="1"/>
    <w:qFormat/>
    <w:uiPriority w:val="0"/>
    <w:pPr>
      <w:widowControl/>
      <w:autoSpaceDE/>
      <w:autoSpaceDN/>
      <w:spacing w:before="100" w:beforeAutospacing="1" w:after="100" w:afterAutospacing="1"/>
    </w:pPr>
    <w:rPr>
      <w:rFonts w:hint="eastAsia" w:cs="Arial Unicode MS"/>
      <w:b/>
      <w:bCs/>
      <w:sz w:val="16"/>
      <w:szCs w:val="16"/>
      <w:lang w:val="en-US" w:bidi="ar-SA"/>
    </w:rPr>
  </w:style>
  <w:style w:type="paragraph" w:customStyle="1" w:styleId="1594">
    <w:name w:val="正文文本最新 Char Char Char1 Char Char Char Char Char"/>
    <w:qFormat/>
    <w:uiPriority w:val="99"/>
    <w:pPr>
      <w:spacing w:line="360" w:lineRule="auto"/>
      <w:ind w:firstLine="200" w:firstLineChars="200"/>
      <w:jc w:val="both"/>
    </w:pPr>
    <w:rPr>
      <w:rFonts w:ascii="Times New Roman" w:hAnsi="Times New Roman" w:eastAsia="宋体" w:cs="Times New Roman"/>
      <w:bCs/>
      <w:kern w:val="2"/>
      <w:sz w:val="28"/>
      <w:szCs w:val="24"/>
      <w:lang w:val="en-US" w:eastAsia="zh-CN" w:bidi="ar-SA"/>
    </w:rPr>
  </w:style>
  <w:style w:type="paragraph" w:customStyle="1" w:styleId="1595">
    <w:name w:val="正文文本缩进 21"/>
    <w:basedOn w:val="1"/>
    <w:qFormat/>
    <w:uiPriority w:val="0"/>
    <w:pPr>
      <w:autoSpaceDE/>
      <w:autoSpaceDN/>
      <w:adjustRightInd w:val="0"/>
      <w:spacing w:line="360" w:lineRule="auto"/>
      <w:ind w:firstLine="510"/>
      <w:jc w:val="both"/>
      <w:textAlignment w:val="baseline"/>
    </w:pPr>
    <w:rPr>
      <w:rFonts w:cs="Times New Roman"/>
      <w:kern w:val="2"/>
      <w:sz w:val="28"/>
      <w:szCs w:val="20"/>
      <w:lang w:val="en-US" w:bidi="ar-SA"/>
    </w:rPr>
  </w:style>
  <w:style w:type="paragraph" w:customStyle="1" w:styleId="1596">
    <w:name w:val="列表 5P"/>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597">
    <w:name w:val="Char22"/>
    <w:basedOn w:val="1"/>
    <w:qFormat/>
    <w:uiPriority w:val="99"/>
    <w:pPr>
      <w:autoSpaceDE/>
      <w:autoSpaceDN/>
      <w:spacing w:line="360" w:lineRule="auto"/>
      <w:ind w:firstLine="200" w:firstLineChars="200"/>
      <w:jc w:val="both"/>
    </w:pPr>
    <w:rPr>
      <w:kern w:val="2"/>
      <w:sz w:val="24"/>
      <w:szCs w:val="24"/>
      <w:lang w:val="en-US" w:bidi="ar-SA"/>
    </w:rPr>
  </w:style>
  <w:style w:type="paragraph" w:customStyle="1" w:styleId="1598">
    <w:name w:val="列表 4E"/>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599">
    <w:name w:val="样式 标题 1章1.标题 1章节H1一、标题标题 1PartHeading 1pHeading 1p1Hea..."/>
    <w:basedOn w:val="3"/>
    <w:qFormat/>
    <w:uiPriority w:val="99"/>
    <w:pPr>
      <w:keepNext/>
      <w:keepLines/>
      <w:widowControl/>
      <w:tabs>
        <w:tab w:val="left" w:pos="0"/>
        <w:tab w:val="left" w:pos="1260"/>
      </w:tabs>
      <w:autoSpaceDE/>
      <w:autoSpaceDN/>
      <w:adjustRightInd w:val="0"/>
      <w:spacing w:before="0" w:line="240" w:lineRule="atLeast"/>
      <w:ind w:left="896" w:hanging="420"/>
      <w:textAlignment w:val="baseline"/>
    </w:pPr>
    <w:rPr>
      <w:rFonts w:ascii="Times New Roman" w:hAnsi="Times New Roman" w:cs="Times New Roman"/>
      <w:bCs/>
      <w:color w:val="000000"/>
      <w:kern w:val="44"/>
      <w:sz w:val="30"/>
      <w:szCs w:val="30"/>
      <w:lang w:val="en-US" w:bidi="ar-SA"/>
    </w:rPr>
  </w:style>
  <w:style w:type="paragraph" w:customStyle="1" w:styleId="1600">
    <w:name w:val="Char3"/>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1601">
    <w:name w:val="列表 2A"/>
    <w:basedOn w:val="34"/>
    <w:qFormat/>
    <w:uiPriority w:val="99"/>
    <w:pPr>
      <w:tabs>
        <w:tab w:val="left" w:pos="1335"/>
      </w:tabs>
      <w:snapToGrid/>
      <w:spacing w:before="100" w:beforeAutospacing="1" w:after="100" w:afterAutospacing="1" w:line="288" w:lineRule="auto"/>
      <w:ind w:left="1335" w:hanging="705"/>
      <w:jc w:val="both"/>
    </w:pPr>
    <w:rPr>
      <w:rFonts w:ascii="Arial" w:hAnsi="Arial"/>
      <w:color w:val="FFFF99"/>
      <w:sz w:val="24"/>
    </w:rPr>
  </w:style>
  <w:style w:type="paragraph" w:customStyle="1" w:styleId="1602">
    <w:name w:val="hb3"/>
    <w:basedOn w:val="5"/>
    <w:qFormat/>
    <w:uiPriority w:val="99"/>
    <w:pPr>
      <w:keepNext/>
      <w:keepLines/>
      <w:autoSpaceDE/>
      <w:autoSpaceDN/>
      <w:adjustRightInd w:val="0"/>
      <w:spacing w:before="260" w:after="260" w:line="500" w:lineRule="exact"/>
      <w:ind w:left="0" w:firstLine="0"/>
      <w:textAlignment w:val="baseline"/>
    </w:pPr>
    <w:rPr>
      <w:rFonts w:ascii="Times New Roman" w:hAnsi="Times New Roman" w:cs="Times New Roman"/>
      <w:bCs w:val="0"/>
      <w:sz w:val="28"/>
      <w:szCs w:val="28"/>
      <w:lang w:val="en-US" w:bidi="ar-SA"/>
    </w:rPr>
  </w:style>
  <w:style w:type="paragraph" w:customStyle="1" w:styleId="1603">
    <w:name w:val="列表 4Y"/>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604">
    <w:name w:val="列表 2P"/>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605">
    <w:name w:val="样式 标题 1一、1.标题 1标题 1 Char标1章节标题-*+章标题 1文章标题h11st level..."/>
    <w:basedOn w:val="3"/>
    <w:qFormat/>
    <w:uiPriority w:val="99"/>
    <w:pPr>
      <w:tabs>
        <w:tab w:val="left" w:pos="57"/>
      </w:tabs>
      <w:autoSpaceDE/>
      <w:autoSpaceDN/>
      <w:adjustRightInd w:val="0"/>
      <w:snapToGrid w:val="0"/>
      <w:spacing w:before="240" w:afterLines="50" w:line="312" w:lineRule="auto"/>
      <w:ind w:left="0" w:right="227" w:firstLine="0"/>
      <w:jc w:val="both"/>
      <w:textAlignment w:val="baseline"/>
    </w:pPr>
    <w:rPr>
      <w:rFonts w:ascii="Times New Roman" w:hAnsi="Times New Roman" w:cs="Times New Roman"/>
      <w:bCs/>
      <w:snapToGrid w:val="0"/>
      <w:sz w:val="36"/>
      <w:szCs w:val="20"/>
      <w:lang w:val="en-US" w:bidi="ar-SA"/>
    </w:rPr>
  </w:style>
  <w:style w:type="character" w:customStyle="1" w:styleId="1606">
    <w:name w:val="环保表内字（五号） Char Char"/>
    <w:link w:val="111"/>
    <w:qFormat/>
    <w:uiPriority w:val="0"/>
    <w:rPr>
      <w:rFonts w:ascii="宋体" w:hAnsi="宋体" w:cs="宋体"/>
      <w:sz w:val="21"/>
      <w:szCs w:val="22"/>
      <w:lang w:val="zh-CN" w:bidi="zh-CN"/>
    </w:rPr>
  </w:style>
  <w:style w:type="paragraph" w:customStyle="1" w:styleId="1607">
    <w:name w:val="目录"/>
    <w:basedOn w:val="54"/>
    <w:qFormat/>
    <w:uiPriority w:val="0"/>
    <w:pPr>
      <w:tabs>
        <w:tab w:val="right" w:leader="dot" w:pos="9060"/>
      </w:tabs>
      <w:autoSpaceDE/>
      <w:autoSpaceDN/>
      <w:spacing w:before="120" w:after="120" w:line="420" w:lineRule="atLeast"/>
      <w:ind w:left="0" w:firstLine="0"/>
      <w:jc w:val="center"/>
    </w:pPr>
    <w:rPr>
      <w:rFonts w:ascii="黑体" w:hAnsi="Times New Roman" w:cs="Times New Roman"/>
      <w:b w:val="0"/>
      <w:bCs w:val="0"/>
      <w:spacing w:val="12"/>
      <w:kern w:val="44"/>
      <w:sz w:val="44"/>
      <w:szCs w:val="20"/>
      <w:lang w:val="en-US" w:bidi="ar-SA"/>
    </w:rPr>
  </w:style>
  <w:style w:type="paragraph" w:customStyle="1" w:styleId="1608">
    <w:name w:val="赵文本"/>
    <w:basedOn w:val="1"/>
    <w:qFormat/>
    <w:uiPriority w:val="0"/>
    <w:pPr>
      <w:autoSpaceDE/>
      <w:autoSpaceDN/>
      <w:ind w:firstLine="480" w:firstLineChars="200"/>
    </w:pPr>
    <w:rPr>
      <w:rFonts w:ascii="Times New Roman" w:hAnsi="Times New Roman" w:eastAsia="仿宋_GB2312" w:cs="Times New Roman"/>
      <w:kern w:val="2"/>
      <w:sz w:val="24"/>
      <w:szCs w:val="32"/>
      <w:lang w:val="en-US" w:bidi="ar-SA"/>
    </w:rPr>
  </w:style>
  <w:style w:type="paragraph" w:customStyle="1" w:styleId="1609">
    <w:name w:val="正文11 Char Char"/>
    <w:basedOn w:val="1"/>
    <w:qFormat/>
    <w:uiPriority w:val="99"/>
    <w:pPr>
      <w:autoSpaceDE/>
      <w:autoSpaceDN/>
      <w:adjustRightInd w:val="0"/>
      <w:spacing w:line="360" w:lineRule="auto"/>
      <w:ind w:left="6" w:firstLine="474"/>
      <w:textAlignment w:val="baseline"/>
    </w:pPr>
    <w:rPr>
      <w:rFonts w:eastAsia="仿宋_GB2312" w:cs="Times New Roman"/>
      <w:snapToGrid w:val="0"/>
      <w:sz w:val="24"/>
      <w:szCs w:val="24"/>
      <w:lang w:val="en-US" w:bidi="ar-SA"/>
    </w:rPr>
  </w:style>
  <w:style w:type="paragraph" w:customStyle="1" w:styleId="1610">
    <w:name w:val="列表 5F"/>
    <w:basedOn w:val="63"/>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611">
    <w:name w:val="样式 黑色 首行缩进:  2 字符"/>
    <w:basedOn w:val="1"/>
    <w:qFormat/>
    <w:uiPriority w:val="99"/>
    <w:pPr>
      <w:autoSpaceDE/>
      <w:autoSpaceDN/>
      <w:spacing w:line="360" w:lineRule="auto"/>
      <w:ind w:firstLine="560" w:firstLineChars="200"/>
      <w:jc w:val="both"/>
    </w:pPr>
    <w:rPr>
      <w:rFonts w:hAnsi="Times New Roman"/>
      <w:color w:val="000000"/>
      <w:kern w:val="2"/>
      <w:sz w:val="28"/>
      <w:szCs w:val="28"/>
      <w:lang w:val="en-US" w:bidi="ar-SA"/>
    </w:rPr>
  </w:style>
  <w:style w:type="paragraph" w:customStyle="1" w:styleId="1612">
    <w:name w:val="列出段落1"/>
    <w:basedOn w:val="1"/>
    <w:qFormat/>
    <w:uiPriority w:val="99"/>
    <w:pPr>
      <w:autoSpaceDE/>
      <w:autoSpaceDN/>
      <w:ind w:firstLine="420" w:firstLineChars="200"/>
      <w:jc w:val="both"/>
    </w:pPr>
    <w:rPr>
      <w:rFonts w:ascii="Calibri" w:hAnsi="Calibri" w:cs="Times New Roman"/>
      <w:kern w:val="2"/>
      <w:sz w:val="21"/>
      <w:szCs w:val="20"/>
      <w:lang w:val="en-US" w:bidi="ar-SA"/>
    </w:rPr>
  </w:style>
  <w:style w:type="paragraph" w:customStyle="1" w:styleId="1613">
    <w:name w:val="列表 4H"/>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614">
    <w:name w:val="表头1"/>
    <w:basedOn w:val="1"/>
    <w:qFormat/>
    <w:uiPriority w:val="0"/>
    <w:pPr>
      <w:autoSpaceDE/>
      <w:autoSpaceDN/>
      <w:jc w:val="center"/>
    </w:pPr>
    <w:rPr>
      <w:rFonts w:ascii="Times New Roman" w:hAnsi="Times New Roman" w:cs="Times New Roman"/>
      <w:bCs/>
      <w:kern w:val="2"/>
      <w:sz w:val="18"/>
      <w:szCs w:val="24"/>
      <w:lang w:val="en-US" w:bidi="ar-SA"/>
    </w:rPr>
  </w:style>
  <w:style w:type="paragraph" w:customStyle="1" w:styleId="1615">
    <w:name w:val="列表 2F"/>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616">
    <w:name w:val="基准页眉样式"/>
    <w:basedOn w:val="31"/>
    <w:qFormat/>
    <w:uiPriority w:val="99"/>
    <w:pPr>
      <w:keepLines/>
      <w:widowControl/>
      <w:tabs>
        <w:tab w:val="center" w:pos="4320"/>
        <w:tab w:val="right" w:pos="8640"/>
      </w:tabs>
      <w:autoSpaceDE/>
      <w:autoSpaceDN/>
      <w:spacing w:line="280" w:lineRule="exact"/>
      <w:jc w:val="center"/>
    </w:pPr>
    <w:rPr>
      <w:rFonts w:ascii="Times New Roman" w:hAnsi="Times New Roman" w:cs="Times New Roman"/>
      <w:sz w:val="30"/>
      <w:szCs w:val="20"/>
      <w:lang w:val="en-US" w:bidi="ar-SA"/>
    </w:rPr>
  </w:style>
  <w:style w:type="paragraph" w:customStyle="1" w:styleId="1617">
    <w:name w:val="Char Char Char Char Char Char1 Char2"/>
    <w:basedOn w:val="1"/>
    <w:qFormat/>
    <w:uiPriority w:val="99"/>
    <w:pPr>
      <w:autoSpaceDE/>
      <w:autoSpaceDN/>
      <w:jc w:val="both"/>
    </w:pPr>
    <w:rPr>
      <w:rFonts w:ascii="Times New Roman" w:hAnsi="Times New Roman" w:cs="Times New Roman"/>
      <w:kern w:val="2"/>
      <w:sz w:val="21"/>
      <w:szCs w:val="24"/>
      <w:lang w:val="en-US" w:bidi="ar-SA"/>
    </w:rPr>
  </w:style>
  <w:style w:type="paragraph" w:customStyle="1" w:styleId="1618">
    <w:name w:val="正文文本 21"/>
    <w:basedOn w:val="1"/>
    <w:qFormat/>
    <w:uiPriority w:val="0"/>
    <w:pPr>
      <w:autoSpaceDE/>
      <w:autoSpaceDN/>
      <w:adjustRightInd w:val="0"/>
      <w:ind w:left="425"/>
      <w:textAlignment w:val="baseline"/>
    </w:pPr>
    <w:rPr>
      <w:rFonts w:hAnsi="Times New Roman" w:cs="Times New Roman"/>
      <w:sz w:val="24"/>
      <w:szCs w:val="20"/>
      <w:lang w:val="en-US" w:bidi="ar-SA"/>
    </w:rPr>
  </w:style>
  <w:style w:type="paragraph" w:customStyle="1" w:styleId="1619">
    <w:name w:val="Pa0"/>
    <w:basedOn w:val="1"/>
    <w:next w:val="1"/>
    <w:qFormat/>
    <w:uiPriority w:val="99"/>
    <w:pPr>
      <w:adjustRightInd w:val="0"/>
      <w:spacing w:line="241" w:lineRule="atLeast"/>
    </w:pPr>
    <w:rPr>
      <w:rFonts w:ascii="黑体" w:hAnsi="Times New Roman" w:eastAsia="黑体" w:cs="Times New Roman"/>
      <w:sz w:val="24"/>
      <w:szCs w:val="24"/>
      <w:lang w:val="en-US" w:bidi="ar-SA"/>
    </w:rPr>
  </w:style>
  <w:style w:type="paragraph" w:customStyle="1" w:styleId="1620">
    <w:name w:val="列表 2I"/>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621">
    <w:name w:val="图表目录2"/>
    <w:basedOn w:val="345"/>
    <w:next w:val="345"/>
    <w:qFormat/>
    <w:uiPriority w:val="0"/>
    <w:pPr>
      <w:tabs>
        <w:tab w:val="right" w:leader="dot" w:pos="8051"/>
      </w:tabs>
      <w:ind w:left="840" w:hanging="840"/>
    </w:pPr>
    <w:rPr>
      <w:sz w:val="24"/>
    </w:rPr>
  </w:style>
  <w:style w:type="paragraph" w:customStyle="1" w:styleId="1622">
    <w:name w:val="sec（1）"/>
    <w:basedOn w:val="1"/>
    <w:qFormat/>
    <w:uiPriority w:val="99"/>
    <w:pPr>
      <w:tabs>
        <w:tab w:val="left" w:pos="1134"/>
      </w:tabs>
      <w:autoSpaceDE/>
      <w:autoSpaceDN/>
      <w:spacing w:beforeLines="20" w:afterLines="20"/>
      <w:ind w:left="1134" w:hanging="964"/>
      <w:jc w:val="both"/>
    </w:pPr>
    <w:rPr>
      <w:rFonts w:cs="Times New Roman"/>
      <w:color w:val="000000"/>
      <w:kern w:val="2"/>
      <w:sz w:val="24"/>
      <w:szCs w:val="20"/>
      <w:lang w:val="en-US" w:bidi="ar-SA"/>
    </w:rPr>
  </w:style>
  <w:style w:type="paragraph" w:customStyle="1" w:styleId="1623">
    <w:name w:val="列表 3I"/>
    <w:basedOn w:val="12"/>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624">
    <w:name w:val="样式 行距: 1.5 倍行距"/>
    <w:basedOn w:val="1"/>
    <w:qFormat/>
    <w:uiPriority w:val="99"/>
    <w:pPr>
      <w:autoSpaceDE/>
      <w:autoSpaceDN/>
      <w:spacing w:line="360" w:lineRule="auto"/>
      <w:ind w:firstLine="200" w:firstLineChars="200"/>
      <w:jc w:val="both"/>
    </w:pPr>
    <w:rPr>
      <w:rFonts w:ascii="Times New Roman" w:hAnsi="Times New Roman"/>
      <w:kern w:val="2"/>
      <w:sz w:val="24"/>
      <w:szCs w:val="24"/>
      <w:lang w:val="en-US" w:bidi="ar-SA"/>
    </w:rPr>
  </w:style>
  <w:style w:type="paragraph" w:customStyle="1" w:styleId="1625">
    <w:name w:val="图1-1"/>
    <w:basedOn w:val="372"/>
    <w:qFormat/>
    <w:uiPriority w:val="99"/>
    <w:pPr>
      <w:keepLines/>
      <w:tabs>
        <w:tab w:val="clear" w:pos="0"/>
      </w:tabs>
      <w:spacing w:line="240" w:lineRule="auto"/>
      <w:ind w:firstLine="0" w:firstLineChars="0"/>
      <w:jc w:val="center"/>
    </w:pPr>
    <w:rPr>
      <w:rFonts w:ascii="Times New Roman"/>
      <w:b w:val="0"/>
      <w:sz w:val="21"/>
      <w:szCs w:val="24"/>
    </w:rPr>
  </w:style>
  <w:style w:type="paragraph" w:customStyle="1" w:styleId="1626">
    <w:name w:val="列表 3N"/>
    <w:basedOn w:val="12"/>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627">
    <w:name w:val="列表 4T"/>
    <w:basedOn w:val="69"/>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628">
    <w:name w:val="列表 3C"/>
    <w:basedOn w:val="12"/>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629">
    <w:name w:val="正文5"/>
    <w:qFormat/>
    <w:uiPriority w:val="99"/>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630">
    <w:name w:val="样式 样式 标题 3H3H31H32H33u3条标题1.1.1Heading 3 - oldBold Headbh... + 非..."/>
    <w:basedOn w:val="1275"/>
    <w:next w:val="1275"/>
    <w:qFormat/>
    <w:uiPriority w:val="99"/>
    <w:rPr>
      <w:b w:val="0"/>
      <w:bCs w:val="0"/>
    </w:rPr>
  </w:style>
  <w:style w:type="paragraph" w:customStyle="1" w:styleId="1631">
    <w:name w:val="列表 N"/>
    <w:basedOn w:val="59"/>
    <w:qFormat/>
    <w:uiPriority w:val="99"/>
    <w:pPr>
      <w:tabs>
        <w:tab w:val="left" w:pos="425"/>
        <w:tab w:val="clear" w:pos="3480"/>
      </w:tabs>
      <w:autoSpaceDE/>
      <w:autoSpaceDN/>
      <w:spacing w:beforeLines="100" w:afterLines="50" w:line="288" w:lineRule="auto"/>
      <w:ind w:left="425" w:hanging="425"/>
      <w:jc w:val="both"/>
    </w:pPr>
    <w:rPr>
      <w:rFonts w:ascii="Arial" w:hAnsi="Arial" w:eastAsia="宋体" w:cs="Times New Roman"/>
      <w:b/>
      <w:bCs/>
      <w:color w:val="FF99CC"/>
      <w:sz w:val="24"/>
      <w:szCs w:val="20"/>
      <w:lang w:val="en-US" w:bidi="ar-SA"/>
    </w:rPr>
  </w:style>
  <w:style w:type="paragraph" w:customStyle="1" w:styleId="1632">
    <w:name w:val="样式 湛江钢铁正文 +"/>
    <w:basedOn w:val="1"/>
    <w:qFormat/>
    <w:uiPriority w:val="99"/>
    <w:pPr>
      <w:autoSpaceDE/>
      <w:autoSpaceDN/>
      <w:adjustRightInd w:val="0"/>
      <w:spacing w:afterLines="25" w:line="360" w:lineRule="auto"/>
      <w:ind w:firstLine="480" w:firstLineChars="200"/>
      <w:textAlignment w:val="baseline"/>
    </w:pPr>
    <w:rPr>
      <w:rFonts w:ascii="Times New Roman" w:hAnsi="Times New Roman" w:eastAsia="仿宋_GB2312" w:cs="Times New Roman"/>
      <w:color w:val="000000"/>
      <w:sz w:val="24"/>
      <w:szCs w:val="24"/>
      <w:lang w:val="en-US" w:bidi="ar-SA"/>
    </w:rPr>
  </w:style>
  <w:style w:type="paragraph" w:customStyle="1" w:styleId="1633">
    <w:name w:val="列表 2O"/>
    <w:basedOn w:val="34"/>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634">
    <w:name w:val="a4"/>
    <w:basedOn w:val="1"/>
    <w:qFormat/>
    <w:uiPriority w:val="99"/>
    <w:pPr>
      <w:widowControl/>
      <w:autoSpaceDE/>
      <w:autoSpaceDN/>
      <w:spacing w:before="100" w:beforeAutospacing="1" w:after="100" w:afterAutospacing="1"/>
    </w:pPr>
    <w:rPr>
      <w:rFonts w:ascii="Arial Unicode MS" w:hAnsi="Arial Unicode MS" w:eastAsia="Arial Unicode MS" w:cs="Arial Unicode MS"/>
      <w:sz w:val="24"/>
      <w:szCs w:val="24"/>
      <w:lang w:val="en-US" w:bidi="ar-SA"/>
    </w:rPr>
  </w:style>
  <w:style w:type="paragraph" w:customStyle="1" w:styleId="1635">
    <w:name w:val="日期11"/>
    <w:basedOn w:val="1"/>
    <w:next w:val="1"/>
    <w:qFormat/>
    <w:uiPriority w:val="99"/>
    <w:pPr>
      <w:autoSpaceDE/>
      <w:autoSpaceDN/>
      <w:adjustRightInd w:val="0"/>
      <w:spacing w:line="360" w:lineRule="atLeast"/>
      <w:jc w:val="both"/>
      <w:textAlignment w:val="baseline"/>
    </w:pPr>
    <w:rPr>
      <w:rFonts w:hAnsi="Times New Roman" w:cs="Times New Roman"/>
      <w:spacing w:val="20"/>
      <w:sz w:val="28"/>
      <w:szCs w:val="20"/>
      <w:lang w:val="en-US" w:bidi="ar-SA"/>
    </w:rPr>
  </w:style>
  <w:style w:type="paragraph" w:customStyle="1" w:styleId="1636">
    <w:name w:val="Char Char Char1 Char2"/>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1637">
    <w:name w:val="表体"/>
    <w:basedOn w:val="1"/>
    <w:qFormat/>
    <w:uiPriority w:val="99"/>
    <w:pPr>
      <w:autoSpaceDE/>
      <w:autoSpaceDN/>
      <w:adjustRightInd w:val="0"/>
      <w:snapToGrid w:val="0"/>
      <w:spacing w:beforeLines="20" w:afterLines="20"/>
      <w:jc w:val="center"/>
    </w:pPr>
    <w:rPr>
      <w:rFonts w:ascii="Times New Roman" w:hAnsi="Times New Roman" w:cs="Times New Roman"/>
      <w:kern w:val="2"/>
      <w:sz w:val="21"/>
      <w:szCs w:val="24"/>
      <w:lang w:val="en-US" w:bidi="ar-SA"/>
    </w:rPr>
  </w:style>
  <w:style w:type="paragraph" w:customStyle="1" w:styleId="1638">
    <w:name w:val="reader-word-layer reader-word-s1-2"/>
    <w:basedOn w:val="1"/>
    <w:qFormat/>
    <w:uiPriority w:val="99"/>
    <w:pPr>
      <w:widowControl/>
      <w:autoSpaceDE/>
      <w:autoSpaceDN/>
      <w:spacing w:before="100" w:beforeAutospacing="1" w:after="100" w:afterAutospacing="1"/>
    </w:pPr>
    <w:rPr>
      <w:sz w:val="24"/>
      <w:szCs w:val="24"/>
      <w:lang w:val="en-US" w:bidi="ar-SA"/>
    </w:rPr>
  </w:style>
  <w:style w:type="paragraph" w:customStyle="1" w:styleId="1639">
    <w:name w:val="样式 标题 2H2节标题 1.1节标题 1.1 Char1.1  标题 2  节标题 1.1第一章 标题 2Head..."/>
    <w:basedOn w:val="4"/>
    <w:qFormat/>
    <w:uiPriority w:val="99"/>
    <w:pPr>
      <w:keepNext/>
      <w:keepLines/>
      <w:autoSpaceDE/>
      <w:autoSpaceDN/>
      <w:spacing w:line="360" w:lineRule="auto"/>
      <w:ind w:left="0" w:firstLine="0"/>
      <w:jc w:val="both"/>
    </w:pPr>
    <w:rPr>
      <w:rFonts w:ascii="Times New Roman" w:hAnsi="Times New Roman"/>
      <w:b/>
      <w:bCs/>
      <w:sz w:val="24"/>
      <w:szCs w:val="20"/>
      <w:lang w:val="en-US" w:bidi="ar-SA"/>
    </w:rPr>
  </w:style>
  <w:style w:type="paragraph" w:customStyle="1" w:styleId="1640">
    <w:name w:val="a"/>
    <w:basedOn w:val="1"/>
    <w:qFormat/>
    <w:uiPriority w:val="99"/>
    <w:pPr>
      <w:widowControl/>
      <w:autoSpaceDE/>
      <w:autoSpaceDN/>
      <w:spacing w:before="100" w:beforeAutospacing="1" w:after="100" w:afterAutospacing="1"/>
    </w:pPr>
    <w:rPr>
      <w:rFonts w:ascii="Arial Unicode MS" w:hAnsi="Arial Unicode MS" w:eastAsia="Arial Unicode MS" w:cs="Arial Unicode MS"/>
      <w:sz w:val="24"/>
      <w:szCs w:val="24"/>
      <w:lang w:val="en-US" w:bidi="ar-SA"/>
    </w:rPr>
  </w:style>
  <w:style w:type="paragraph" w:customStyle="1" w:styleId="1641">
    <w:name w:val="样式 目录 2 + 左侧:  2 字符 首行缩进:  2 字符"/>
    <w:basedOn w:val="66"/>
    <w:qFormat/>
    <w:uiPriority w:val="99"/>
    <w:pPr>
      <w:tabs>
        <w:tab w:val="right" w:leader="dot" w:pos="8296"/>
        <w:tab w:val="right" w:leader="dot" w:pos="9060"/>
      </w:tabs>
      <w:autoSpaceDE/>
      <w:autoSpaceDN/>
      <w:snapToGrid w:val="0"/>
      <w:spacing w:before="0" w:after="40" w:line="360" w:lineRule="auto"/>
      <w:ind w:left="0" w:firstLine="476"/>
      <w:jc w:val="both"/>
    </w:pPr>
    <w:rPr>
      <w:rFonts w:ascii="Times New Roman" w:hAnsi="Calibri" w:eastAsia="黑体"/>
      <w:b w:val="0"/>
      <w:bCs w:val="0"/>
      <w:smallCaps/>
      <w:spacing w:val="20"/>
      <w:kern w:val="2"/>
      <w:szCs w:val="20"/>
      <w:lang w:val="en-US" w:bidi="ar-SA"/>
    </w:rPr>
  </w:style>
  <w:style w:type="paragraph" w:customStyle="1" w:styleId="1642">
    <w:name w:val="样式 标题 2H2H21b2h2l22nd levelTitre22Header 2sect 1.2DO ..."/>
    <w:basedOn w:val="4"/>
    <w:qFormat/>
    <w:uiPriority w:val="99"/>
    <w:pPr>
      <w:keepNext/>
      <w:keepLines/>
      <w:autoSpaceDE/>
      <w:autoSpaceDN/>
      <w:spacing w:before="240" w:after="240"/>
      <w:ind w:left="0" w:firstLine="0"/>
      <w:jc w:val="both"/>
    </w:pPr>
    <w:rPr>
      <w:rFonts w:ascii="Times New Roman" w:hAnsi="Times New Roman" w:eastAsia="黑体" w:cs="Times New Roman"/>
      <w:bCs/>
      <w:color w:val="FF0000"/>
      <w:spacing w:val="20"/>
      <w:sz w:val="28"/>
      <w:szCs w:val="20"/>
      <w:lang w:val="en-US" w:bidi="ar-SA"/>
    </w:rPr>
  </w:style>
  <w:style w:type="paragraph" w:customStyle="1" w:styleId="1643">
    <w:name w:val="报告"/>
    <w:basedOn w:val="1"/>
    <w:qFormat/>
    <w:uiPriority w:val="99"/>
    <w:pPr>
      <w:adjustRightInd w:val="0"/>
      <w:spacing w:line="360" w:lineRule="auto"/>
      <w:ind w:firstLine="505"/>
      <w:textAlignment w:val="baseline"/>
    </w:pPr>
    <w:rPr>
      <w:rFonts w:ascii="Times New Roman" w:hAnsi="Times New Roman" w:cs="Times New Roman"/>
      <w:sz w:val="24"/>
      <w:szCs w:val="20"/>
      <w:lang w:val="en-US" w:bidi="ar-SA"/>
    </w:rPr>
  </w:style>
  <w:style w:type="paragraph" w:customStyle="1" w:styleId="1644">
    <w:name w:val="Char Char Char Char Char Char1 Char Char Char Char1"/>
    <w:basedOn w:val="1"/>
    <w:qFormat/>
    <w:uiPriority w:val="99"/>
    <w:pPr>
      <w:autoSpaceDE/>
      <w:autoSpaceDN/>
      <w:jc w:val="both"/>
    </w:pPr>
    <w:rPr>
      <w:rFonts w:ascii="Times New Roman" w:hAnsi="Times New Roman" w:cs="Times New Roman"/>
      <w:kern w:val="2"/>
      <w:sz w:val="21"/>
      <w:szCs w:val="24"/>
      <w:lang w:val="en-US" w:bidi="ar-SA"/>
    </w:rPr>
  </w:style>
  <w:style w:type="paragraph" w:customStyle="1" w:styleId="1645">
    <w:name w:val="报告书"/>
    <w:basedOn w:val="1"/>
    <w:qFormat/>
    <w:uiPriority w:val="99"/>
    <w:pPr>
      <w:adjustRightInd w:val="0"/>
      <w:spacing w:line="360" w:lineRule="auto"/>
      <w:ind w:firstLine="505"/>
      <w:textAlignment w:val="bottom"/>
    </w:pPr>
    <w:rPr>
      <w:rFonts w:ascii="Times New Roman" w:hAnsi="Times New Roman" w:cs="Times New Roman"/>
      <w:sz w:val="24"/>
      <w:szCs w:val="20"/>
      <w:lang w:val="en-US" w:bidi="ar-SA"/>
    </w:rPr>
  </w:style>
  <w:style w:type="paragraph" w:customStyle="1" w:styleId="1646">
    <w:name w:val="lyh 0.0.0.0"/>
    <w:next w:val="1"/>
    <w:qFormat/>
    <w:uiPriority w:val="0"/>
    <w:pPr>
      <w:adjustRightInd w:val="0"/>
      <w:snapToGrid w:val="0"/>
      <w:spacing w:line="360" w:lineRule="auto"/>
      <w:outlineLvl w:val="3"/>
    </w:pPr>
    <w:rPr>
      <w:rFonts w:ascii="宋体" w:hAnsi="宋体" w:eastAsia="宋体" w:cs="Times New Roman"/>
      <w:sz w:val="28"/>
      <w:szCs w:val="24"/>
      <w:lang w:val="en-US" w:eastAsia="zh-CN" w:bidi="ar-SA"/>
    </w:rPr>
  </w:style>
  <w:style w:type="paragraph" w:customStyle="1" w:styleId="1647">
    <w:name w:val="样式 (符号) 宋体 首行缩进:  0.93 厘米 段前: 6 磅 段后: 6 磅 行距: 固定值 18 磅1"/>
    <w:basedOn w:val="1"/>
    <w:qFormat/>
    <w:uiPriority w:val="0"/>
    <w:pPr>
      <w:autoSpaceDE/>
      <w:autoSpaceDN/>
      <w:spacing w:before="160" w:after="160" w:line="320" w:lineRule="exact"/>
      <w:ind w:firstLine="527"/>
      <w:jc w:val="both"/>
    </w:pPr>
    <w:rPr>
      <w:rFonts w:ascii="Times New Roman" w:cs="Times New Roman"/>
      <w:kern w:val="2"/>
      <w:sz w:val="24"/>
      <w:szCs w:val="20"/>
      <w:lang w:val="en-US" w:bidi="ar-SA"/>
    </w:rPr>
  </w:style>
  <w:style w:type="paragraph" w:customStyle="1" w:styleId="1648">
    <w:name w:val="二级标题"/>
    <w:basedOn w:val="1"/>
    <w:next w:val="1"/>
    <w:qFormat/>
    <w:uiPriority w:val="0"/>
    <w:pPr>
      <w:keepNext/>
      <w:autoSpaceDE/>
      <w:autoSpaceDN/>
      <w:adjustRightInd w:val="0"/>
      <w:spacing w:before="240" w:after="240" w:line="312" w:lineRule="atLeast"/>
      <w:jc w:val="center"/>
    </w:pPr>
    <w:rPr>
      <w:rFonts w:ascii="Times New Roman" w:hAnsi="Times New Roman" w:cs="Times New Roman"/>
      <w:sz w:val="28"/>
      <w:szCs w:val="20"/>
      <w:lang w:val="en-US" w:bidi="ar-SA"/>
    </w:rPr>
  </w:style>
  <w:style w:type="paragraph" w:customStyle="1" w:styleId="1649">
    <w:name w:val="尾注文本11"/>
    <w:basedOn w:val="300"/>
    <w:qFormat/>
    <w:uiPriority w:val="99"/>
    <w:rPr>
      <w:sz w:val="21"/>
    </w:rPr>
  </w:style>
  <w:style w:type="paragraph" w:customStyle="1" w:styleId="1650">
    <w:name w:val="Char Char Char Char Char Char Char Char Char Char Char Char1 Char Char Char Char Char Char Char Char Char Char Char Char1 Char2"/>
    <w:basedOn w:val="1"/>
    <w:next w:val="1"/>
    <w:qFormat/>
    <w:uiPriority w:val="0"/>
    <w:pPr>
      <w:autoSpaceDE/>
      <w:autoSpaceDN/>
      <w:spacing w:line="336" w:lineRule="auto"/>
      <w:ind w:firstLine="200" w:firstLineChars="200"/>
      <w:jc w:val="both"/>
    </w:pPr>
    <w:rPr>
      <w:rFonts w:eastAsia="汉鼎简书宋"/>
      <w:kern w:val="2"/>
      <w:sz w:val="24"/>
      <w:szCs w:val="24"/>
      <w:lang w:val="en-US" w:bidi="ar-SA"/>
    </w:rPr>
  </w:style>
  <w:style w:type="paragraph" w:customStyle="1" w:styleId="1651">
    <w:name w:val="正文文本缩进 32"/>
    <w:basedOn w:val="1"/>
    <w:qFormat/>
    <w:uiPriority w:val="0"/>
    <w:pPr>
      <w:autoSpaceDE/>
      <w:autoSpaceDN/>
      <w:adjustRightInd w:val="0"/>
      <w:spacing w:line="360" w:lineRule="atLeast"/>
      <w:ind w:firstLine="480"/>
      <w:jc w:val="both"/>
      <w:textAlignment w:val="baseline"/>
    </w:pPr>
    <w:rPr>
      <w:rFonts w:hAnsi="Times New Roman" w:cs="Times New Roman"/>
      <w:sz w:val="24"/>
      <w:szCs w:val="20"/>
      <w:lang w:val="en-US" w:bidi="ar-SA"/>
    </w:rPr>
  </w:style>
  <w:style w:type="paragraph" w:customStyle="1" w:styleId="1652">
    <w:name w:val="正文文本缩进 211"/>
    <w:basedOn w:val="1"/>
    <w:qFormat/>
    <w:uiPriority w:val="0"/>
    <w:pPr>
      <w:autoSpaceDE/>
      <w:autoSpaceDN/>
      <w:adjustRightInd w:val="0"/>
      <w:spacing w:line="360" w:lineRule="auto"/>
      <w:ind w:firstLine="510"/>
      <w:jc w:val="both"/>
      <w:textAlignment w:val="baseline"/>
    </w:pPr>
    <w:rPr>
      <w:rFonts w:cs="Times New Roman"/>
      <w:kern w:val="2"/>
      <w:sz w:val="28"/>
      <w:szCs w:val="20"/>
      <w:lang w:val="en-US" w:bidi="ar-SA"/>
    </w:rPr>
  </w:style>
  <w:style w:type="paragraph" w:customStyle="1" w:styleId="1653">
    <w:name w:val="内蒙图"/>
    <w:basedOn w:val="1191"/>
    <w:qFormat/>
    <w:uiPriority w:val="99"/>
    <w:pPr>
      <w:jc w:val="center"/>
    </w:pPr>
    <w:rPr>
      <w:rFonts w:eastAsia="黑体"/>
    </w:rPr>
  </w:style>
  <w:style w:type="paragraph" w:customStyle="1" w:styleId="1654">
    <w:name w:val="Char4 Char Char Char Char Char Char11"/>
    <w:basedOn w:val="1"/>
    <w:qFormat/>
    <w:uiPriority w:val="99"/>
    <w:pPr>
      <w:autoSpaceDE/>
      <w:autoSpaceDN/>
      <w:spacing w:line="360" w:lineRule="auto"/>
      <w:ind w:firstLine="200" w:firstLineChars="200"/>
      <w:jc w:val="both"/>
    </w:pPr>
    <w:rPr>
      <w:kern w:val="2"/>
      <w:sz w:val="24"/>
      <w:szCs w:val="24"/>
      <w:lang w:val="en-US" w:bidi="ar-SA"/>
    </w:rPr>
  </w:style>
  <w:style w:type="paragraph" w:customStyle="1" w:styleId="1655">
    <w:name w:val="xl123"/>
    <w:basedOn w:val="1"/>
    <w:qFormat/>
    <w:uiPriority w:val="0"/>
    <w:pPr>
      <w:widowControl/>
      <w:pBdr>
        <w:left w:val="single" w:color="auto" w:sz="4" w:space="0"/>
        <w:bottom w:val="single" w:color="auto" w:sz="4" w:space="0"/>
        <w:right w:val="single" w:color="auto" w:sz="8" w:space="0"/>
      </w:pBdr>
      <w:autoSpaceDE/>
      <w:autoSpaceDN/>
      <w:spacing w:before="100" w:beforeAutospacing="1" w:after="100" w:afterAutospacing="1"/>
      <w:jc w:val="right"/>
    </w:pPr>
    <w:rPr>
      <w:rFonts w:ascii="Arial Unicode MS" w:hAnsi="Arial Unicode MS" w:eastAsia="Arial Unicode MS" w:cs="Arial Unicode MS"/>
      <w:sz w:val="24"/>
      <w:szCs w:val="24"/>
      <w:lang w:val="en-US" w:bidi="ar-SA"/>
    </w:rPr>
  </w:style>
  <w:style w:type="paragraph" w:customStyle="1" w:styleId="1656">
    <w:name w:val="表的格式（小四）"/>
    <w:basedOn w:val="1"/>
    <w:qFormat/>
    <w:uiPriority w:val="99"/>
    <w:pPr>
      <w:autoSpaceDE/>
      <w:autoSpaceDN/>
      <w:adjustRightInd w:val="0"/>
      <w:spacing w:line="360" w:lineRule="atLeast"/>
      <w:jc w:val="center"/>
    </w:pPr>
    <w:rPr>
      <w:rFonts w:ascii="Times New Roman" w:hAnsi="Times New Roman" w:cs="Times New Roman"/>
      <w:sz w:val="24"/>
      <w:szCs w:val="20"/>
      <w:lang w:val="en-US" w:bidi="ar-SA"/>
    </w:rPr>
  </w:style>
  <w:style w:type="paragraph" w:customStyle="1" w:styleId="1657">
    <w:name w:val="项目符号2"/>
    <w:basedOn w:val="1658"/>
    <w:qFormat/>
    <w:uiPriority w:val="0"/>
    <w:pPr>
      <w:tabs>
        <w:tab w:val="left" w:pos="1146"/>
      </w:tabs>
      <w:spacing w:line="312" w:lineRule="auto"/>
      <w:ind w:left="850" w:hanging="720"/>
    </w:pPr>
    <w:rPr>
      <w:b/>
    </w:rPr>
  </w:style>
  <w:style w:type="paragraph" w:customStyle="1" w:styleId="1658">
    <w:name w:val="项目符号1"/>
    <w:basedOn w:val="1"/>
    <w:qFormat/>
    <w:uiPriority w:val="0"/>
    <w:pPr>
      <w:autoSpaceDE/>
      <w:autoSpaceDN/>
      <w:spacing w:line="336" w:lineRule="auto"/>
      <w:jc w:val="both"/>
    </w:pPr>
    <w:rPr>
      <w:rFonts w:ascii="Times New Roman" w:hAnsi="Times New Roman" w:cs="Times New Roman"/>
      <w:kern w:val="2"/>
      <w:sz w:val="24"/>
      <w:szCs w:val="20"/>
      <w:lang w:val="en-US" w:bidi="ar-SA"/>
    </w:rPr>
  </w:style>
  <w:style w:type="paragraph" w:customStyle="1" w:styleId="1659">
    <w:name w:val="正文4"/>
    <w:qFormat/>
    <w:uiPriority w:val="99"/>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660">
    <w:name w:val="公式样式1"/>
    <w:basedOn w:val="1"/>
    <w:qFormat/>
    <w:uiPriority w:val="99"/>
    <w:pPr>
      <w:autoSpaceDE/>
      <w:autoSpaceDN/>
      <w:jc w:val="center"/>
    </w:pPr>
    <w:rPr>
      <w:rFonts w:ascii="Times New Roman" w:hAnsi="Times New Roman" w:cs="Times New Roman"/>
      <w:kern w:val="2"/>
      <w:sz w:val="21"/>
      <w:szCs w:val="21"/>
      <w:lang w:val="en-US" w:bidi="ar-SA"/>
    </w:rPr>
  </w:style>
  <w:style w:type="paragraph" w:customStyle="1" w:styleId="1661">
    <w:name w:val="列出段落2"/>
    <w:basedOn w:val="1"/>
    <w:qFormat/>
    <w:uiPriority w:val="0"/>
    <w:pPr>
      <w:autoSpaceDE/>
      <w:autoSpaceDN/>
      <w:ind w:firstLine="420" w:firstLineChars="200"/>
      <w:jc w:val="both"/>
    </w:pPr>
    <w:rPr>
      <w:rFonts w:ascii="Calibri" w:hAnsi="Calibri" w:cs="Times New Roman"/>
      <w:kern w:val="2"/>
      <w:sz w:val="21"/>
      <w:szCs w:val="20"/>
      <w:lang w:val="en-US" w:bidi="ar-SA"/>
    </w:rPr>
  </w:style>
  <w:style w:type="paragraph" w:customStyle="1" w:styleId="1662">
    <w:name w:val="页脚3"/>
    <w:basedOn w:val="345"/>
    <w:qFormat/>
    <w:uiPriority w:val="99"/>
    <w:pPr>
      <w:tabs>
        <w:tab w:val="center" w:pos="4153"/>
        <w:tab w:val="right" w:pos="8306"/>
      </w:tabs>
      <w:spacing w:line="240" w:lineRule="atLeast"/>
    </w:pPr>
    <w:rPr>
      <w:sz w:val="18"/>
    </w:rPr>
  </w:style>
  <w:style w:type="paragraph" w:customStyle="1" w:styleId="1663">
    <w:name w:val="尾注文本2"/>
    <w:basedOn w:val="345"/>
    <w:qFormat/>
    <w:uiPriority w:val="99"/>
    <w:rPr>
      <w:sz w:val="21"/>
    </w:rPr>
  </w:style>
  <w:style w:type="paragraph" w:customStyle="1" w:styleId="1664">
    <w:name w:val="正文文本缩进 22"/>
    <w:basedOn w:val="1"/>
    <w:qFormat/>
    <w:uiPriority w:val="99"/>
    <w:pPr>
      <w:autoSpaceDE/>
      <w:autoSpaceDN/>
      <w:adjustRightInd w:val="0"/>
      <w:spacing w:line="360" w:lineRule="auto"/>
      <w:ind w:firstLine="510"/>
      <w:jc w:val="both"/>
      <w:textAlignment w:val="baseline"/>
    </w:pPr>
    <w:rPr>
      <w:rFonts w:cs="Times New Roman"/>
      <w:kern w:val="2"/>
      <w:sz w:val="28"/>
      <w:szCs w:val="20"/>
      <w:lang w:val="en-US" w:bidi="ar-SA"/>
    </w:rPr>
  </w:style>
  <w:style w:type="paragraph" w:customStyle="1" w:styleId="1665">
    <w:name w:val="Char Char Char Char Char Char Char Char Char Char Char11"/>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1666">
    <w:name w:val="样式 样式 标题 4款标题1.1.1.1 南陵标题 4标题 4 CharH4PIM 4h4First Subheadin... ..."/>
    <w:basedOn w:val="1082"/>
    <w:qFormat/>
    <w:uiPriority w:val="0"/>
    <w:pPr>
      <w:jc w:val="left"/>
    </w:pPr>
    <w:rPr>
      <w:kern w:val="2"/>
    </w:rPr>
  </w:style>
  <w:style w:type="paragraph" w:customStyle="1" w:styleId="1667">
    <w:name w:val="reader-word-layer reader-word-s33-6"/>
    <w:basedOn w:val="1"/>
    <w:qFormat/>
    <w:uiPriority w:val="99"/>
    <w:pPr>
      <w:widowControl/>
      <w:autoSpaceDE/>
      <w:autoSpaceDN/>
      <w:spacing w:before="100" w:beforeAutospacing="1" w:after="100" w:afterAutospacing="1"/>
    </w:pPr>
    <w:rPr>
      <w:sz w:val="24"/>
      <w:szCs w:val="24"/>
      <w:lang w:val="en-US" w:bidi="ar-SA"/>
    </w:rPr>
  </w:style>
  <w:style w:type="paragraph" w:customStyle="1" w:styleId="1668">
    <w:name w:val="CSI  Body 2"/>
    <w:basedOn w:val="1"/>
    <w:qFormat/>
    <w:uiPriority w:val="99"/>
    <w:pPr>
      <w:widowControl/>
      <w:autoSpaceDE/>
      <w:autoSpaceDN/>
      <w:spacing w:after="240"/>
      <w:ind w:left="1440"/>
    </w:pPr>
    <w:rPr>
      <w:rFonts w:ascii="Arial" w:hAnsi="Arial" w:eastAsia="Batang" w:cs="Times New Roman"/>
      <w:sz w:val="24"/>
      <w:szCs w:val="24"/>
      <w:lang w:val="en-US" w:eastAsia="ko-KR" w:bidi="ar-SA"/>
    </w:rPr>
  </w:style>
  <w:style w:type="paragraph" w:customStyle="1" w:styleId="1669">
    <w:name w:val="表格文字2wj"/>
    <w:qFormat/>
    <w:uiPriority w:val="99"/>
    <w:pPr>
      <w:adjustRightInd w:val="0"/>
      <w:snapToGrid w:val="0"/>
      <w:jc w:val="center"/>
    </w:pPr>
    <w:rPr>
      <w:rFonts w:ascii="Times New Roman" w:hAnsi="Times New Roman" w:eastAsia="宋体" w:cs="Times New Roman"/>
      <w:sz w:val="21"/>
      <w:szCs w:val="21"/>
      <w:lang w:val="en-US" w:eastAsia="zh-CN" w:bidi="ar-SA"/>
    </w:rPr>
  </w:style>
  <w:style w:type="paragraph" w:customStyle="1" w:styleId="1670">
    <w:name w:val="正文编号"/>
    <w:basedOn w:val="1"/>
    <w:qFormat/>
    <w:uiPriority w:val="99"/>
    <w:pPr>
      <w:tabs>
        <w:tab w:val="left" w:pos="726"/>
      </w:tabs>
      <w:autoSpaceDE/>
      <w:autoSpaceDN/>
      <w:adjustRightInd w:val="0"/>
      <w:spacing w:line="300" w:lineRule="auto"/>
      <w:ind w:left="2" w:firstLine="4"/>
      <w:textAlignment w:val="baseline"/>
    </w:pPr>
    <w:rPr>
      <w:rFonts w:eastAsia="仿宋_GB2312" w:cs="Times New Roman"/>
      <w:snapToGrid w:val="0"/>
      <w:sz w:val="24"/>
      <w:szCs w:val="24"/>
      <w:lang w:val="en-US" w:bidi="ar-SA"/>
    </w:rPr>
  </w:style>
  <w:style w:type="paragraph" w:customStyle="1" w:styleId="1671">
    <w:name w:val="样式 样式 标题 3 + 段前: 1 行 段后: 1 行 + 段前: 0.5 行1"/>
    <w:basedOn w:val="1"/>
    <w:qFormat/>
    <w:uiPriority w:val="99"/>
    <w:pPr>
      <w:keepNext/>
      <w:widowControl/>
      <w:tabs>
        <w:tab w:val="left" w:pos="1931"/>
      </w:tabs>
      <w:overflowPunct w:val="0"/>
      <w:adjustRightInd w:val="0"/>
      <w:snapToGrid w:val="0"/>
      <w:spacing w:beforeLines="50" w:after="240"/>
      <w:ind w:left="1418" w:hanging="567"/>
      <w:textAlignment w:val="baseline"/>
      <w:outlineLvl w:val="2"/>
    </w:pPr>
    <w:rPr>
      <w:rFonts w:ascii="Times New Roman" w:hAnsi="Times New Roman" w:eastAsia="黑体"/>
      <w:bCs/>
      <w:color w:val="000000"/>
      <w:kern w:val="10"/>
      <w:sz w:val="28"/>
      <w:szCs w:val="28"/>
      <w:lang w:val="en-US" w:bidi="ar-SA"/>
    </w:rPr>
  </w:style>
  <w:style w:type="paragraph" w:customStyle="1" w:styleId="1672">
    <w:name w:val="正文（英）"/>
    <w:basedOn w:val="1"/>
    <w:qFormat/>
    <w:uiPriority w:val="99"/>
    <w:pPr>
      <w:autoSpaceDE/>
      <w:autoSpaceDN/>
      <w:adjustRightInd w:val="0"/>
      <w:jc w:val="both"/>
      <w:textAlignment w:val="baseline"/>
    </w:pPr>
    <w:rPr>
      <w:rFonts w:ascii="Arial" w:hAnsi="Arial" w:eastAsia="仿宋_GB2312" w:cs="Times New Roman"/>
      <w:color w:val="FF0000"/>
      <w:sz w:val="24"/>
      <w:szCs w:val="24"/>
      <w:lang w:val="en-US" w:bidi="ar-SA"/>
    </w:rPr>
  </w:style>
  <w:style w:type="paragraph" w:customStyle="1" w:styleId="1673">
    <w:name w:val="样式 楷体_GB2312 居中"/>
    <w:basedOn w:val="1"/>
    <w:qFormat/>
    <w:uiPriority w:val="99"/>
    <w:pPr>
      <w:autoSpaceDE/>
      <w:autoSpaceDN/>
      <w:spacing w:line="360" w:lineRule="auto"/>
      <w:jc w:val="center"/>
    </w:pPr>
    <w:rPr>
      <w:rFonts w:ascii="楷体_GB2312" w:hAnsi="Times New Roman" w:eastAsia="楷体_GB2312" w:cs="Times New Roman"/>
      <w:kern w:val="2"/>
      <w:sz w:val="21"/>
      <w:szCs w:val="20"/>
      <w:lang w:val="en-US" w:bidi="ar-SA"/>
    </w:rPr>
  </w:style>
  <w:style w:type="paragraph" w:customStyle="1" w:styleId="1674">
    <w:name w:val="表格单位"/>
    <w:basedOn w:val="1"/>
    <w:qFormat/>
    <w:uiPriority w:val="99"/>
    <w:pPr>
      <w:autoSpaceDE/>
      <w:autoSpaceDN/>
      <w:spacing w:line="240" w:lineRule="atLeast"/>
      <w:jc w:val="right"/>
    </w:pPr>
    <w:rPr>
      <w:rFonts w:ascii="Times New Roman" w:hAnsi="Times New Roman" w:eastAsia="仿宋_GB2312" w:cs="Times New Roman"/>
      <w:kern w:val="2"/>
      <w:sz w:val="18"/>
      <w:szCs w:val="24"/>
      <w:lang w:val="en-US" w:bidi="ar-SA"/>
    </w:rPr>
  </w:style>
  <w:style w:type="paragraph" w:customStyle="1" w:styleId="1675">
    <w:name w:val="SCIDI章标题"/>
    <w:basedOn w:val="4"/>
    <w:next w:val="1"/>
    <w:qFormat/>
    <w:uiPriority w:val="99"/>
    <w:pPr>
      <w:keepNext/>
      <w:keepLines/>
      <w:autoSpaceDE/>
      <w:autoSpaceDN/>
      <w:adjustRightInd w:val="0"/>
      <w:snapToGrid w:val="0"/>
      <w:spacing w:after="260" w:line="360" w:lineRule="auto"/>
      <w:ind w:left="0" w:firstLine="0"/>
      <w:jc w:val="center"/>
    </w:pPr>
    <w:rPr>
      <w:rFonts w:ascii="Times New Roman" w:hAnsi="Times New Roman" w:cs="Times New Roman"/>
      <w:bCs/>
      <w:sz w:val="32"/>
      <w:szCs w:val="32"/>
      <w:lang w:val="en-US" w:bidi="ar-SA"/>
    </w:rPr>
  </w:style>
  <w:style w:type="paragraph" w:customStyle="1" w:styleId="1676">
    <w:name w:val="style3"/>
    <w:basedOn w:val="1"/>
    <w:qFormat/>
    <w:uiPriority w:val="99"/>
    <w:pPr>
      <w:widowControl/>
      <w:autoSpaceDE/>
      <w:autoSpaceDN/>
      <w:spacing w:before="100" w:beforeAutospacing="1" w:after="100" w:afterAutospacing="1"/>
    </w:pPr>
    <w:rPr>
      <w:rFonts w:eastAsia="仿宋_GB2312"/>
      <w:sz w:val="24"/>
      <w:szCs w:val="24"/>
      <w:lang w:val="en-US" w:bidi="ar-SA"/>
    </w:rPr>
  </w:style>
  <w:style w:type="paragraph" w:customStyle="1" w:styleId="1677">
    <w:name w:val="Char1 Char Char"/>
    <w:basedOn w:val="1"/>
    <w:qFormat/>
    <w:uiPriority w:val="99"/>
    <w:pPr>
      <w:autoSpaceDE/>
      <w:autoSpaceDN/>
      <w:jc w:val="both"/>
    </w:pPr>
    <w:rPr>
      <w:rFonts w:ascii="Times New Roman" w:hAnsi="Times New Roman" w:eastAsia="仿宋_GB2312" w:cs="Times New Roman"/>
      <w:kern w:val="2"/>
      <w:sz w:val="21"/>
      <w:szCs w:val="21"/>
      <w:lang w:val="en-US" w:bidi="ar-SA"/>
    </w:rPr>
  </w:style>
  <w:style w:type="paragraph" w:customStyle="1" w:styleId="1678">
    <w:name w:val="style4"/>
    <w:basedOn w:val="1"/>
    <w:qFormat/>
    <w:uiPriority w:val="99"/>
    <w:pPr>
      <w:widowControl/>
      <w:autoSpaceDE/>
      <w:autoSpaceDN/>
      <w:spacing w:before="100" w:beforeAutospacing="1" w:after="100" w:afterAutospacing="1"/>
    </w:pPr>
    <w:rPr>
      <w:rFonts w:cs="Times New Roman"/>
      <w:sz w:val="24"/>
      <w:szCs w:val="20"/>
      <w:lang w:val="en-US" w:bidi="ar-SA"/>
    </w:rPr>
  </w:style>
  <w:style w:type="paragraph" w:customStyle="1" w:styleId="1679">
    <w:name w:val="Char Char Char Char Char Char Char Char Char1 Char Char Char Char Char Char Char Char Char Char Char Char Char Char Char Char Char"/>
    <w:basedOn w:val="1"/>
    <w:qFormat/>
    <w:uiPriority w:val="99"/>
    <w:pPr>
      <w:autoSpaceDE/>
      <w:autoSpaceDN/>
      <w:jc w:val="both"/>
    </w:pPr>
    <w:rPr>
      <w:rFonts w:ascii="Times New Roman" w:hAnsi="Times New Roman" w:eastAsia="仿宋_GB2312" w:cs="Times New Roman"/>
      <w:kern w:val="2"/>
      <w:sz w:val="21"/>
      <w:szCs w:val="21"/>
      <w:lang w:val="en-US" w:bidi="ar-SA"/>
    </w:rPr>
  </w:style>
  <w:style w:type="paragraph" w:customStyle="1" w:styleId="1680">
    <w:name w:val="Char Char Char2"/>
    <w:basedOn w:val="1"/>
    <w:qFormat/>
    <w:uiPriority w:val="0"/>
    <w:pPr>
      <w:autoSpaceDE/>
      <w:autoSpaceDN/>
      <w:jc w:val="both"/>
    </w:pPr>
    <w:rPr>
      <w:rFonts w:ascii="Tahoma" w:hAnsi="Tahoma" w:eastAsia="黑体" w:cs="Times New Roman"/>
      <w:kern w:val="2"/>
      <w:sz w:val="28"/>
      <w:szCs w:val="28"/>
      <w:lang w:val="en-US" w:bidi="ar-SA"/>
    </w:rPr>
  </w:style>
  <w:style w:type="paragraph" w:customStyle="1" w:styleId="1681">
    <w:name w:val="字元 字元 Char Char 字元 字元1 Char Char Char1"/>
    <w:basedOn w:val="1"/>
    <w:qFormat/>
    <w:uiPriority w:val="99"/>
    <w:pPr>
      <w:autoSpaceDE/>
      <w:autoSpaceDN/>
      <w:jc w:val="both"/>
    </w:pPr>
    <w:rPr>
      <w:rFonts w:ascii="Times New Roman" w:hAnsi="Times New Roman" w:cs="Times New Roman"/>
      <w:kern w:val="2"/>
      <w:sz w:val="24"/>
      <w:szCs w:val="24"/>
      <w:lang w:val="en-US" w:bidi="ar-SA"/>
    </w:rPr>
  </w:style>
  <w:style w:type="paragraph" w:customStyle="1" w:styleId="1682">
    <w:name w:val="Char1 Char Char Char Char Char Char2 Char Char Char Char Char Char Char Char Char Char Char Char Char Char Char Char Char Char1"/>
    <w:basedOn w:val="1"/>
    <w:qFormat/>
    <w:uiPriority w:val="99"/>
    <w:pPr>
      <w:autoSpaceDE/>
      <w:autoSpaceDN/>
      <w:jc w:val="both"/>
    </w:pPr>
    <w:rPr>
      <w:rFonts w:ascii="Times New Roman" w:hAnsi="Times New Roman" w:cs="Times New Roman"/>
      <w:kern w:val="2"/>
      <w:sz w:val="21"/>
      <w:szCs w:val="24"/>
      <w:lang w:val="en-US" w:bidi="ar-SA"/>
    </w:rPr>
  </w:style>
  <w:style w:type="paragraph" w:customStyle="1" w:styleId="1683">
    <w:name w:val="Char Char Char Char Char Char Char Char Char Char Char1 Char Char Char Char1"/>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1684">
    <w:name w:val="lyh 0.0.0"/>
    <w:next w:val="1"/>
    <w:qFormat/>
    <w:uiPriority w:val="0"/>
    <w:pPr>
      <w:adjustRightInd w:val="0"/>
      <w:snapToGrid w:val="0"/>
      <w:spacing w:line="360" w:lineRule="auto"/>
      <w:outlineLvl w:val="2"/>
    </w:pPr>
    <w:rPr>
      <w:rFonts w:ascii="宋体" w:hAnsi="宋体" w:eastAsia="宋体" w:cs="Times New Roman"/>
      <w:b/>
      <w:sz w:val="28"/>
      <w:szCs w:val="24"/>
      <w:lang w:val="en-US" w:eastAsia="zh-CN" w:bidi="ar-SA"/>
    </w:rPr>
  </w:style>
  <w:style w:type="paragraph" w:customStyle="1" w:styleId="1685">
    <w:name w:val="Char Char Char Char Char Char Char Char Char Char Char"/>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1686">
    <w:name w:val="小标题@"/>
    <w:basedOn w:val="1"/>
    <w:qFormat/>
    <w:uiPriority w:val="0"/>
    <w:pPr>
      <w:tabs>
        <w:tab w:val="left" w:pos="840"/>
      </w:tabs>
      <w:autoSpaceDE/>
      <w:autoSpaceDN/>
      <w:adjustRightInd w:val="0"/>
      <w:spacing w:before="60" w:after="60"/>
      <w:ind w:left="828" w:hanging="348"/>
      <w:jc w:val="both"/>
      <w:textAlignment w:val="baseline"/>
    </w:pPr>
    <w:rPr>
      <w:rFonts w:ascii="Times New Roman" w:hAnsi="Times New Roman" w:cs="Times New Roman"/>
      <w:kern w:val="2"/>
      <w:sz w:val="24"/>
      <w:szCs w:val="20"/>
      <w:lang w:val="en-US" w:bidi="ar-SA"/>
    </w:rPr>
  </w:style>
  <w:style w:type="paragraph" w:customStyle="1" w:styleId="1687">
    <w:name w:val="4"/>
    <w:basedOn w:val="1"/>
    <w:next w:val="1"/>
    <w:qFormat/>
    <w:uiPriority w:val="0"/>
    <w:pPr>
      <w:autoSpaceDE/>
      <w:autoSpaceDN/>
      <w:jc w:val="both"/>
    </w:pPr>
    <w:rPr>
      <w:rFonts w:hAnsi="Courier New" w:cs="Times New Roman"/>
      <w:kern w:val="2"/>
      <w:sz w:val="21"/>
      <w:szCs w:val="20"/>
      <w:lang w:val="en-US" w:bidi="ar-SA"/>
    </w:rPr>
  </w:style>
  <w:style w:type="paragraph" w:customStyle="1" w:styleId="1688">
    <w:name w:val="样式 标题 1 + 左侧:  0 厘米 首行缩进:  0 厘米"/>
    <w:basedOn w:val="3"/>
    <w:qFormat/>
    <w:uiPriority w:val="0"/>
    <w:pPr>
      <w:keepNext/>
      <w:keepLines/>
      <w:tabs>
        <w:tab w:val="left" w:pos="425"/>
        <w:tab w:val="left" w:pos="720"/>
        <w:tab w:val="left" w:pos="1200"/>
      </w:tabs>
      <w:autoSpaceDE/>
      <w:autoSpaceDN/>
      <w:spacing w:before="120" w:after="120"/>
      <w:ind w:left="720" w:firstLine="0"/>
    </w:pPr>
    <w:rPr>
      <w:rFonts w:ascii="Times New Roman" w:hAnsi="Times New Roman" w:cs="Times New Roman"/>
      <w:b/>
      <w:bCs/>
      <w:color w:val="000000"/>
      <w:kern w:val="44"/>
      <w:sz w:val="28"/>
      <w:szCs w:val="28"/>
      <w:lang w:val="en-US" w:bidi="ar-SA"/>
    </w:rPr>
  </w:style>
  <w:style w:type="paragraph" w:customStyle="1" w:styleId="1689">
    <w:name w:val="Char Char Char Char Char Char Char Char Char Char Char2"/>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1690">
    <w:name w:val="副标题4"/>
    <w:basedOn w:val="1487"/>
    <w:qFormat/>
    <w:uiPriority w:val="0"/>
    <w:pPr>
      <w:tabs>
        <w:tab w:val="left" w:pos="1275"/>
        <w:tab w:val="left" w:pos="1575"/>
        <w:tab w:val="left" w:pos="2100"/>
        <w:tab w:val="clear" w:pos="672"/>
        <w:tab w:val="clear" w:pos="720"/>
      </w:tabs>
      <w:ind w:left="1275" w:hanging="705"/>
      <w:outlineLvl w:val="4"/>
    </w:pPr>
  </w:style>
  <w:style w:type="paragraph" w:customStyle="1" w:styleId="1691">
    <w:name w:val="样式 Times New Roman 五号 居中"/>
    <w:basedOn w:val="1"/>
    <w:qFormat/>
    <w:uiPriority w:val="0"/>
    <w:pPr>
      <w:autoSpaceDE/>
      <w:autoSpaceDN/>
      <w:jc w:val="center"/>
    </w:pPr>
    <w:rPr>
      <w:rFonts w:ascii="Times New Roman" w:hAnsi="Times New Roman"/>
      <w:kern w:val="2"/>
      <w:sz w:val="21"/>
      <w:szCs w:val="20"/>
      <w:lang w:val="en-US" w:bidi="ar-SA"/>
    </w:rPr>
  </w:style>
  <w:style w:type="paragraph" w:customStyle="1" w:styleId="1692">
    <w:name w:val="Char Char Char Char Char Char Char Char Char Char Char1 Char Char Char Char Char Char Char1"/>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1693">
    <w:name w:val="Char2 Char Char Char Char Char Char Char Char Char1"/>
    <w:basedOn w:val="1"/>
    <w:qFormat/>
    <w:uiPriority w:val="0"/>
    <w:pPr>
      <w:autoSpaceDE/>
      <w:autoSpaceDN/>
      <w:spacing w:line="360" w:lineRule="auto"/>
      <w:ind w:firstLine="200" w:firstLineChars="200"/>
      <w:jc w:val="both"/>
    </w:pPr>
    <w:rPr>
      <w:kern w:val="2"/>
      <w:sz w:val="24"/>
      <w:szCs w:val="24"/>
      <w:lang w:val="en-US" w:bidi="ar-SA"/>
    </w:rPr>
  </w:style>
  <w:style w:type="paragraph" w:customStyle="1" w:styleId="1694">
    <w:name w:val="Char Char Char Char Char Char Char Char Char Char Char Char Char Char Char Char Char Char Char Char Char Char Char Char1"/>
    <w:basedOn w:val="1"/>
    <w:qFormat/>
    <w:uiPriority w:val="0"/>
    <w:pPr>
      <w:autoSpaceDE/>
      <w:autoSpaceDN/>
      <w:jc w:val="both"/>
    </w:pPr>
    <w:rPr>
      <w:rFonts w:ascii="Times New Roman" w:hAnsi="Times New Roman" w:cs="Times New Roman"/>
      <w:kern w:val="2"/>
      <w:sz w:val="21"/>
      <w:szCs w:val="24"/>
      <w:lang w:val="en-US" w:bidi="ar-SA"/>
    </w:rPr>
  </w:style>
  <w:style w:type="table" w:customStyle="1" w:styleId="1695">
    <w:name w:val="Table Normal1"/>
    <w:unhideWhenUsed/>
    <w:qFormat/>
    <w:uiPriority w:val="0"/>
    <w:pPr>
      <w:widowControl w:val="0"/>
    </w:pPr>
    <w:rPr>
      <w:sz w:val="22"/>
      <w:szCs w:val="22"/>
      <w:lang w:eastAsia="en-US"/>
    </w:rPr>
    <w:tblPr>
      <w:tblCellMar>
        <w:top w:w="0" w:type="dxa"/>
        <w:left w:w="0" w:type="dxa"/>
        <w:bottom w:w="0" w:type="dxa"/>
        <w:right w:w="0" w:type="dxa"/>
      </w:tblCellMar>
    </w:tblPr>
  </w:style>
  <w:style w:type="table" w:customStyle="1" w:styleId="1696">
    <w:name w:val="HIT-EIA"/>
    <w:basedOn w:val="82"/>
    <w:qFormat/>
    <w:uiPriority w:val="0"/>
    <w:pPr>
      <w:jc w:val="center"/>
    </w:pPr>
    <w:rPr>
      <w:sz w:val="21"/>
      <w:szCs w:val="21"/>
    </w:rPr>
    <w:tblPr>
      <w:tblBorders>
        <w:insideH w:val="single" w:color="auto" w:sz="4" w:space="0"/>
        <w:insideV w:val="single" w:color="auto" w:sz="4" w:space="0"/>
      </w:tblBorders>
      <w:tblCellMar>
        <w:top w:w="0" w:type="dxa"/>
        <w:left w:w="108" w:type="dxa"/>
        <w:bottom w:w="0" w:type="dxa"/>
        <w:right w:w="108" w:type="dxa"/>
      </w:tblCellMar>
    </w:tblPr>
    <w:tcPr>
      <w:vAlign w:val="center"/>
    </w:tcPr>
    <w:tblStylePr w:type="firstRow">
      <w:rPr>
        <w:i/>
        <w:i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paragraph" w:customStyle="1" w:styleId="1697">
    <w:name w:val="Char Char Char Char Char Char Char9"/>
    <w:basedOn w:val="1"/>
    <w:qFormat/>
    <w:uiPriority w:val="0"/>
    <w:pPr>
      <w:autoSpaceDE/>
      <w:autoSpaceDN/>
      <w:spacing w:line="360" w:lineRule="auto"/>
      <w:ind w:firstLine="200" w:firstLineChars="200"/>
      <w:jc w:val="both"/>
    </w:pPr>
    <w:rPr>
      <w:kern w:val="2"/>
      <w:sz w:val="24"/>
      <w:szCs w:val="21"/>
      <w:lang w:val="en-US" w:bidi="ar-SA"/>
    </w:rPr>
  </w:style>
  <w:style w:type="paragraph" w:customStyle="1" w:styleId="1698">
    <w:name w:val="环保表内字（小五）"/>
    <w:basedOn w:val="111"/>
    <w:qFormat/>
    <w:uiPriority w:val="0"/>
    <w:pPr>
      <w:tabs>
        <w:tab w:val="left" w:pos="540"/>
        <w:tab w:val="left" w:pos="4095"/>
      </w:tabs>
      <w:topLinePunct/>
      <w:autoSpaceDE/>
      <w:autoSpaceDN/>
      <w:adjustRightInd/>
      <w:snapToGrid/>
      <w:spacing w:line="240" w:lineRule="atLeast"/>
      <w:jc w:val="both"/>
    </w:pPr>
    <w:rPr>
      <w:rFonts w:ascii="Times New Roman" w:hAnsi="Times New Roman"/>
      <w:snapToGrid w:val="0"/>
      <w:kern w:val="2"/>
      <w:sz w:val="18"/>
      <w:szCs w:val="20"/>
      <w:lang w:val="en-US" w:bidi="ar-SA"/>
    </w:rPr>
  </w:style>
  <w:style w:type="paragraph" w:customStyle="1" w:styleId="1699">
    <w:name w:val="R-表中文字"/>
    <w:basedOn w:val="1"/>
    <w:qFormat/>
    <w:uiPriority w:val="6"/>
    <w:pPr>
      <w:widowControl/>
      <w:autoSpaceDE/>
      <w:autoSpaceDN/>
      <w:jc w:val="center"/>
    </w:pPr>
    <w:rPr>
      <w:sz w:val="24"/>
      <w:szCs w:val="24"/>
      <w:lang w:val="en-US" w:bidi="ar-SA"/>
    </w:rPr>
  </w:style>
  <w:style w:type="paragraph" w:customStyle="1" w:styleId="1700">
    <w:name w:val="正文缩进2"/>
    <w:basedOn w:val="1"/>
    <w:qFormat/>
    <w:uiPriority w:val="0"/>
    <w:pPr>
      <w:autoSpaceDE/>
      <w:autoSpaceDN/>
      <w:spacing w:line="520" w:lineRule="exact"/>
      <w:ind w:firstLine="624"/>
      <w:jc w:val="both"/>
    </w:pPr>
    <w:rPr>
      <w:rFonts w:ascii="Times New Roman" w:hAnsi="Times New Roman" w:cs="Times New Roman"/>
      <w:kern w:val="2"/>
      <w:sz w:val="28"/>
      <w:szCs w:val="20"/>
      <w:lang w:val="en-US" w:bidi="ar-SA"/>
    </w:rPr>
  </w:style>
  <w:style w:type="character" w:customStyle="1" w:styleId="1701">
    <w:name w:val="summary"/>
    <w:qFormat/>
    <w:uiPriority w:val="0"/>
    <w:rPr>
      <w:color w:val="999999"/>
      <w:sz w:val="18"/>
      <w:szCs w:val="18"/>
    </w:rPr>
  </w:style>
  <w:style w:type="character" w:customStyle="1" w:styleId="1702">
    <w:name w:val="answer-title2"/>
    <w:basedOn w:val="83"/>
    <w:qFormat/>
    <w:uiPriority w:val="0"/>
  </w:style>
  <w:style w:type="character" w:customStyle="1" w:styleId="1703">
    <w:name w:val="field-label10"/>
    <w:qFormat/>
    <w:uiPriority w:val="0"/>
    <w:rPr>
      <w:b/>
    </w:rPr>
  </w:style>
  <w:style w:type="character" w:customStyle="1" w:styleId="1704">
    <w:name w:val="bg"/>
    <w:qFormat/>
    <w:uiPriority w:val="0"/>
    <w:rPr>
      <w:shd w:val="clear" w:color="auto" w:fill="000000"/>
    </w:rPr>
  </w:style>
  <w:style w:type="character" w:customStyle="1" w:styleId="1705">
    <w:name w:val="bsharetext"/>
    <w:basedOn w:val="83"/>
    <w:qFormat/>
    <w:uiPriority w:val="0"/>
  </w:style>
  <w:style w:type="character" w:customStyle="1" w:styleId="1706">
    <w:name w:val="hover27"/>
    <w:basedOn w:val="83"/>
    <w:qFormat/>
    <w:uiPriority w:val="0"/>
  </w:style>
  <w:style w:type="character" w:customStyle="1" w:styleId="1707">
    <w:name w:val="del-btn1"/>
    <w:qFormat/>
    <w:uiPriority w:val="0"/>
    <w:rPr>
      <w:shd w:val="clear" w:color="auto" w:fill="000000"/>
    </w:rPr>
  </w:style>
  <w:style w:type="character" w:customStyle="1" w:styleId="1708">
    <w:name w:val="环保-正文内容 Char"/>
    <w:link w:val="1709"/>
    <w:qFormat/>
    <w:uiPriority w:val="0"/>
    <w:rPr>
      <w:sz w:val="24"/>
    </w:rPr>
  </w:style>
  <w:style w:type="paragraph" w:customStyle="1" w:styleId="1709">
    <w:name w:val="环保-正文内容"/>
    <w:basedOn w:val="1"/>
    <w:link w:val="1708"/>
    <w:qFormat/>
    <w:uiPriority w:val="0"/>
    <w:pPr>
      <w:widowControl/>
      <w:autoSpaceDE/>
      <w:autoSpaceDN/>
      <w:adjustRightInd w:val="0"/>
      <w:snapToGrid w:val="0"/>
      <w:spacing w:after="200"/>
      <w:ind w:firstLine="200" w:firstLineChars="200"/>
    </w:pPr>
    <w:rPr>
      <w:rFonts w:ascii="Times New Roman" w:hAnsi="Times New Roman" w:cs="Times New Roman"/>
      <w:sz w:val="24"/>
      <w:szCs w:val="20"/>
      <w:lang w:val="en-US" w:bidi="ar-SA"/>
    </w:rPr>
  </w:style>
  <w:style w:type="character" w:customStyle="1" w:styleId="1710">
    <w:name w:val="del-btn"/>
    <w:basedOn w:val="83"/>
    <w:qFormat/>
    <w:uiPriority w:val="0"/>
  </w:style>
  <w:style w:type="character" w:customStyle="1" w:styleId="1711">
    <w:name w:val="标题 2 Char11"/>
    <w:qFormat/>
    <w:uiPriority w:val="0"/>
    <w:rPr>
      <w:kern w:val="2"/>
      <w:sz w:val="24"/>
    </w:rPr>
  </w:style>
  <w:style w:type="paragraph" w:customStyle="1" w:styleId="1712">
    <w:name w:val="LY-表头"/>
    <w:next w:val="1"/>
    <w:qFormat/>
    <w:uiPriority w:val="0"/>
    <w:pPr>
      <w:jc w:val="center"/>
    </w:pPr>
    <w:rPr>
      <w:rFonts w:ascii="Times New Roman" w:hAnsi="Times New Roman" w:eastAsia="黑体" w:cs="Times New Roman"/>
      <w:b/>
      <w:sz w:val="24"/>
      <w:lang w:val="en-US" w:eastAsia="zh-CN" w:bidi="ar-SA"/>
    </w:rPr>
  </w:style>
  <w:style w:type="paragraph" w:customStyle="1" w:styleId="1713">
    <w:name w:val="副标题2"/>
    <w:basedOn w:val="1"/>
    <w:qFormat/>
    <w:uiPriority w:val="0"/>
    <w:pPr>
      <w:widowControl/>
      <w:autoSpaceDE/>
      <w:autoSpaceDN/>
      <w:adjustRightInd w:val="0"/>
      <w:snapToGrid w:val="0"/>
      <w:spacing w:after="200"/>
      <w:ind w:firstLine="200" w:firstLineChars="200"/>
    </w:pPr>
    <w:rPr>
      <w:rFonts w:ascii="Tahoma" w:hAnsi="Tahoma" w:eastAsia="微软雅黑" w:cs="Times New Roman"/>
      <w:b/>
      <w:szCs w:val="24"/>
      <w:lang w:val="en-US" w:bidi="ar-SA"/>
    </w:rPr>
  </w:style>
  <w:style w:type="paragraph" w:customStyle="1" w:styleId="1714">
    <w:name w:val="列出段落4"/>
    <w:basedOn w:val="1"/>
    <w:qFormat/>
    <w:uiPriority w:val="34"/>
    <w:pPr>
      <w:widowControl/>
      <w:autoSpaceDE/>
      <w:autoSpaceDN/>
      <w:adjustRightInd w:val="0"/>
      <w:snapToGrid w:val="0"/>
      <w:spacing w:after="200"/>
      <w:ind w:firstLine="420" w:firstLineChars="200"/>
    </w:pPr>
    <w:rPr>
      <w:rFonts w:ascii="Tahoma" w:hAnsi="Tahoma" w:eastAsia="微软雅黑" w:cs="Times New Roman"/>
      <w:lang w:val="en-US" w:bidi="ar-SA"/>
    </w:rPr>
  </w:style>
  <w:style w:type="paragraph" w:customStyle="1" w:styleId="1715">
    <w:name w:val="正文文本 22"/>
    <w:basedOn w:val="1"/>
    <w:qFormat/>
    <w:uiPriority w:val="0"/>
    <w:pPr>
      <w:autoSpaceDE/>
      <w:autoSpaceDN/>
      <w:adjustRightInd w:val="0"/>
      <w:snapToGrid w:val="0"/>
      <w:spacing w:after="200"/>
      <w:jc w:val="center"/>
      <w:textAlignment w:val="baseline"/>
    </w:pPr>
    <w:rPr>
      <w:rFonts w:ascii="Arial" w:hAnsi="Arial" w:eastAsia="微软雅黑" w:cs="Times New Roman"/>
      <w:kern w:val="2"/>
      <w:sz w:val="21"/>
      <w:lang w:val="en-US" w:bidi="ar-SA"/>
    </w:rPr>
  </w:style>
  <w:style w:type="paragraph" w:customStyle="1" w:styleId="1716">
    <w:name w:val="OK 1.1.1"/>
    <w:basedOn w:val="112"/>
    <w:link w:val="1717"/>
    <w:qFormat/>
    <w:uiPriority w:val="0"/>
    <w:pPr>
      <w:autoSpaceDE/>
      <w:autoSpaceDN/>
      <w:adjustRightInd w:val="0"/>
      <w:snapToGrid w:val="0"/>
      <w:spacing w:after="200" w:line="360" w:lineRule="auto"/>
      <w:outlineLvl w:val="2"/>
    </w:pPr>
    <w:rPr>
      <w:rFonts w:eastAsia="微软雅黑" w:cs="Times New Roman"/>
      <w:lang w:bidi="ar-SA"/>
    </w:rPr>
  </w:style>
  <w:style w:type="character" w:customStyle="1" w:styleId="1717">
    <w:name w:val="OK 1.1.1 Char"/>
    <w:basedOn w:val="83"/>
    <w:link w:val="1716"/>
    <w:qFormat/>
    <w:uiPriority w:val="0"/>
    <w:rPr>
      <w:rFonts w:ascii="Calibri" w:hAnsi="Calibri" w:eastAsia="微软雅黑"/>
      <w:b/>
      <w:sz w:val="22"/>
      <w:szCs w:val="24"/>
      <w:lang w:val="zh-CN"/>
    </w:rPr>
  </w:style>
  <w:style w:type="paragraph" w:customStyle="1" w:styleId="1718">
    <w:name w:val="副标题1"/>
    <w:basedOn w:val="3"/>
    <w:next w:val="143"/>
    <w:qFormat/>
    <w:uiPriority w:val="0"/>
    <w:pPr>
      <w:keepNext/>
      <w:keepLines/>
      <w:wordWrap w:val="0"/>
      <w:autoSpaceDE/>
      <w:autoSpaceDN/>
      <w:adjustRightInd w:val="0"/>
      <w:snapToGrid w:val="0"/>
      <w:spacing w:before="340" w:after="330" w:line="360" w:lineRule="auto"/>
      <w:ind w:left="0" w:firstLine="482" w:firstLineChars="200"/>
      <w:outlineLvl w:val="1"/>
    </w:pPr>
    <w:rPr>
      <w:rFonts w:ascii="Times New Roman" w:hAnsi="Times New Roman" w:eastAsia="宋体" w:cs="Times New Roman"/>
      <w:b/>
      <w:bCs/>
      <w:snapToGrid w:val="0"/>
      <w:kern w:val="44"/>
      <w:sz w:val="24"/>
      <w:lang w:val="en-US" w:bidi="ar-SA"/>
    </w:rPr>
  </w:style>
  <w:style w:type="paragraph" w:customStyle="1" w:styleId="1719">
    <w:name w:val="Char"/>
    <w:basedOn w:val="1"/>
    <w:qFormat/>
    <w:uiPriority w:val="0"/>
    <w:pPr>
      <w:widowControl/>
      <w:autoSpaceDE/>
      <w:autoSpaceDN/>
      <w:adjustRightInd w:val="0"/>
      <w:snapToGrid w:val="0"/>
      <w:spacing w:after="200"/>
    </w:pPr>
    <w:rPr>
      <w:rFonts w:ascii="Tahoma" w:hAnsi="Tahoma" w:eastAsia="微软雅黑" w:cs="Times New Roman"/>
      <w:lang w:val="en-US" w:bidi="ar-SA"/>
    </w:rPr>
  </w:style>
  <w:style w:type="paragraph" w:customStyle="1" w:styleId="1720">
    <w:name w:val="Char4"/>
    <w:basedOn w:val="1"/>
    <w:qFormat/>
    <w:uiPriority w:val="0"/>
    <w:pPr>
      <w:autoSpaceDE/>
      <w:autoSpaceDN/>
      <w:adjustRightInd w:val="0"/>
      <w:snapToGrid w:val="0"/>
      <w:spacing w:line="480" w:lineRule="exact"/>
      <w:ind w:firstLine="200" w:firstLineChars="200"/>
      <w:jc w:val="both"/>
    </w:pPr>
    <w:rPr>
      <w:rFonts w:ascii="Times New Roman" w:hAnsi="Times New Roman" w:cs="Times New Roman"/>
      <w:snapToGrid w:val="0"/>
      <w:sz w:val="28"/>
      <w:szCs w:val="24"/>
      <w:lang w:val="en-US" w:bidi="ar-SA"/>
    </w:rPr>
  </w:style>
  <w:style w:type="paragraph" w:customStyle="1" w:styleId="1721">
    <w:name w:val="OK 表头"/>
    <w:basedOn w:val="20"/>
    <w:link w:val="1722"/>
    <w:qFormat/>
    <w:uiPriority w:val="0"/>
    <w:pPr>
      <w:autoSpaceDE/>
      <w:autoSpaceDN/>
      <w:adjustRightInd w:val="0"/>
      <w:snapToGrid w:val="0"/>
      <w:spacing w:after="200" w:line="240" w:lineRule="auto"/>
      <w:ind w:firstLine="0"/>
      <w:jc w:val="center"/>
      <w:textAlignment w:val="baseline"/>
    </w:pPr>
    <w:rPr>
      <w:rFonts w:ascii="Times New Roman" w:hAnsi="Times New Roman" w:eastAsia="微软雅黑" w:cs="Times New Roman"/>
      <w:b/>
      <w:spacing w:val="-10"/>
      <w:kern w:val="2"/>
      <w:sz w:val="21"/>
      <w:szCs w:val="21"/>
      <w:lang w:val="en-US" w:bidi="ar-SA"/>
    </w:rPr>
  </w:style>
  <w:style w:type="character" w:customStyle="1" w:styleId="1722">
    <w:name w:val="OK 表头 Char Char"/>
    <w:link w:val="1721"/>
    <w:qFormat/>
    <w:uiPriority w:val="0"/>
    <w:rPr>
      <w:rFonts w:eastAsia="微软雅黑"/>
      <w:b/>
      <w:spacing w:val="-10"/>
      <w:kern w:val="2"/>
      <w:sz w:val="21"/>
      <w:szCs w:val="21"/>
    </w:rPr>
  </w:style>
  <w:style w:type="paragraph" w:customStyle="1" w:styleId="1723">
    <w:name w:val="标题 3环保 + 段前: 0.5 行"/>
    <w:basedOn w:val="5"/>
    <w:next w:val="1"/>
    <w:qFormat/>
    <w:uiPriority w:val="0"/>
    <w:pPr>
      <w:widowControl/>
      <w:autoSpaceDE/>
      <w:autoSpaceDN/>
      <w:adjustRightInd w:val="0"/>
      <w:snapToGrid w:val="0"/>
      <w:spacing w:before="156" w:beforeAutospacing="1" w:after="100" w:afterAutospacing="1"/>
      <w:ind w:left="0" w:firstLine="0"/>
    </w:pPr>
    <w:rPr>
      <w:rFonts w:hint="eastAsia" w:ascii="Times New Roman" w:hAnsi="Times New Roman"/>
      <w:bCs w:val="0"/>
      <w:sz w:val="27"/>
      <w:szCs w:val="27"/>
      <w:lang w:val="en-US" w:bidi="ar-SA"/>
    </w:rPr>
  </w:style>
  <w:style w:type="paragraph" w:customStyle="1" w:styleId="1724">
    <w:name w:val="11111表头"/>
    <w:basedOn w:val="1721"/>
    <w:qFormat/>
    <w:uiPriority w:val="0"/>
    <w:rPr>
      <w:rFonts w:eastAsia="黑体" w:cs="Calibri"/>
      <w:bCs/>
      <w:kern w:val="0"/>
      <w:sz w:val="24"/>
      <w:szCs w:val="24"/>
    </w:rPr>
  </w:style>
  <w:style w:type="paragraph" w:customStyle="1" w:styleId="1725">
    <w:name w:val="样式45"/>
    <w:basedOn w:val="105"/>
    <w:qFormat/>
    <w:uiPriority w:val="0"/>
    <w:pPr>
      <w:widowControl/>
      <w:tabs>
        <w:tab w:val="clear" w:pos="3480"/>
      </w:tabs>
      <w:autoSpaceDE/>
      <w:autoSpaceDN/>
      <w:adjustRightInd w:val="0"/>
      <w:snapToGrid w:val="0"/>
      <w:spacing w:beforeLines="0" w:after="200"/>
      <w:ind w:left="420" w:hanging="420"/>
    </w:pPr>
    <w:rPr>
      <w:rFonts w:hint="eastAsia" w:ascii="Tahoma" w:hAnsi="Tahoma" w:eastAsia="微软雅黑" w:cs="Times New Roman"/>
      <w:lang w:val="en-US" w:bidi="ar-SA"/>
    </w:rPr>
  </w:style>
  <w:style w:type="paragraph" w:customStyle="1" w:styleId="1726">
    <w:name w:val="图片-报告表"/>
    <w:basedOn w:val="143"/>
    <w:qFormat/>
    <w:uiPriority w:val="0"/>
    <w:pPr>
      <w:widowControl/>
      <w:spacing w:after="200" w:line="240" w:lineRule="auto"/>
      <w:ind w:firstLine="0"/>
      <w:jc w:val="center"/>
    </w:pPr>
    <w:rPr>
      <w:rFonts w:ascii="Tahoma" w:hAnsi="Tahoma" w:eastAsia="微软雅黑"/>
      <w:kern w:val="0"/>
    </w:rPr>
  </w:style>
  <w:style w:type="paragraph" w:customStyle="1" w:styleId="1727">
    <w:name w:val="正文内容（环科院报告书）"/>
    <w:basedOn w:val="1"/>
    <w:link w:val="1728"/>
    <w:qFormat/>
    <w:uiPriority w:val="0"/>
    <w:pPr>
      <w:widowControl/>
      <w:autoSpaceDE/>
      <w:autoSpaceDN/>
      <w:adjustRightInd w:val="0"/>
      <w:snapToGrid w:val="0"/>
      <w:spacing w:after="200"/>
      <w:ind w:firstLine="480" w:firstLineChars="200"/>
    </w:pPr>
    <w:rPr>
      <w:rFonts w:ascii="Tahoma" w:hAnsi="Tahoma" w:eastAsia="微软雅黑" w:cs="Times New Roman"/>
      <w:sz w:val="24"/>
      <w:szCs w:val="20"/>
      <w:lang w:val="en-US" w:bidi="ar-SA"/>
    </w:rPr>
  </w:style>
  <w:style w:type="character" w:customStyle="1" w:styleId="1728">
    <w:name w:val="正文内容（环科院报告书） Char Char"/>
    <w:link w:val="1727"/>
    <w:qFormat/>
    <w:uiPriority w:val="0"/>
    <w:rPr>
      <w:rFonts w:ascii="Tahoma" w:hAnsi="Tahoma" w:eastAsia="微软雅黑"/>
      <w:sz w:val="24"/>
    </w:rPr>
  </w:style>
  <w:style w:type="paragraph" w:customStyle="1" w:styleId="1729">
    <w:name w:val="表格格式"/>
    <w:basedOn w:val="1"/>
    <w:qFormat/>
    <w:uiPriority w:val="0"/>
    <w:pPr>
      <w:widowControl/>
      <w:autoSpaceDE/>
      <w:autoSpaceDN/>
      <w:adjustRightInd w:val="0"/>
      <w:snapToGrid w:val="0"/>
      <w:spacing w:after="200" w:line="280" w:lineRule="exact"/>
      <w:jc w:val="center"/>
    </w:pPr>
    <w:rPr>
      <w:rFonts w:ascii="Tahoma" w:hAnsi="Tahoma" w:eastAsia="微软雅黑" w:cs="Times New Roman"/>
      <w:sz w:val="18"/>
      <w:lang w:val="en-US" w:bidi="ar-SA"/>
    </w:rPr>
  </w:style>
  <w:style w:type="character" w:customStyle="1" w:styleId="1730">
    <w:name w:val="O.K.表格内容 Char Char"/>
    <w:link w:val="116"/>
    <w:qFormat/>
    <w:uiPriority w:val="0"/>
    <w:rPr>
      <w:rFonts w:ascii="宋体" w:hAnsi="宋体" w:cs="宋体"/>
      <w:sz w:val="22"/>
      <w:szCs w:val="24"/>
      <w:lang w:val="zh-CN" w:bidi="zh-CN"/>
    </w:rPr>
  </w:style>
  <w:style w:type="table" w:customStyle="1" w:styleId="1731">
    <w:name w:val="网格型11"/>
    <w:basedOn w:val="8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732">
    <w:name w:val="List Paragraph1"/>
    <w:basedOn w:val="1"/>
    <w:qFormat/>
    <w:uiPriority w:val="34"/>
    <w:pPr>
      <w:widowControl/>
      <w:autoSpaceDE/>
      <w:autoSpaceDN/>
      <w:adjustRightInd w:val="0"/>
      <w:snapToGrid w:val="0"/>
      <w:spacing w:after="200"/>
      <w:ind w:firstLine="420" w:firstLineChars="200"/>
    </w:pPr>
    <w:rPr>
      <w:rFonts w:ascii="Tahoma" w:hAnsi="Tahoma" w:eastAsia="微软雅黑" w:cs="Times New Roman"/>
      <w:lang w:val="en-US" w:bidi="ar-SA"/>
    </w:rPr>
  </w:style>
  <w:style w:type="paragraph" w:customStyle="1" w:styleId="1733">
    <w:name w:val="正文文本 23"/>
    <w:basedOn w:val="1"/>
    <w:qFormat/>
    <w:uiPriority w:val="0"/>
    <w:pPr>
      <w:autoSpaceDE/>
      <w:autoSpaceDN/>
      <w:adjustRightInd w:val="0"/>
      <w:snapToGrid w:val="0"/>
      <w:spacing w:after="200"/>
      <w:jc w:val="center"/>
      <w:textAlignment w:val="baseline"/>
    </w:pPr>
    <w:rPr>
      <w:rFonts w:ascii="Arial" w:hAnsi="Arial" w:eastAsia="微软雅黑" w:cs="Times New Roman"/>
      <w:kern w:val="2"/>
      <w:sz w:val="21"/>
      <w:lang w:val="en-US" w:bidi="ar-SA"/>
    </w:rPr>
  </w:style>
  <w:style w:type="paragraph" w:customStyle="1" w:styleId="1734">
    <w:name w:val="Char5"/>
    <w:basedOn w:val="1"/>
    <w:qFormat/>
    <w:uiPriority w:val="0"/>
    <w:pPr>
      <w:widowControl/>
      <w:autoSpaceDE/>
      <w:autoSpaceDN/>
      <w:adjustRightInd w:val="0"/>
      <w:snapToGrid w:val="0"/>
      <w:spacing w:after="200"/>
    </w:pPr>
    <w:rPr>
      <w:rFonts w:ascii="Tahoma" w:hAnsi="Tahoma" w:eastAsia="微软雅黑" w:cs="Times New Roman"/>
      <w:lang w:val="en-US" w:bidi="ar-SA"/>
    </w:rPr>
  </w:style>
  <w:style w:type="paragraph" w:customStyle="1" w:styleId="1735">
    <w:name w:val="环保表头"/>
    <w:link w:val="2743"/>
    <w:qFormat/>
    <w:uiPriority w:val="0"/>
    <w:pPr>
      <w:spacing w:before="50" w:beforeLines="50"/>
      <w:jc w:val="center"/>
    </w:pPr>
    <w:rPr>
      <w:rFonts w:ascii="宋体" w:hAnsi="宋体" w:eastAsia="黑体" w:cs="Times New Roman"/>
      <w:sz w:val="24"/>
      <w:lang w:val="en-US" w:eastAsia="zh-CN" w:bidi="ar-SA"/>
    </w:rPr>
  </w:style>
  <w:style w:type="character" w:customStyle="1" w:styleId="1736">
    <w:name w:val="表头 Char1"/>
    <w:qFormat/>
    <w:uiPriority w:val="0"/>
    <w:rPr>
      <w:rFonts w:eastAsia="宋体"/>
      <w:snapToGrid w:val="0"/>
      <w:sz w:val="28"/>
      <w:szCs w:val="24"/>
    </w:rPr>
  </w:style>
  <w:style w:type="character" w:customStyle="1" w:styleId="1737">
    <w:name w:val="表格 Char Char Char Char Char Char"/>
    <w:qFormat/>
    <w:uiPriority w:val="0"/>
    <w:rPr>
      <w:rFonts w:hint="eastAsia" w:ascii="Times New Roman" w:hAnsi="Times New Roman" w:eastAsia="宋体"/>
      <w:sz w:val="21"/>
    </w:rPr>
  </w:style>
  <w:style w:type="character" w:customStyle="1" w:styleId="1738">
    <w:name w:val="纯文本 字符"/>
    <w:qFormat/>
    <w:uiPriority w:val="0"/>
    <w:rPr>
      <w:rFonts w:ascii="宋体" w:hAnsi="Courier New" w:eastAsia="宋体"/>
      <w:kern w:val="2"/>
      <w:sz w:val="24"/>
      <w:lang w:val="en-US" w:eastAsia="zh-CN" w:bidi="ar-SA"/>
    </w:rPr>
  </w:style>
  <w:style w:type="paragraph" w:customStyle="1" w:styleId="1739">
    <w:name w:val="标题04"/>
    <w:basedOn w:val="6"/>
    <w:qFormat/>
    <w:uiPriority w:val="0"/>
    <w:pPr>
      <w:adjustRightInd w:val="0"/>
      <w:snapToGrid w:val="0"/>
      <w:spacing w:before="200" w:after="200" w:line="480" w:lineRule="exact"/>
    </w:pPr>
    <w:rPr>
      <w:rFonts w:ascii="Arial" w:hAnsi="Arial" w:eastAsia="黑体" w:cs="宋体"/>
      <w:b w:val="0"/>
      <w:bCs w:val="0"/>
      <w:snapToGrid w:val="0"/>
      <w:kern w:val="28"/>
    </w:rPr>
  </w:style>
  <w:style w:type="character" w:customStyle="1" w:styleId="1740">
    <w:name w:val="标题 7 Char Char"/>
    <w:qFormat/>
    <w:uiPriority w:val="0"/>
    <w:rPr>
      <w:b/>
      <w:bCs/>
      <w:kern w:val="2"/>
      <w:sz w:val="24"/>
      <w:szCs w:val="24"/>
    </w:rPr>
  </w:style>
  <w:style w:type="character" w:customStyle="1" w:styleId="1741">
    <w:name w:val="样式 列表 + 黑色 Char"/>
    <w:qFormat/>
    <w:uiPriority w:val="0"/>
    <w:rPr>
      <w:rFonts w:ascii="黑体" w:eastAsia="黑体"/>
      <w:color w:val="000000"/>
      <w:kern w:val="2"/>
      <w:sz w:val="24"/>
      <w:szCs w:val="24"/>
      <w:lang w:val="en-US" w:eastAsia="zh-CN" w:bidi="ar-SA"/>
    </w:rPr>
  </w:style>
  <w:style w:type="character" w:customStyle="1" w:styleId="1742">
    <w:name w:val="王　正文 Char Char Char"/>
    <w:qFormat/>
    <w:uiPriority w:val="0"/>
    <w:rPr>
      <w:rFonts w:hAnsi="宋体"/>
      <w:kern w:val="24"/>
      <w:sz w:val="28"/>
      <w:szCs w:val="28"/>
    </w:rPr>
  </w:style>
  <w:style w:type="character" w:customStyle="1" w:styleId="1743">
    <w:name w:val="正文文本 3 字符"/>
    <w:qFormat/>
    <w:uiPriority w:val="0"/>
    <w:rPr>
      <w:rFonts w:ascii="Arial" w:hAnsi="Arial" w:eastAsia="宋体"/>
      <w:kern w:val="2"/>
      <w:sz w:val="24"/>
      <w:lang w:val="en-US" w:eastAsia="zh-CN" w:bidi="ar-SA"/>
    </w:rPr>
  </w:style>
  <w:style w:type="character" w:customStyle="1" w:styleId="1744">
    <w:name w:val="标2 Char"/>
    <w:link w:val="1745"/>
    <w:qFormat/>
    <w:uiPriority w:val="0"/>
    <w:rPr>
      <w:rFonts w:ascii="黑体" w:hAnsi="Arial" w:eastAsia="黑体"/>
      <w:b/>
      <w:color w:val="000000"/>
      <w:position w:val="-6"/>
      <w:sz w:val="24"/>
      <w:szCs w:val="24"/>
    </w:rPr>
  </w:style>
  <w:style w:type="paragraph" w:customStyle="1" w:styleId="1745">
    <w:name w:val="标2"/>
    <w:basedOn w:val="4"/>
    <w:link w:val="1744"/>
    <w:qFormat/>
    <w:uiPriority w:val="0"/>
    <w:pPr>
      <w:keepNext/>
      <w:keepLines/>
      <w:autoSpaceDE/>
      <w:autoSpaceDN/>
      <w:adjustRightInd w:val="0"/>
      <w:spacing w:before="120" w:after="120" w:line="520" w:lineRule="exact"/>
      <w:ind w:left="0" w:firstLine="0"/>
      <w:textAlignment w:val="baseline"/>
    </w:pPr>
    <w:rPr>
      <w:rFonts w:ascii="黑体" w:hAnsi="Arial" w:eastAsia="黑体" w:cs="Times New Roman"/>
      <w:b/>
      <w:color w:val="000000"/>
      <w:position w:val="-6"/>
      <w:sz w:val="24"/>
      <w:szCs w:val="24"/>
      <w:lang w:val="en-US" w:bidi="ar-SA"/>
    </w:rPr>
  </w:style>
  <w:style w:type="character" w:customStyle="1" w:styleId="1746">
    <w:name w:val="标题2T Char1"/>
    <w:link w:val="1747"/>
    <w:qFormat/>
    <w:uiPriority w:val="0"/>
    <w:rPr>
      <w:kern w:val="2"/>
      <w:sz w:val="28"/>
      <w:szCs w:val="24"/>
    </w:rPr>
  </w:style>
  <w:style w:type="paragraph" w:customStyle="1" w:styleId="1747">
    <w:name w:val="标题2T"/>
    <w:basedOn w:val="1"/>
    <w:next w:val="1"/>
    <w:link w:val="1746"/>
    <w:qFormat/>
    <w:uiPriority w:val="0"/>
    <w:pPr>
      <w:keepNext/>
      <w:keepLines/>
      <w:autoSpaceDE/>
      <w:autoSpaceDN/>
      <w:adjustRightInd w:val="0"/>
      <w:snapToGrid w:val="0"/>
      <w:spacing w:beforeLines="50" w:afterLines="50" w:line="440" w:lineRule="exact"/>
      <w:jc w:val="center"/>
      <w:outlineLvl w:val="0"/>
    </w:pPr>
    <w:rPr>
      <w:rFonts w:ascii="Times New Roman" w:hAnsi="Times New Roman" w:cs="Times New Roman"/>
      <w:kern w:val="2"/>
      <w:sz w:val="28"/>
      <w:szCs w:val="24"/>
      <w:lang w:val="en-US" w:bidi="ar-SA"/>
    </w:rPr>
  </w:style>
  <w:style w:type="character" w:customStyle="1" w:styleId="1748">
    <w:name w:val="标题 9 字符1"/>
    <w:qFormat/>
    <w:uiPriority w:val="0"/>
    <w:rPr>
      <w:rFonts w:ascii="Arial" w:hAnsi="Arial" w:eastAsia="黑体"/>
      <w:kern w:val="2"/>
      <w:sz w:val="21"/>
      <w:szCs w:val="21"/>
    </w:rPr>
  </w:style>
  <w:style w:type="character" w:customStyle="1" w:styleId="1749">
    <w:name w:val="simjour"/>
    <w:qFormat/>
    <w:uiPriority w:val="0"/>
  </w:style>
  <w:style w:type="character" w:customStyle="1" w:styleId="1750">
    <w:name w:val="样式正文 Char Char"/>
    <w:qFormat/>
    <w:uiPriority w:val="0"/>
    <w:rPr>
      <w:rFonts w:eastAsia="宋体"/>
      <w:kern w:val="2"/>
      <w:sz w:val="28"/>
      <w:lang w:val="en-US" w:eastAsia="zh-CN" w:bidi="ar-SA"/>
    </w:rPr>
  </w:style>
  <w:style w:type="character" w:customStyle="1" w:styleId="1751">
    <w:name w:val="设计正文 Char Char"/>
    <w:link w:val="1752"/>
    <w:qFormat/>
    <w:uiPriority w:val="0"/>
    <w:rPr>
      <w:rFonts w:ascii="宋体"/>
      <w:kern w:val="2"/>
      <w:sz w:val="24"/>
    </w:rPr>
  </w:style>
  <w:style w:type="paragraph" w:customStyle="1" w:styleId="1752">
    <w:name w:val="设计正文 Char"/>
    <w:basedOn w:val="1"/>
    <w:link w:val="1751"/>
    <w:qFormat/>
    <w:uiPriority w:val="0"/>
    <w:pPr>
      <w:autoSpaceDE/>
      <w:autoSpaceDN/>
      <w:spacing w:line="420" w:lineRule="exact"/>
      <w:ind w:firstLine="200" w:firstLineChars="200"/>
      <w:jc w:val="both"/>
    </w:pPr>
    <w:rPr>
      <w:rFonts w:hAnsi="Times New Roman" w:cs="Times New Roman"/>
      <w:kern w:val="2"/>
      <w:sz w:val="24"/>
      <w:szCs w:val="20"/>
      <w:lang w:val="en-US" w:bidi="ar-SA"/>
    </w:rPr>
  </w:style>
  <w:style w:type="character" w:customStyle="1" w:styleId="1753">
    <w:name w:val="脚注文本 字符1"/>
    <w:qFormat/>
    <w:uiPriority w:val="0"/>
    <w:rPr>
      <w:sz w:val="18"/>
      <w:szCs w:val="18"/>
    </w:rPr>
  </w:style>
  <w:style w:type="character" w:customStyle="1" w:styleId="1754">
    <w:name w:val="emtidy-1"/>
    <w:basedOn w:val="83"/>
    <w:qFormat/>
    <w:uiPriority w:val="0"/>
  </w:style>
  <w:style w:type="character" w:customStyle="1" w:styleId="1755">
    <w:name w:val="图标注 Char Char"/>
    <w:qFormat/>
    <w:uiPriority w:val="0"/>
    <w:rPr>
      <w:b/>
      <w:kern w:val="24"/>
      <w:sz w:val="24"/>
      <w:szCs w:val="22"/>
      <w:lang w:bidi="ar-SA"/>
    </w:rPr>
  </w:style>
  <w:style w:type="character" w:customStyle="1" w:styleId="1756">
    <w:name w:val="报告正文 Char"/>
    <w:qFormat/>
    <w:uiPriority w:val="0"/>
    <w:rPr>
      <w:rFonts w:ascii="宋体" w:eastAsia="宋体"/>
      <w:kern w:val="2"/>
      <w:sz w:val="28"/>
      <w:lang w:val="en-US" w:eastAsia="zh-CN" w:bidi="ar-SA"/>
    </w:rPr>
  </w:style>
  <w:style w:type="character" w:customStyle="1" w:styleId="1757">
    <w:name w:val="正文文字缩进 Char"/>
    <w:qFormat/>
    <w:uiPriority w:val="0"/>
    <w:rPr>
      <w:rFonts w:ascii="宋体" w:hAnsi="Arial"/>
      <w:kern w:val="2"/>
      <w:sz w:val="24"/>
    </w:rPr>
  </w:style>
  <w:style w:type="character" w:customStyle="1" w:styleId="1758">
    <w:name w:val="页码1"/>
    <w:qFormat/>
    <w:uiPriority w:val="0"/>
  </w:style>
  <w:style w:type="character" w:customStyle="1" w:styleId="1759">
    <w:name w:val="批注文字 字符3"/>
    <w:qFormat/>
    <w:uiPriority w:val="0"/>
    <w:rPr>
      <w:kern w:val="2"/>
      <w:sz w:val="24"/>
    </w:rPr>
  </w:style>
  <w:style w:type="character" w:customStyle="1" w:styleId="1760">
    <w:name w:val="标题 3 字符1"/>
    <w:qFormat/>
    <w:uiPriority w:val="0"/>
    <w:rPr>
      <w:b/>
      <w:bCs/>
      <w:kern w:val="2"/>
      <w:sz w:val="32"/>
      <w:szCs w:val="32"/>
    </w:rPr>
  </w:style>
  <w:style w:type="character" w:customStyle="1" w:styleId="1761">
    <w:name w:val="电子邮件签名 字符1"/>
    <w:qFormat/>
    <w:uiPriority w:val="0"/>
    <w:rPr>
      <w:kern w:val="2"/>
      <w:sz w:val="24"/>
    </w:rPr>
  </w:style>
  <w:style w:type="character" w:customStyle="1" w:styleId="1762">
    <w:name w:val="0正文 Char Char"/>
    <w:qFormat/>
    <w:uiPriority w:val="0"/>
    <w:rPr>
      <w:rFonts w:ascii="宋体" w:hAnsi="宋体"/>
      <w:snapToGrid/>
      <w:kern w:val="44"/>
      <w:sz w:val="28"/>
      <w:szCs w:val="24"/>
      <w:lang w:val="zh-CN"/>
    </w:rPr>
  </w:style>
  <w:style w:type="character" w:customStyle="1" w:styleId="1763">
    <w:name w:val="页码11"/>
    <w:qFormat/>
    <w:uiPriority w:val="0"/>
  </w:style>
  <w:style w:type="character" w:customStyle="1" w:styleId="1764">
    <w:name w:val="表格文字居中 Char"/>
    <w:qFormat/>
    <w:locked/>
    <w:uiPriority w:val="0"/>
    <w:rPr>
      <w:rFonts w:eastAsia="宋体"/>
      <w:kern w:val="2"/>
      <w:sz w:val="21"/>
      <w:szCs w:val="24"/>
      <w:lang w:val="en-US" w:eastAsia="zh-CN" w:bidi="ar-SA"/>
    </w:rPr>
  </w:style>
  <w:style w:type="character" w:customStyle="1" w:styleId="1765">
    <w:name w:val="标题2，， Char Char"/>
    <w:qFormat/>
    <w:uiPriority w:val="0"/>
    <w:rPr>
      <w:rFonts w:ascii="黑体" w:eastAsia="黑体"/>
      <w:bCs/>
      <w:kern w:val="44"/>
      <w:sz w:val="32"/>
      <w:szCs w:val="32"/>
      <w:lang w:bidi="ar-SA"/>
    </w:rPr>
  </w:style>
  <w:style w:type="character" w:customStyle="1" w:styleId="1766">
    <w:name w:val="HTML 预设格式 字符"/>
    <w:qFormat/>
    <w:uiPriority w:val="0"/>
    <w:rPr>
      <w:rFonts w:ascii="宋体" w:hAnsi="宋体" w:eastAsia="宋体"/>
      <w:color w:val="000000"/>
      <w:sz w:val="24"/>
      <w:szCs w:val="24"/>
      <w:lang w:bidi="ar-SA"/>
    </w:rPr>
  </w:style>
  <w:style w:type="character" w:customStyle="1" w:styleId="1767">
    <w:name w:val="正文1111111 Char Char"/>
    <w:link w:val="1768"/>
    <w:qFormat/>
    <w:uiPriority w:val="0"/>
    <w:rPr>
      <w:rFonts w:ascii="宋体" w:hAnsi="Arial Narrow"/>
      <w:kern w:val="2"/>
      <w:sz w:val="24"/>
      <w:szCs w:val="24"/>
    </w:rPr>
  </w:style>
  <w:style w:type="paragraph" w:customStyle="1" w:styleId="1768">
    <w:name w:val="正文1111111"/>
    <w:basedOn w:val="1"/>
    <w:link w:val="1767"/>
    <w:qFormat/>
    <w:uiPriority w:val="0"/>
    <w:pPr>
      <w:autoSpaceDE/>
      <w:autoSpaceDN/>
      <w:spacing w:line="460" w:lineRule="exact"/>
      <w:ind w:firstLine="200" w:firstLineChars="200"/>
      <w:jc w:val="both"/>
    </w:pPr>
    <w:rPr>
      <w:rFonts w:hAnsi="Arial Narrow" w:cs="Times New Roman"/>
      <w:kern w:val="2"/>
      <w:sz w:val="24"/>
      <w:szCs w:val="24"/>
      <w:lang w:val="en-US" w:bidi="ar-SA"/>
    </w:rPr>
  </w:style>
  <w:style w:type="character" w:customStyle="1" w:styleId="1769">
    <w:name w:val="表头 + 居中 Char"/>
    <w:qFormat/>
    <w:uiPriority w:val="0"/>
    <w:rPr>
      <w:rFonts w:ascii="Arial" w:hAnsi="Arial" w:eastAsia="黑体"/>
      <w:kern w:val="2"/>
      <w:sz w:val="21"/>
      <w:szCs w:val="21"/>
      <w:lang w:val="en-US" w:eastAsia="zh-CN" w:bidi="ar-SA"/>
    </w:rPr>
  </w:style>
  <w:style w:type="character" w:customStyle="1" w:styleId="1770">
    <w:name w:val="正文样式 Char1"/>
    <w:qFormat/>
    <w:locked/>
    <w:uiPriority w:val="0"/>
    <w:rPr>
      <w:rFonts w:ascii="宋体" w:hAnsi="宋体" w:eastAsia="宋体"/>
      <w:kern w:val="2"/>
      <w:sz w:val="24"/>
      <w:szCs w:val="24"/>
      <w:lang w:val="en-US" w:eastAsia="zh-CN" w:bidi="ar-SA"/>
    </w:rPr>
  </w:style>
  <w:style w:type="character" w:customStyle="1" w:styleId="1771">
    <w:name w:val="样式 宋体 四号 行距: 1.5 倍行距 Char Char Char"/>
    <w:link w:val="1772"/>
    <w:qFormat/>
    <w:uiPriority w:val="0"/>
    <w:rPr>
      <w:rFonts w:ascii="宋体" w:hAnsi="宋体"/>
      <w:kern w:val="2"/>
      <w:sz w:val="28"/>
      <w:szCs w:val="24"/>
    </w:rPr>
  </w:style>
  <w:style w:type="paragraph" w:customStyle="1" w:styleId="1772">
    <w:name w:val="样式 宋体 四号 行距: 1.5 倍行距 Char Char"/>
    <w:basedOn w:val="1"/>
    <w:link w:val="1771"/>
    <w:qFormat/>
    <w:uiPriority w:val="0"/>
    <w:pPr>
      <w:autoSpaceDE/>
      <w:autoSpaceDN/>
      <w:spacing w:line="360" w:lineRule="auto"/>
      <w:ind w:firstLine="560" w:firstLineChars="200"/>
      <w:jc w:val="both"/>
    </w:pPr>
    <w:rPr>
      <w:rFonts w:cs="Times New Roman"/>
      <w:kern w:val="2"/>
      <w:sz w:val="28"/>
      <w:szCs w:val="24"/>
      <w:lang w:val="en-US" w:bidi="ar-SA"/>
    </w:rPr>
  </w:style>
  <w:style w:type="character" w:customStyle="1" w:styleId="1773">
    <w:name w:val="标题标题 Char"/>
    <w:qFormat/>
    <w:uiPriority w:val="0"/>
    <w:rPr>
      <w:rFonts w:eastAsia="黑体"/>
      <w:kern w:val="11"/>
      <w:sz w:val="21"/>
      <w:szCs w:val="28"/>
      <w:lang w:val="en-US" w:eastAsia="zh-CN" w:bidi="ar-SA"/>
    </w:rPr>
  </w:style>
  <w:style w:type="character" w:customStyle="1" w:styleId="1774">
    <w:name w:val="表格头 Char Char"/>
    <w:qFormat/>
    <w:uiPriority w:val="0"/>
    <w:rPr>
      <w:rFonts w:ascii="Arial" w:hAnsi="Arial" w:eastAsia="黑体"/>
      <w:snapToGrid w:val="0"/>
      <w:color w:val="000000"/>
      <w:sz w:val="21"/>
      <w:szCs w:val="24"/>
    </w:rPr>
  </w:style>
  <w:style w:type="character" w:customStyle="1" w:styleId="1775">
    <w:name w:val="批注文字 字符6"/>
    <w:qFormat/>
    <w:uiPriority w:val="99"/>
    <w:rPr>
      <w:kern w:val="2"/>
      <w:sz w:val="21"/>
      <w:szCs w:val="24"/>
    </w:rPr>
  </w:style>
  <w:style w:type="character" w:customStyle="1" w:styleId="1776">
    <w:name w:val="样式3 Char"/>
    <w:qFormat/>
    <w:uiPriority w:val="0"/>
    <w:rPr>
      <w:rFonts w:ascii="黑体" w:eastAsia="黑体"/>
      <w:sz w:val="28"/>
      <w:lang w:val="en-US" w:eastAsia="zh-CN" w:bidi="ar-SA"/>
    </w:rPr>
  </w:style>
  <w:style w:type="character" w:customStyle="1" w:styleId="1777">
    <w:name w:val="表格 文字 Char Char"/>
    <w:link w:val="1778"/>
    <w:qFormat/>
    <w:uiPriority w:val="0"/>
    <w:rPr>
      <w:bCs/>
      <w:kern w:val="2"/>
      <w:sz w:val="21"/>
      <w:szCs w:val="21"/>
    </w:rPr>
  </w:style>
  <w:style w:type="paragraph" w:customStyle="1" w:styleId="1778">
    <w:name w:val="表格 文字"/>
    <w:basedOn w:val="78"/>
    <w:link w:val="1777"/>
    <w:qFormat/>
    <w:uiPriority w:val="0"/>
    <w:pPr>
      <w:widowControl w:val="0"/>
      <w:tabs>
        <w:tab w:val="left" w:pos="628"/>
        <w:tab w:val="left" w:pos="1727"/>
        <w:tab w:val="left" w:pos="1884"/>
      </w:tabs>
      <w:snapToGrid w:val="0"/>
      <w:spacing w:after="0" w:line="312" w:lineRule="auto"/>
      <w:ind w:firstLine="0" w:firstLineChars="0"/>
    </w:pPr>
    <w:rPr>
      <w:rFonts w:ascii="Times New Roman" w:hAnsi="Times New Roman" w:cs="Times New Roman"/>
      <w:bCs/>
      <w:kern w:val="2"/>
      <w:sz w:val="21"/>
      <w:szCs w:val="21"/>
    </w:rPr>
  </w:style>
  <w:style w:type="character" w:customStyle="1" w:styleId="1779">
    <w:name w:val="H2 Char Char"/>
    <w:qFormat/>
    <w:uiPriority w:val="0"/>
    <w:rPr>
      <w:rFonts w:ascii="宋体" w:hAnsi="Arial" w:eastAsia="宋体"/>
      <w:kern w:val="2"/>
      <w:sz w:val="28"/>
      <w:lang w:val="en-US" w:eastAsia="zh-CN" w:bidi="ar-SA"/>
    </w:rPr>
  </w:style>
  <w:style w:type="character" w:customStyle="1" w:styleId="1780">
    <w:name w:val="正文样式 Char"/>
    <w:qFormat/>
    <w:uiPriority w:val="0"/>
    <w:rPr>
      <w:rFonts w:ascii="宋体" w:hAnsi="宋体" w:eastAsia="宋体"/>
      <w:kern w:val="2"/>
      <w:sz w:val="24"/>
      <w:szCs w:val="24"/>
      <w:lang w:val="en-US" w:eastAsia="zh-CN" w:bidi="ar-SA"/>
    </w:rPr>
  </w:style>
  <w:style w:type="character" w:customStyle="1" w:styleId="1781">
    <w:name w:val="text"/>
    <w:basedOn w:val="83"/>
    <w:qFormat/>
    <w:uiPriority w:val="0"/>
  </w:style>
  <w:style w:type="character" w:customStyle="1" w:styleId="1782">
    <w:name w:val="Char Char142"/>
    <w:qFormat/>
    <w:uiPriority w:val="0"/>
    <w:rPr>
      <w:rFonts w:eastAsia="宋体"/>
      <w:kern w:val="2"/>
      <w:sz w:val="21"/>
      <w:szCs w:val="24"/>
      <w:lang w:val="en-US" w:eastAsia="zh-CN" w:bidi="ar-SA"/>
    </w:rPr>
  </w:style>
  <w:style w:type="character" w:customStyle="1" w:styleId="1783">
    <w:name w:val="标题4，， Char"/>
    <w:link w:val="1784"/>
    <w:qFormat/>
    <w:locked/>
    <w:uiPriority w:val="0"/>
    <w:rPr>
      <w:rFonts w:ascii="宋体" w:hAnsi="宋体"/>
      <w:kern w:val="2"/>
      <w:sz w:val="24"/>
    </w:rPr>
  </w:style>
  <w:style w:type="paragraph" w:customStyle="1" w:styleId="1784">
    <w:name w:val="标题4，，"/>
    <w:basedOn w:val="6"/>
    <w:link w:val="1783"/>
    <w:qFormat/>
    <w:uiPriority w:val="0"/>
    <w:pPr>
      <w:spacing w:before="0" w:after="0" w:line="360" w:lineRule="auto"/>
      <w:jc w:val="left"/>
    </w:pPr>
    <w:rPr>
      <w:rFonts w:ascii="宋体" w:hAnsi="宋体"/>
      <w:b w:val="0"/>
      <w:bCs w:val="0"/>
      <w:sz w:val="24"/>
      <w:szCs w:val="20"/>
    </w:rPr>
  </w:style>
  <w:style w:type="character" w:customStyle="1" w:styleId="1785">
    <w:name w:val="titlebig"/>
    <w:basedOn w:val="83"/>
    <w:qFormat/>
    <w:uiPriority w:val="0"/>
  </w:style>
  <w:style w:type="character" w:customStyle="1" w:styleId="1786">
    <w:name w:val="标3 Char"/>
    <w:link w:val="1787"/>
    <w:qFormat/>
    <w:uiPriority w:val="0"/>
    <w:rPr>
      <w:rFonts w:ascii="黑体" w:hAnsi="宋体" w:eastAsia="黑体"/>
      <w:b/>
      <w:bCs/>
      <w:color w:val="000000"/>
      <w:sz w:val="24"/>
      <w:szCs w:val="24"/>
    </w:rPr>
  </w:style>
  <w:style w:type="paragraph" w:customStyle="1" w:styleId="1787">
    <w:name w:val="标3"/>
    <w:basedOn w:val="5"/>
    <w:link w:val="1786"/>
    <w:qFormat/>
    <w:uiPriority w:val="0"/>
    <w:pPr>
      <w:keepNext/>
      <w:keepLines/>
      <w:autoSpaceDE/>
      <w:autoSpaceDN/>
      <w:adjustRightInd w:val="0"/>
      <w:spacing w:before="120" w:after="120" w:line="520" w:lineRule="exact"/>
      <w:ind w:left="0" w:firstLine="0"/>
      <w:textAlignment w:val="baseline"/>
    </w:pPr>
    <w:rPr>
      <w:rFonts w:ascii="黑体" w:eastAsia="黑体" w:cs="Times New Roman"/>
      <w:color w:val="000000"/>
      <w:lang w:val="en-US" w:bidi="ar-SA"/>
    </w:rPr>
  </w:style>
  <w:style w:type="character" w:customStyle="1" w:styleId="1788">
    <w:name w:val="正文升平 Char"/>
    <w:link w:val="1789"/>
    <w:qFormat/>
    <w:uiPriority w:val="0"/>
    <w:rPr>
      <w:rFonts w:ascii="楷体_GB2312" w:hAnsi="宋体" w:eastAsia="楷体_GB2312"/>
      <w:bCs/>
      <w:color w:val="000000"/>
      <w:sz w:val="28"/>
      <w:szCs w:val="28"/>
      <w:lang w:val="zh-CN"/>
    </w:rPr>
  </w:style>
  <w:style w:type="paragraph" w:customStyle="1" w:styleId="1789">
    <w:name w:val="正文升平"/>
    <w:basedOn w:val="1"/>
    <w:link w:val="1788"/>
    <w:qFormat/>
    <w:uiPriority w:val="0"/>
    <w:pPr>
      <w:tabs>
        <w:tab w:val="left" w:pos="5040"/>
      </w:tabs>
      <w:autoSpaceDE/>
      <w:autoSpaceDN/>
      <w:spacing w:line="500" w:lineRule="exact"/>
      <w:ind w:firstLine="560" w:firstLineChars="200"/>
      <w:jc w:val="both"/>
    </w:pPr>
    <w:rPr>
      <w:rFonts w:ascii="楷体_GB2312" w:eastAsia="楷体_GB2312" w:cs="Times New Roman"/>
      <w:bCs/>
      <w:color w:val="000000"/>
      <w:sz w:val="28"/>
      <w:szCs w:val="28"/>
      <w:lang w:bidi="ar-SA"/>
    </w:rPr>
  </w:style>
  <w:style w:type="character" w:customStyle="1" w:styleId="1790">
    <w:name w:val="样式14 Char Char"/>
    <w:qFormat/>
    <w:uiPriority w:val="0"/>
    <w:rPr>
      <w:rFonts w:ascii="方正黑体简体" w:eastAsia="方正黑体简体"/>
      <w:sz w:val="24"/>
      <w:szCs w:val="21"/>
    </w:rPr>
  </w:style>
  <w:style w:type="character" w:customStyle="1" w:styleId="1791">
    <w:name w:val="页脚 字符"/>
    <w:qFormat/>
    <w:uiPriority w:val="99"/>
    <w:rPr>
      <w:kern w:val="2"/>
      <w:sz w:val="18"/>
    </w:rPr>
  </w:style>
  <w:style w:type="character" w:customStyle="1" w:styleId="1792">
    <w:name w:val="正文文字缩进 Char2"/>
    <w:qFormat/>
    <w:uiPriority w:val="0"/>
    <w:rPr>
      <w:kern w:val="2"/>
      <w:sz w:val="24"/>
    </w:rPr>
  </w:style>
  <w:style w:type="character" w:customStyle="1" w:styleId="1793">
    <w:name w:val="正文首行缩进 2 Char Char"/>
    <w:link w:val="1794"/>
    <w:qFormat/>
    <w:uiPriority w:val="0"/>
    <w:rPr>
      <w:rFonts w:ascii="楷体_GB2312" w:eastAsia="楷体_GB2312"/>
      <w:sz w:val="28"/>
      <w:szCs w:val="24"/>
    </w:rPr>
  </w:style>
  <w:style w:type="paragraph" w:customStyle="1" w:styleId="1794">
    <w:name w:val="正文首行缩进 21"/>
    <w:basedOn w:val="1795"/>
    <w:link w:val="1793"/>
    <w:qFormat/>
    <w:uiPriority w:val="0"/>
    <w:pPr>
      <w:widowControl w:val="0"/>
      <w:snapToGrid w:val="0"/>
      <w:spacing w:after="120" w:line="480" w:lineRule="exact"/>
      <w:ind w:left="420" w:leftChars="200" w:firstLine="420" w:firstLineChars="200"/>
      <w:jc w:val="both"/>
      <w:textAlignment w:val="auto"/>
    </w:pPr>
    <w:rPr>
      <w:rFonts w:ascii="楷体_GB2312" w:hAnsi="Times New Roman" w:eastAsia="楷体_GB2312" w:cs="Times New Roman"/>
      <w:sz w:val="28"/>
    </w:rPr>
  </w:style>
  <w:style w:type="paragraph" w:customStyle="1" w:styleId="1795">
    <w:name w:val="正文文本缩进2"/>
    <w:basedOn w:val="1"/>
    <w:qFormat/>
    <w:uiPriority w:val="0"/>
    <w:pPr>
      <w:widowControl/>
      <w:autoSpaceDE/>
      <w:autoSpaceDN/>
      <w:adjustRightInd w:val="0"/>
      <w:spacing w:line="360" w:lineRule="atLeast"/>
      <w:ind w:left="280" w:firstLine="560"/>
      <w:textAlignment w:val="baseline"/>
    </w:pPr>
    <w:rPr>
      <w:sz w:val="24"/>
      <w:szCs w:val="24"/>
      <w:lang w:val="en-US" w:bidi="ar-SA"/>
    </w:rPr>
  </w:style>
  <w:style w:type="character" w:customStyle="1" w:styleId="1796">
    <w:name w:val="标题3 Char"/>
    <w:qFormat/>
    <w:uiPriority w:val="0"/>
    <w:rPr>
      <w:rFonts w:eastAsia="黑体" w:cs="宋体"/>
      <w:kern w:val="2"/>
      <w:sz w:val="28"/>
      <w:szCs w:val="32"/>
      <w:lang w:val="en-US" w:eastAsia="zh-CN" w:bidi="ar-SA"/>
    </w:rPr>
  </w:style>
  <w:style w:type="character" w:customStyle="1" w:styleId="1797">
    <w:name w:val="报告名称副标题 Char Char"/>
    <w:link w:val="1798"/>
    <w:qFormat/>
    <w:uiPriority w:val="0"/>
    <w:rPr>
      <w:rFonts w:eastAsia="黑体"/>
      <w:kern w:val="2"/>
      <w:sz w:val="44"/>
    </w:rPr>
  </w:style>
  <w:style w:type="paragraph" w:customStyle="1" w:styleId="1798">
    <w:name w:val="报告名称副标题"/>
    <w:basedOn w:val="1"/>
    <w:next w:val="1"/>
    <w:link w:val="1797"/>
    <w:qFormat/>
    <w:uiPriority w:val="0"/>
    <w:pPr>
      <w:widowControl/>
      <w:autoSpaceDE/>
      <w:autoSpaceDN/>
      <w:adjustRightInd w:val="0"/>
      <w:snapToGrid w:val="0"/>
      <w:spacing w:before="140" w:after="120" w:line="700" w:lineRule="exact"/>
      <w:jc w:val="center"/>
    </w:pPr>
    <w:rPr>
      <w:rFonts w:ascii="Times New Roman" w:hAnsi="Times New Roman" w:eastAsia="黑体" w:cs="Times New Roman"/>
      <w:kern w:val="2"/>
      <w:sz w:val="44"/>
      <w:szCs w:val="20"/>
      <w:lang w:val="en-US" w:bidi="ar-SA"/>
    </w:rPr>
  </w:style>
  <w:style w:type="character" w:customStyle="1" w:styleId="1799">
    <w:name w:val="表格内 Char Char"/>
    <w:qFormat/>
    <w:uiPriority w:val="0"/>
    <w:rPr>
      <w:snapToGrid w:val="0"/>
      <w:sz w:val="21"/>
      <w:szCs w:val="21"/>
    </w:rPr>
  </w:style>
  <w:style w:type="character" w:customStyle="1" w:styleId="1800">
    <w:name w:val="正文文本 2 字符"/>
    <w:qFormat/>
    <w:uiPriority w:val="0"/>
    <w:rPr>
      <w:rFonts w:eastAsia="宋体"/>
      <w:snapToGrid w:val="0"/>
      <w:kern w:val="28"/>
      <w:sz w:val="24"/>
      <w:lang w:val="en-US" w:eastAsia="zh-CN" w:bidi="ar-SA"/>
    </w:rPr>
  </w:style>
  <w:style w:type="character" w:customStyle="1" w:styleId="1801">
    <w:name w:val="王　正文 Char"/>
    <w:link w:val="1802"/>
    <w:qFormat/>
    <w:uiPriority w:val="0"/>
    <w:rPr>
      <w:rFonts w:hAnsi="宋体" w:cs="宋体"/>
      <w:kern w:val="24"/>
      <w:sz w:val="28"/>
      <w:szCs w:val="28"/>
    </w:rPr>
  </w:style>
  <w:style w:type="paragraph" w:customStyle="1" w:styleId="1802">
    <w:name w:val="王　正文"/>
    <w:basedOn w:val="1"/>
    <w:link w:val="1801"/>
    <w:qFormat/>
    <w:uiPriority w:val="0"/>
    <w:pPr>
      <w:autoSpaceDE/>
      <w:autoSpaceDN/>
      <w:spacing w:line="480" w:lineRule="exact"/>
      <w:ind w:firstLine="560" w:firstLineChars="200"/>
      <w:jc w:val="both"/>
    </w:pPr>
    <w:rPr>
      <w:rFonts w:ascii="Times New Roman"/>
      <w:kern w:val="24"/>
      <w:sz w:val="28"/>
      <w:szCs w:val="28"/>
      <w:lang w:val="en-US" w:bidi="ar-SA"/>
    </w:rPr>
  </w:style>
  <w:style w:type="character" w:customStyle="1" w:styleId="1803">
    <w:name w:val="日期 字符"/>
    <w:qFormat/>
    <w:uiPriority w:val="0"/>
    <w:rPr>
      <w:rFonts w:ascii="宋体" w:eastAsia="宋体"/>
      <w:kern w:val="2"/>
      <w:sz w:val="21"/>
      <w:lang w:val="en-US" w:eastAsia="zh-CN" w:bidi="ar-SA"/>
    </w:rPr>
  </w:style>
  <w:style w:type="character" w:customStyle="1" w:styleId="1804">
    <w:name w:val="普通(网站) 字符"/>
    <w:qFormat/>
    <w:uiPriority w:val="0"/>
    <w:rPr>
      <w:rFonts w:eastAsia="宋体"/>
      <w:kern w:val="2"/>
      <w:sz w:val="24"/>
      <w:szCs w:val="24"/>
      <w:lang w:val="en-US" w:eastAsia="zh-CN" w:bidi="ar-SA"/>
    </w:rPr>
  </w:style>
  <w:style w:type="character" w:customStyle="1" w:styleId="1805">
    <w:name w:val="cucd-0 Char"/>
    <w:qFormat/>
    <w:uiPriority w:val="0"/>
    <w:rPr>
      <w:kern w:val="2"/>
      <w:sz w:val="24"/>
      <w:szCs w:val="24"/>
      <w:lang w:val="en-US" w:eastAsia="zh-CN" w:bidi="ar-SA"/>
    </w:rPr>
  </w:style>
  <w:style w:type="character" w:customStyle="1" w:styleId="1806">
    <w:name w:val="正文新 Char"/>
    <w:link w:val="1807"/>
    <w:qFormat/>
    <w:uiPriority w:val="0"/>
    <w:rPr>
      <w:rFonts w:ascii="宋体" w:hAnsi="宋体"/>
      <w:kern w:val="2"/>
      <w:sz w:val="24"/>
      <w:szCs w:val="24"/>
    </w:rPr>
  </w:style>
  <w:style w:type="paragraph" w:customStyle="1" w:styleId="1807">
    <w:name w:val="正文新"/>
    <w:basedOn w:val="1"/>
    <w:link w:val="1806"/>
    <w:qFormat/>
    <w:uiPriority w:val="0"/>
    <w:pPr>
      <w:autoSpaceDE/>
      <w:autoSpaceDN/>
      <w:spacing w:line="460" w:lineRule="exact"/>
      <w:ind w:firstLine="482"/>
      <w:jc w:val="both"/>
    </w:pPr>
    <w:rPr>
      <w:rFonts w:cs="Times New Roman"/>
      <w:kern w:val="2"/>
      <w:sz w:val="24"/>
      <w:szCs w:val="24"/>
      <w:lang w:val="en-US" w:bidi="ar-SA"/>
    </w:rPr>
  </w:style>
  <w:style w:type="character" w:customStyle="1" w:styleId="1808">
    <w:name w:val="样式 标题 2 + 四号 Char Char Char"/>
    <w:qFormat/>
    <w:uiPriority w:val="0"/>
    <w:rPr>
      <w:rFonts w:eastAsia="黑体"/>
      <w:bCs/>
      <w:snapToGrid/>
      <w:sz w:val="28"/>
      <w:szCs w:val="32"/>
      <w:lang w:bidi="ar-SA"/>
    </w:rPr>
  </w:style>
  <w:style w:type="character" w:customStyle="1" w:styleId="1809">
    <w:name w:val="宏文本 Char1"/>
    <w:qFormat/>
    <w:uiPriority w:val="0"/>
    <w:rPr>
      <w:rFonts w:ascii="Courier New" w:hAnsi="Courier New" w:cs="Courier New"/>
      <w:sz w:val="24"/>
      <w:szCs w:val="24"/>
    </w:rPr>
  </w:style>
  <w:style w:type="character" w:customStyle="1" w:styleId="1810">
    <w:name w:val="表格sms Char"/>
    <w:link w:val="1811"/>
    <w:qFormat/>
    <w:uiPriority w:val="0"/>
    <w:rPr>
      <w:snapToGrid w:val="0"/>
      <w:w w:val="99"/>
      <w:sz w:val="21"/>
      <w:szCs w:val="21"/>
    </w:rPr>
  </w:style>
  <w:style w:type="paragraph" w:customStyle="1" w:styleId="1811">
    <w:name w:val="表格sms"/>
    <w:link w:val="1810"/>
    <w:qFormat/>
    <w:uiPriority w:val="0"/>
    <w:pPr>
      <w:spacing w:line="360" w:lineRule="exact"/>
      <w:jc w:val="center"/>
    </w:pPr>
    <w:rPr>
      <w:rFonts w:ascii="Times New Roman" w:hAnsi="Times New Roman" w:eastAsia="宋体" w:cs="Times New Roman"/>
      <w:snapToGrid w:val="0"/>
      <w:w w:val="99"/>
      <w:sz w:val="21"/>
      <w:szCs w:val="21"/>
      <w:lang w:val="en-US" w:eastAsia="zh-CN" w:bidi="ar-SA"/>
    </w:rPr>
  </w:style>
  <w:style w:type="character" w:customStyle="1" w:styleId="1812">
    <w:name w:val="emtidy-5"/>
    <w:basedOn w:val="83"/>
    <w:qFormat/>
    <w:uiPriority w:val="0"/>
  </w:style>
  <w:style w:type="character" w:customStyle="1" w:styleId="1813">
    <w:name w:val="正文首行缩进-修改 Char"/>
    <w:qFormat/>
    <w:uiPriority w:val="0"/>
    <w:rPr>
      <w:rFonts w:eastAsia="宋体"/>
      <w:kern w:val="2"/>
      <w:sz w:val="24"/>
      <w:szCs w:val="24"/>
      <w:lang w:val="en-US" w:eastAsia="zh-CN" w:bidi="ar-SA"/>
    </w:rPr>
  </w:style>
  <w:style w:type="character" w:customStyle="1" w:styleId="1814">
    <w:name w:val="emtidy-7"/>
    <w:basedOn w:val="83"/>
    <w:qFormat/>
    <w:uiPriority w:val="0"/>
  </w:style>
  <w:style w:type="character" w:customStyle="1" w:styleId="1815">
    <w:name w:val="脚注文本 字符"/>
    <w:qFormat/>
    <w:uiPriority w:val="0"/>
    <w:rPr>
      <w:kern w:val="2"/>
      <w:sz w:val="18"/>
      <w:szCs w:val="18"/>
    </w:rPr>
  </w:style>
  <w:style w:type="character" w:customStyle="1" w:styleId="1816">
    <w:name w:val="批注框文本 Char2"/>
    <w:qFormat/>
    <w:uiPriority w:val="0"/>
    <w:rPr>
      <w:kern w:val="2"/>
      <w:sz w:val="18"/>
      <w:szCs w:val="18"/>
    </w:rPr>
  </w:style>
  <w:style w:type="character" w:customStyle="1" w:styleId="1817">
    <w:name w:val="正文－图表内文字 Char"/>
    <w:link w:val="1818"/>
    <w:qFormat/>
    <w:uiPriority w:val="0"/>
    <w:rPr>
      <w:color w:val="000000"/>
      <w:kern w:val="2"/>
      <w:sz w:val="21"/>
      <w:szCs w:val="24"/>
    </w:rPr>
  </w:style>
  <w:style w:type="paragraph" w:customStyle="1" w:styleId="1818">
    <w:name w:val="正文－图表内文字"/>
    <w:basedOn w:val="1"/>
    <w:next w:val="1"/>
    <w:link w:val="1817"/>
    <w:qFormat/>
    <w:uiPriority w:val="0"/>
    <w:pPr>
      <w:autoSpaceDE/>
      <w:autoSpaceDN/>
      <w:adjustRightInd w:val="0"/>
      <w:snapToGrid w:val="0"/>
      <w:jc w:val="center"/>
    </w:pPr>
    <w:rPr>
      <w:rFonts w:ascii="Times New Roman" w:hAnsi="Times New Roman" w:cs="Times New Roman"/>
      <w:color w:val="000000"/>
      <w:kern w:val="2"/>
      <w:sz w:val="21"/>
      <w:szCs w:val="24"/>
      <w:lang w:val="en-US" w:bidi="ar-SA"/>
    </w:rPr>
  </w:style>
  <w:style w:type="character" w:customStyle="1" w:styleId="1819">
    <w:name w:val="书籍标题2"/>
    <w:qFormat/>
    <w:uiPriority w:val="0"/>
    <w:rPr>
      <w:b/>
      <w:bCs/>
      <w:smallCaps/>
      <w:spacing w:val="5"/>
    </w:rPr>
  </w:style>
  <w:style w:type="character" w:customStyle="1" w:styleId="1820">
    <w:name w:val="内容1 Char"/>
    <w:link w:val="1821"/>
    <w:qFormat/>
    <w:uiPriority w:val="0"/>
    <w:rPr>
      <w:rFonts w:hAnsi="宋体"/>
      <w:sz w:val="28"/>
      <w:szCs w:val="28"/>
    </w:rPr>
  </w:style>
  <w:style w:type="paragraph" w:customStyle="1" w:styleId="1821">
    <w:name w:val="内容1"/>
    <w:basedOn w:val="1"/>
    <w:link w:val="1820"/>
    <w:qFormat/>
    <w:uiPriority w:val="0"/>
    <w:pPr>
      <w:widowControl/>
      <w:autoSpaceDE/>
      <w:autoSpaceDN/>
      <w:spacing w:line="500" w:lineRule="exact"/>
      <w:ind w:firstLine="538" w:firstLineChars="192"/>
    </w:pPr>
    <w:rPr>
      <w:rFonts w:ascii="Times New Roman" w:cs="Times New Roman"/>
      <w:sz w:val="28"/>
      <w:szCs w:val="28"/>
      <w:lang w:val="en-US" w:bidi="ar-SA"/>
    </w:rPr>
  </w:style>
  <w:style w:type="character" w:customStyle="1" w:styleId="1822">
    <w:name w:val="样式 标题 1一级标题(章)标题 1 Char封面标题封皮 + (中文) 仿宋_GB2312 四号 左 左侧:  ... Char Char Char Char"/>
    <w:qFormat/>
    <w:uiPriority w:val="0"/>
    <w:rPr>
      <w:rFonts w:eastAsia="黑体" w:cs="宋体"/>
      <w:bCs/>
      <w:snapToGrid w:val="0"/>
      <w:kern w:val="44"/>
      <w:sz w:val="32"/>
      <w:szCs w:val="32"/>
    </w:rPr>
  </w:style>
  <w:style w:type="character" w:customStyle="1" w:styleId="1823">
    <w:name w:val="说明书正文 Char Char"/>
    <w:qFormat/>
    <w:uiPriority w:val="0"/>
    <w:rPr>
      <w:rFonts w:eastAsia="宋体"/>
      <w:sz w:val="24"/>
      <w:szCs w:val="24"/>
      <w:lang w:val="en-US" w:eastAsia="zh-CN" w:bidi="ar-SA"/>
    </w:rPr>
  </w:style>
  <w:style w:type="character" w:customStyle="1" w:styleId="1824">
    <w:name w:val="正文 首行缩进:  2 字符 Char Char"/>
    <w:qFormat/>
    <w:uiPriority w:val="0"/>
    <w:rPr>
      <w:rFonts w:cs="宋体"/>
      <w:kern w:val="2"/>
      <w:sz w:val="24"/>
    </w:rPr>
  </w:style>
  <w:style w:type="character" w:customStyle="1" w:styleId="1825">
    <w:name w:val="样式13 Char Char"/>
    <w:qFormat/>
    <w:uiPriority w:val="0"/>
    <w:rPr>
      <w:rFonts w:ascii="方正书宋简体" w:eastAsia="方正书宋简体"/>
      <w:b/>
      <w:color w:val="000000"/>
      <w:kern w:val="2"/>
      <w:sz w:val="28"/>
      <w:szCs w:val="28"/>
      <w:lang w:val="en-US" w:eastAsia="zh-CN" w:bidi="ar-SA"/>
    </w:rPr>
  </w:style>
  <w:style w:type="character" w:customStyle="1" w:styleId="1826">
    <w:name w:val="样式6 Char Char"/>
    <w:qFormat/>
    <w:uiPriority w:val="0"/>
    <w:rPr>
      <w:kern w:val="2"/>
      <w:sz w:val="21"/>
      <w:szCs w:val="21"/>
    </w:rPr>
  </w:style>
  <w:style w:type="character" w:customStyle="1" w:styleId="1827">
    <w:name w:val="正文－图表内文字 Char Char"/>
    <w:qFormat/>
    <w:uiPriority w:val="0"/>
    <w:rPr>
      <w:color w:val="000000"/>
      <w:kern w:val="2"/>
      <w:sz w:val="21"/>
      <w:szCs w:val="28"/>
    </w:rPr>
  </w:style>
  <w:style w:type="character" w:customStyle="1" w:styleId="1828">
    <w:name w:val="font5 Char Char"/>
    <w:qFormat/>
    <w:uiPriority w:val="0"/>
    <w:rPr>
      <w:rFonts w:ascii="宋体" w:hAnsi="宋体" w:eastAsia="宋体"/>
      <w:sz w:val="18"/>
      <w:szCs w:val="18"/>
      <w:lang w:val="en-US" w:eastAsia="zh-CN" w:bidi="ar-SA"/>
    </w:rPr>
  </w:style>
  <w:style w:type="character" w:customStyle="1" w:styleId="1829">
    <w:name w:val="keyword1"/>
    <w:qFormat/>
    <w:uiPriority w:val="0"/>
    <w:rPr>
      <w:color w:val="FF0000"/>
    </w:rPr>
  </w:style>
  <w:style w:type="character" w:customStyle="1" w:styleId="1830">
    <w:name w:val="emtidy-3"/>
    <w:basedOn w:val="83"/>
    <w:qFormat/>
    <w:uiPriority w:val="0"/>
  </w:style>
  <w:style w:type="character" w:customStyle="1" w:styleId="1831">
    <w:name w:val="新正文 Char"/>
    <w:link w:val="1832"/>
    <w:qFormat/>
    <w:uiPriority w:val="0"/>
    <w:rPr>
      <w:rFonts w:ascii="宋体"/>
      <w:kern w:val="2"/>
      <w:sz w:val="24"/>
      <w:szCs w:val="24"/>
    </w:rPr>
  </w:style>
  <w:style w:type="paragraph" w:customStyle="1" w:styleId="1832">
    <w:name w:val="新正文"/>
    <w:basedOn w:val="1"/>
    <w:link w:val="1831"/>
    <w:qFormat/>
    <w:uiPriority w:val="0"/>
    <w:pPr>
      <w:tabs>
        <w:tab w:val="left" w:pos="8295"/>
      </w:tabs>
      <w:autoSpaceDE/>
      <w:autoSpaceDN/>
      <w:spacing w:line="460" w:lineRule="exact"/>
      <w:ind w:firstLine="200" w:firstLineChars="200"/>
      <w:jc w:val="both"/>
    </w:pPr>
    <w:rPr>
      <w:rFonts w:hAnsi="Times New Roman" w:cs="Times New Roman"/>
      <w:kern w:val="2"/>
      <w:sz w:val="24"/>
      <w:szCs w:val="24"/>
      <w:lang w:val="en-US" w:bidi="ar-SA"/>
    </w:rPr>
  </w:style>
  <w:style w:type="character" w:customStyle="1" w:styleId="1833">
    <w:name w:val="样式正文 Char Char1"/>
    <w:qFormat/>
    <w:uiPriority w:val="0"/>
    <w:rPr>
      <w:rFonts w:eastAsia="宋体"/>
      <w:kern w:val="2"/>
      <w:sz w:val="28"/>
      <w:szCs w:val="24"/>
      <w:lang w:val="en-US" w:eastAsia="zh-CN" w:bidi="ar-SA"/>
    </w:rPr>
  </w:style>
  <w:style w:type="character" w:customStyle="1" w:styleId="1834">
    <w:name w:val="zt41"/>
    <w:qFormat/>
    <w:uiPriority w:val="0"/>
    <w:rPr>
      <w:sz w:val="18"/>
      <w:szCs w:val="18"/>
    </w:rPr>
  </w:style>
  <w:style w:type="character" w:customStyle="1" w:styleId="1835">
    <w:name w:val="表头-文字 Char"/>
    <w:link w:val="1836"/>
    <w:qFormat/>
    <w:locked/>
    <w:uiPriority w:val="0"/>
    <w:rPr>
      <w:b/>
      <w:kern w:val="24"/>
      <w:sz w:val="24"/>
      <w:szCs w:val="22"/>
    </w:rPr>
  </w:style>
  <w:style w:type="paragraph" w:customStyle="1" w:styleId="1836">
    <w:name w:val="表头-文字"/>
    <w:basedOn w:val="1"/>
    <w:link w:val="1835"/>
    <w:qFormat/>
    <w:uiPriority w:val="0"/>
    <w:pPr>
      <w:autoSpaceDE/>
      <w:autoSpaceDN/>
      <w:adjustRightInd w:val="0"/>
      <w:snapToGrid w:val="0"/>
      <w:spacing w:beforeLines="50"/>
      <w:jc w:val="center"/>
    </w:pPr>
    <w:rPr>
      <w:rFonts w:ascii="Times New Roman" w:hAnsi="Times New Roman" w:cs="Times New Roman"/>
      <w:b/>
      <w:kern w:val="24"/>
      <w:sz w:val="24"/>
      <w:lang w:val="en-US" w:bidi="ar-SA"/>
    </w:rPr>
  </w:style>
  <w:style w:type="character" w:customStyle="1" w:styleId="1837">
    <w:name w:val="电子邮件签名 字符3"/>
    <w:qFormat/>
    <w:uiPriority w:val="0"/>
    <w:rPr>
      <w:kern w:val="2"/>
      <w:sz w:val="24"/>
    </w:rPr>
  </w:style>
  <w:style w:type="character" w:customStyle="1" w:styleId="1838">
    <w:name w:val="正文首行缩进 2 字符1"/>
    <w:qFormat/>
    <w:uiPriority w:val="0"/>
  </w:style>
  <w:style w:type="character" w:customStyle="1" w:styleId="1839">
    <w:name w:val="正文文本 2 字符4"/>
    <w:qFormat/>
    <w:uiPriority w:val="0"/>
    <w:rPr>
      <w:kern w:val="2"/>
      <w:sz w:val="24"/>
    </w:rPr>
  </w:style>
  <w:style w:type="character" w:customStyle="1" w:styleId="1840">
    <w:name w:val="标题 6 字符2"/>
    <w:qFormat/>
    <w:uiPriority w:val="0"/>
    <w:rPr>
      <w:rFonts w:ascii="Arial" w:hAnsi="Arial" w:eastAsia="黑体"/>
      <w:b/>
      <w:bCs/>
      <w:kern w:val="2"/>
      <w:sz w:val="24"/>
      <w:szCs w:val="24"/>
    </w:rPr>
  </w:style>
  <w:style w:type="character" w:customStyle="1" w:styleId="1841">
    <w:name w:val="正文 New New Char Char"/>
    <w:qFormat/>
    <w:uiPriority w:val="0"/>
    <w:rPr>
      <w:kern w:val="2"/>
      <w:sz w:val="21"/>
      <w:szCs w:val="24"/>
      <w:lang w:bidi="ar-SA"/>
    </w:rPr>
  </w:style>
  <w:style w:type="character" w:customStyle="1" w:styleId="1842">
    <w:name w:val="标题 3 字符2"/>
    <w:qFormat/>
    <w:uiPriority w:val="0"/>
    <w:rPr>
      <w:b/>
      <w:bCs/>
      <w:kern w:val="2"/>
      <w:sz w:val="32"/>
      <w:szCs w:val="32"/>
    </w:rPr>
  </w:style>
  <w:style w:type="character" w:customStyle="1" w:styleId="1843">
    <w:name w:val="正文文字缩进 2 Char2"/>
    <w:qFormat/>
    <w:uiPriority w:val="0"/>
    <w:rPr>
      <w:kern w:val="2"/>
      <w:sz w:val="24"/>
    </w:rPr>
  </w:style>
  <w:style w:type="character" w:customStyle="1" w:styleId="1844">
    <w:name w:val="正文文字 Char1"/>
    <w:qFormat/>
    <w:uiPriority w:val="0"/>
    <w:rPr>
      <w:rFonts w:eastAsia="宋体"/>
      <w:b/>
      <w:kern w:val="2"/>
      <w:sz w:val="24"/>
      <w:lang w:val="en-US" w:eastAsia="zh-CN" w:bidi="ar-SA"/>
    </w:rPr>
  </w:style>
  <w:style w:type="character" w:customStyle="1" w:styleId="1845">
    <w:name w:val="表格1 Char"/>
    <w:qFormat/>
    <w:uiPriority w:val="0"/>
    <w:rPr>
      <w:rFonts w:ascii="宋体" w:hAnsi="宋体" w:eastAsia="宋体" w:cs="Arial"/>
      <w:color w:val="000000"/>
      <w:sz w:val="21"/>
      <w:szCs w:val="21"/>
      <w:lang w:val="en-US" w:eastAsia="zh-CN" w:bidi="ar-SA"/>
    </w:rPr>
  </w:style>
  <w:style w:type="character" w:customStyle="1" w:styleId="1846">
    <w:name w:val="正文缩进 字符"/>
    <w:qFormat/>
    <w:uiPriority w:val="0"/>
    <w:rPr>
      <w:rFonts w:eastAsia="宋体"/>
      <w:kern w:val="2"/>
      <w:sz w:val="21"/>
      <w:lang w:val="en-US" w:eastAsia="zh-CN" w:bidi="ar-SA"/>
    </w:rPr>
  </w:style>
  <w:style w:type="character" w:customStyle="1" w:styleId="1847">
    <w:name w:val="标题标题 Char Char Char"/>
    <w:qFormat/>
    <w:uiPriority w:val="0"/>
    <w:rPr>
      <w:rFonts w:eastAsia="黑体"/>
      <w:kern w:val="11"/>
      <w:sz w:val="21"/>
      <w:szCs w:val="28"/>
      <w:lang w:val="en-US" w:eastAsia="zh-CN" w:bidi="ar-SA"/>
    </w:rPr>
  </w:style>
  <w:style w:type="character" w:customStyle="1" w:styleId="1848">
    <w:name w:val="纯文本1 Char"/>
    <w:link w:val="1849"/>
    <w:qFormat/>
    <w:uiPriority w:val="0"/>
    <w:rPr>
      <w:rFonts w:ascii="宋体" w:hAnsi="Courier New"/>
      <w:kern w:val="2"/>
      <w:sz w:val="21"/>
    </w:rPr>
  </w:style>
  <w:style w:type="paragraph" w:customStyle="1" w:styleId="1849">
    <w:name w:val="纯文本1"/>
    <w:basedOn w:val="1"/>
    <w:link w:val="1848"/>
    <w:qFormat/>
    <w:uiPriority w:val="0"/>
    <w:pPr>
      <w:autoSpaceDE/>
      <w:autoSpaceDN/>
      <w:jc w:val="both"/>
    </w:pPr>
    <w:rPr>
      <w:rFonts w:hAnsi="Courier New" w:cs="Times New Roman"/>
      <w:kern w:val="2"/>
      <w:sz w:val="21"/>
      <w:szCs w:val="20"/>
      <w:lang w:val="en-US" w:bidi="ar-SA"/>
    </w:rPr>
  </w:style>
  <w:style w:type="character" w:customStyle="1" w:styleId="1850">
    <w:name w:val="页码2"/>
    <w:basedOn w:val="83"/>
    <w:qFormat/>
    <w:uiPriority w:val="0"/>
  </w:style>
  <w:style w:type="character" w:customStyle="1" w:styleId="1851">
    <w:name w:val="页脚 字符1"/>
    <w:qFormat/>
    <w:uiPriority w:val="0"/>
    <w:rPr>
      <w:sz w:val="18"/>
    </w:rPr>
  </w:style>
  <w:style w:type="character" w:customStyle="1" w:styleId="1852">
    <w:name w:val="OK 1.1.1 Char Char"/>
    <w:qFormat/>
    <w:uiPriority w:val="0"/>
    <w:rPr>
      <w:rFonts w:ascii="Calibri" w:hAnsi="Calibri" w:cs="Calibri"/>
      <w:b/>
      <w:sz w:val="24"/>
      <w:szCs w:val="24"/>
    </w:rPr>
  </w:style>
  <w:style w:type="character" w:customStyle="1" w:styleId="1853">
    <w:name w:val="正文文字 2 Char Char"/>
    <w:qFormat/>
    <w:uiPriority w:val="0"/>
    <w:rPr>
      <w:snapToGrid/>
      <w:kern w:val="28"/>
      <w:sz w:val="24"/>
    </w:rPr>
  </w:style>
  <w:style w:type="character" w:customStyle="1" w:styleId="1854">
    <w:name w:val="日期 字符3"/>
    <w:qFormat/>
    <w:uiPriority w:val="0"/>
    <w:rPr>
      <w:kern w:val="2"/>
      <w:sz w:val="21"/>
    </w:rPr>
  </w:style>
  <w:style w:type="character" w:customStyle="1" w:styleId="1855">
    <w:name w:val="标题 9 字符3"/>
    <w:qFormat/>
    <w:uiPriority w:val="0"/>
    <w:rPr>
      <w:rFonts w:ascii="Arial" w:hAnsi="Arial" w:eastAsia="黑体"/>
      <w:sz w:val="24"/>
      <w:szCs w:val="21"/>
      <w:lang w:bidi="ar-SA"/>
    </w:rPr>
  </w:style>
  <w:style w:type="character" w:customStyle="1" w:styleId="1856">
    <w:name w:val="正文文本 2 字符5"/>
    <w:qFormat/>
    <w:uiPriority w:val="0"/>
    <w:rPr>
      <w:rFonts w:eastAsia="宋体"/>
      <w:kern w:val="2"/>
      <w:sz w:val="18"/>
      <w:lang w:val="en-US" w:eastAsia="zh-CN" w:bidi="ar-SA"/>
    </w:rPr>
  </w:style>
  <w:style w:type="character" w:customStyle="1" w:styleId="1857">
    <w:name w:val="标题 3 字符4"/>
    <w:qFormat/>
    <w:uiPriority w:val="0"/>
    <w:rPr>
      <w:b/>
      <w:bCs/>
      <w:kern w:val="2"/>
      <w:sz w:val="32"/>
      <w:szCs w:val="32"/>
    </w:rPr>
  </w:style>
  <w:style w:type="character" w:customStyle="1" w:styleId="1858">
    <w:name w:val="页眉 Char2"/>
    <w:qFormat/>
    <w:uiPriority w:val="0"/>
    <w:rPr>
      <w:kern w:val="2"/>
      <w:sz w:val="18"/>
      <w:szCs w:val="18"/>
    </w:rPr>
  </w:style>
  <w:style w:type="character" w:customStyle="1" w:styleId="1859">
    <w:name w:val="标题 8 字符3"/>
    <w:uiPriority w:val="0"/>
    <w:rPr>
      <w:rFonts w:ascii="Arial" w:hAnsi="Arial" w:eastAsia="黑体"/>
      <w:sz w:val="24"/>
      <w:szCs w:val="24"/>
      <w:lang w:bidi="ar-SA"/>
    </w:rPr>
  </w:style>
  <w:style w:type="character" w:customStyle="1" w:styleId="1860">
    <w:name w:val="正文缩进 字符2"/>
    <w:qFormat/>
    <w:uiPriority w:val="0"/>
    <w:rPr>
      <w:rFonts w:eastAsia="宋体"/>
      <w:kern w:val="2"/>
      <w:sz w:val="24"/>
      <w:lang w:val="en-US" w:eastAsia="zh-CN" w:bidi="ar-SA"/>
    </w:rPr>
  </w:style>
  <w:style w:type="character" w:customStyle="1" w:styleId="1861">
    <w:name w:val="标题 9 Char Char"/>
    <w:uiPriority w:val="0"/>
    <w:rPr>
      <w:rFonts w:ascii="Cambria" w:hAnsi="Cambria" w:eastAsia="宋体" w:cs="Times New Roman"/>
      <w:kern w:val="2"/>
      <w:sz w:val="21"/>
      <w:szCs w:val="21"/>
    </w:rPr>
  </w:style>
  <w:style w:type="character" w:customStyle="1" w:styleId="1862">
    <w:name w:val="正文文本首行缩进 字符"/>
    <w:qFormat/>
    <w:uiPriority w:val="0"/>
    <w:rPr>
      <w:rFonts w:eastAsia="宋体"/>
      <w:b/>
      <w:kern w:val="2"/>
      <w:sz w:val="24"/>
      <w:lang w:val="en-US" w:eastAsia="zh-CN" w:bidi="ar-SA"/>
    </w:rPr>
  </w:style>
  <w:style w:type="character" w:customStyle="1" w:styleId="1863">
    <w:name w:val="614表格样式 Char Char"/>
    <w:link w:val="1864"/>
    <w:qFormat/>
    <w:uiPriority w:val="0"/>
    <w:rPr>
      <w:rFonts w:hAnsi="宋体"/>
      <w:kern w:val="2"/>
      <w:sz w:val="21"/>
      <w:szCs w:val="21"/>
    </w:rPr>
  </w:style>
  <w:style w:type="paragraph" w:customStyle="1" w:styleId="1864">
    <w:name w:val="614表格样式"/>
    <w:basedOn w:val="1"/>
    <w:link w:val="1863"/>
    <w:qFormat/>
    <w:uiPriority w:val="0"/>
    <w:pPr>
      <w:autoSpaceDE/>
      <w:autoSpaceDN/>
      <w:spacing w:line="320" w:lineRule="exact"/>
      <w:jc w:val="center"/>
    </w:pPr>
    <w:rPr>
      <w:rFonts w:ascii="Times New Roman" w:cs="Times New Roman"/>
      <w:kern w:val="2"/>
      <w:sz w:val="21"/>
      <w:szCs w:val="21"/>
      <w:lang w:val="en-US" w:bidi="ar-SA"/>
    </w:rPr>
  </w:style>
  <w:style w:type="character" w:customStyle="1" w:styleId="1865">
    <w:name w:val="标题 4 字符3"/>
    <w:qFormat/>
    <w:uiPriority w:val="0"/>
    <w:rPr>
      <w:rFonts w:ascii="Arial" w:hAnsi="Arial" w:eastAsia="黑体"/>
      <w:b/>
      <w:bCs/>
      <w:kern w:val="2"/>
      <w:sz w:val="28"/>
      <w:szCs w:val="28"/>
    </w:rPr>
  </w:style>
  <w:style w:type="character" w:customStyle="1" w:styleId="1866">
    <w:name w:val="标题 5 Char Char"/>
    <w:qFormat/>
    <w:uiPriority w:val="0"/>
    <w:rPr>
      <w:b/>
      <w:bCs/>
      <w:kern w:val="2"/>
      <w:sz w:val="28"/>
      <w:szCs w:val="28"/>
    </w:rPr>
  </w:style>
  <w:style w:type="character" w:customStyle="1" w:styleId="1867">
    <w:name w:val="正文 + Char"/>
    <w:link w:val="1868"/>
    <w:uiPriority w:val="0"/>
    <w:rPr>
      <w:rFonts w:eastAsia="Times New Roman"/>
      <w:snapToGrid w:val="0"/>
      <w:kern w:val="24"/>
      <w:sz w:val="24"/>
      <w:szCs w:val="24"/>
    </w:rPr>
  </w:style>
  <w:style w:type="paragraph" w:customStyle="1" w:styleId="1868">
    <w:name w:val="正文 +"/>
    <w:link w:val="1867"/>
    <w:qFormat/>
    <w:uiPriority w:val="0"/>
    <w:pPr>
      <w:adjustRightInd w:val="0"/>
      <w:snapToGrid w:val="0"/>
      <w:spacing w:line="360" w:lineRule="auto"/>
      <w:ind w:firstLine="480" w:firstLineChars="200"/>
    </w:pPr>
    <w:rPr>
      <w:rFonts w:ascii="Times New Roman" w:hAnsi="Times New Roman" w:eastAsia="Times New Roman" w:cs="Times New Roman"/>
      <w:snapToGrid w:val="0"/>
      <w:kern w:val="24"/>
      <w:sz w:val="24"/>
      <w:szCs w:val="24"/>
      <w:lang w:val="en-US" w:eastAsia="zh-CN" w:bidi="ar-SA"/>
    </w:rPr>
  </w:style>
  <w:style w:type="character" w:customStyle="1" w:styleId="1869">
    <w:name w:val="Char Char161"/>
    <w:qFormat/>
    <w:uiPriority w:val="0"/>
    <w:rPr>
      <w:kern w:val="2"/>
      <w:sz w:val="18"/>
      <w:szCs w:val="18"/>
    </w:rPr>
  </w:style>
  <w:style w:type="character" w:customStyle="1" w:styleId="1870">
    <w:name w:val="y正 文 Char Char"/>
    <w:link w:val="1871"/>
    <w:uiPriority w:val="0"/>
    <w:rPr>
      <w:rFonts w:ascii="宋体" w:hAnsi="宋体"/>
      <w:bCs/>
      <w:kern w:val="2"/>
      <w:sz w:val="24"/>
      <w:szCs w:val="24"/>
    </w:rPr>
  </w:style>
  <w:style w:type="paragraph" w:customStyle="1" w:styleId="1871">
    <w:name w:val="y正 文"/>
    <w:basedOn w:val="1"/>
    <w:link w:val="1870"/>
    <w:qFormat/>
    <w:uiPriority w:val="0"/>
    <w:pPr>
      <w:widowControl/>
      <w:autoSpaceDE/>
      <w:autoSpaceDN/>
      <w:adjustRightInd w:val="0"/>
      <w:spacing w:line="360" w:lineRule="auto"/>
      <w:ind w:firstLine="200" w:firstLineChars="200"/>
    </w:pPr>
    <w:rPr>
      <w:rFonts w:cs="Times New Roman"/>
      <w:bCs/>
      <w:kern w:val="2"/>
      <w:sz w:val="24"/>
      <w:szCs w:val="24"/>
      <w:lang w:val="en-US" w:bidi="ar-SA"/>
    </w:rPr>
  </w:style>
  <w:style w:type="character" w:customStyle="1" w:styleId="1872">
    <w:name w:val="h Char Char1"/>
    <w:qFormat/>
    <w:uiPriority w:val="0"/>
    <w:rPr>
      <w:kern w:val="2"/>
      <w:sz w:val="18"/>
      <w:szCs w:val="18"/>
    </w:rPr>
  </w:style>
  <w:style w:type="character" w:customStyle="1" w:styleId="1873">
    <w:name w:val="尾注文本 字符"/>
    <w:uiPriority w:val="0"/>
    <w:rPr>
      <w:rFonts w:eastAsia="宋体"/>
      <w:kern w:val="2"/>
      <w:sz w:val="21"/>
      <w:szCs w:val="24"/>
      <w:lang w:bidi="ar-SA"/>
    </w:rPr>
  </w:style>
  <w:style w:type="character" w:customStyle="1" w:styleId="1874">
    <w:name w:val="韩要点1 Char Char Char"/>
    <w:qFormat/>
    <w:uiPriority w:val="0"/>
    <w:rPr>
      <w:sz w:val="28"/>
      <w:lang w:bidi="ar-SA"/>
    </w:rPr>
  </w:style>
  <w:style w:type="character" w:customStyle="1" w:styleId="1875">
    <w:name w:val="设计正文 Char Char Char"/>
    <w:qFormat/>
    <w:uiPriority w:val="0"/>
    <w:rPr>
      <w:rFonts w:ascii="宋体"/>
      <w:kern w:val="2"/>
      <w:sz w:val="24"/>
      <w:lang w:bidi="ar-SA"/>
    </w:rPr>
  </w:style>
  <w:style w:type="character" w:customStyle="1" w:styleId="1876">
    <w:name w:val="正文文字 3 Char Char1"/>
    <w:qFormat/>
    <w:uiPriority w:val="0"/>
    <w:rPr>
      <w:kern w:val="2"/>
      <w:sz w:val="18"/>
    </w:rPr>
  </w:style>
  <w:style w:type="character" w:customStyle="1" w:styleId="1877">
    <w:name w:val="5m5"/>
    <w:basedOn w:val="83"/>
    <w:qFormat/>
    <w:uiPriority w:val="0"/>
  </w:style>
  <w:style w:type="character" w:customStyle="1" w:styleId="1878">
    <w:name w:val="Char Char102"/>
    <w:qFormat/>
    <w:uiPriority w:val="0"/>
    <w:rPr>
      <w:kern w:val="2"/>
      <w:sz w:val="21"/>
    </w:rPr>
  </w:style>
  <w:style w:type="character" w:customStyle="1" w:styleId="1879">
    <w:name w:val="页眉 字符3"/>
    <w:qFormat/>
    <w:uiPriority w:val="99"/>
    <w:rPr>
      <w:kern w:val="2"/>
      <w:sz w:val="18"/>
      <w:szCs w:val="18"/>
    </w:rPr>
  </w:style>
  <w:style w:type="character" w:customStyle="1" w:styleId="1880">
    <w:name w:val="正文首行缩进2字符 Char Char Char"/>
    <w:qFormat/>
    <w:uiPriority w:val="0"/>
    <w:rPr>
      <w:rFonts w:ascii="仿宋_GB2312" w:eastAsia="仿宋_GB2312"/>
      <w:kern w:val="2"/>
      <w:sz w:val="28"/>
      <w:szCs w:val="24"/>
      <w:lang w:bidi="ar-SA"/>
    </w:rPr>
  </w:style>
  <w:style w:type="character" w:customStyle="1" w:styleId="1881">
    <w:name w:val="样式 宋体 四号 行距: 1.5 倍行距 Char Char Char Char Char"/>
    <w:uiPriority w:val="0"/>
    <w:rPr>
      <w:rFonts w:ascii="宋体" w:hAnsi="宋体"/>
      <w:kern w:val="2"/>
      <w:sz w:val="28"/>
      <w:szCs w:val="24"/>
      <w:lang w:bidi="ar-SA"/>
    </w:rPr>
  </w:style>
  <w:style w:type="character" w:customStyle="1" w:styleId="1882">
    <w:name w:val="HTML 预设格式 字符3"/>
    <w:uiPriority w:val="0"/>
    <w:rPr>
      <w:rFonts w:ascii="宋体" w:hAnsi="宋体" w:cs="宋体"/>
      <w:color w:val="000000"/>
      <w:sz w:val="24"/>
      <w:szCs w:val="24"/>
    </w:rPr>
  </w:style>
  <w:style w:type="character" w:customStyle="1" w:styleId="1883">
    <w:name w:val="标题 5 字符3"/>
    <w:qFormat/>
    <w:uiPriority w:val="0"/>
    <w:rPr>
      <w:rFonts w:ascii="楷体_GB2312" w:eastAsia="楷体_GB2312"/>
      <w:b/>
      <w:spacing w:val="20"/>
      <w:kern w:val="2"/>
      <w:sz w:val="28"/>
    </w:rPr>
  </w:style>
  <w:style w:type="character" w:customStyle="1" w:styleId="1884">
    <w:name w:val="王　正文 Char Char"/>
    <w:qFormat/>
    <w:uiPriority w:val="0"/>
    <w:rPr>
      <w:rFonts w:hAnsi="宋体" w:eastAsia="宋体"/>
      <w:kern w:val="24"/>
      <w:sz w:val="28"/>
      <w:szCs w:val="28"/>
      <w:lang w:bidi="ar-SA"/>
    </w:rPr>
  </w:style>
  <w:style w:type="character" w:customStyle="1" w:styleId="1885">
    <w:name w:val="批注文字 字符5"/>
    <w:qFormat/>
    <w:uiPriority w:val="0"/>
    <w:rPr>
      <w:kern w:val="2"/>
      <w:sz w:val="24"/>
    </w:rPr>
  </w:style>
  <w:style w:type="character" w:customStyle="1" w:styleId="1886">
    <w:name w:val="宏文本 Char Char"/>
    <w:link w:val="1887"/>
    <w:qFormat/>
    <w:uiPriority w:val="0"/>
    <w:rPr>
      <w:rFonts w:ascii="Courier New" w:hAnsi="Courier New" w:eastAsia="Times New Roman" w:cs="Courier New"/>
      <w:kern w:val="2"/>
      <w:sz w:val="24"/>
      <w:szCs w:val="24"/>
    </w:rPr>
  </w:style>
  <w:style w:type="paragraph" w:customStyle="1" w:styleId="1887">
    <w:name w:val="宏文本2"/>
    <w:link w:val="1886"/>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Times New Roman" w:cs="Courier New"/>
      <w:kern w:val="2"/>
      <w:sz w:val="24"/>
      <w:szCs w:val="24"/>
      <w:lang w:val="en-US" w:eastAsia="zh-CN" w:bidi="ar-SA"/>
    </w:rPr>
  </w:style>
  <w:style w:type="character" w:customStyle="1" w:styleId="1888">
    <w:name w:val="批注框文本 字符1"/>
    <w:qFormat/>
    <w:uiPriority w:val="0"/>
    <w:rPr>
      <w:rFonts w:ascii="Times New Roman" w:hAnsi="Times New Roman" w:eastAsia="宋体" w:cs="Times New Roman"/>
      <w:sz w:val="18"/>
      <w:szCs w:val="18"/>
    </w:rPr>
  </w:style>
  <w:style w:type="character" w:customStyle="1" w:styleId="1889">
    <w:name w:val="尾注文本 字符3"/>
    <w:qFormat/>
    <w:uiPriority w:val="0"/>
    <w:rPr>
      <w:kern w:val="2"/>
      <w:sz w:val="21"/>
      <w:szCs w:val="24"/>
    </w:rPr>
  </w:style>
  <w:style w:type="character" w:customStyle="1" w:styleId="1890">
    <w:name w:val="标2 Char Char"/>
    <w:qFormat/>
    <w:uiPriority w:val="0"/>
    <w:rPr>
      <w:rFonts w:ascii="黑体" w:hAnsi="Arial" w:eastAsia="黑体"/>
      <w:b/>
      <w:color w:val="000000"/>
      <w:position w:val="-6"/>
      <w:sz w:val="24"/>
      <w:szCs w:val="24"/>
      <w:lang w:val="en-US" w:eastAsia="zh-CN" w:bidi="ar-SA"/>
    </w:rPr>
  </w:style>
  <w:style w:type="character" w:customStyle="1" w:styleId="1891">
    <w:name w:val="样式 列表 + 黑色 Char Char"/>
    <w:qFormat/>
    <w:uiPriority w:val="0"/>
    <w:rPr>
      <w:rFonts w:ascii="黑体" w:eastAsia="黑体"/>
      <w:color w:val="000000"/>
      <w:kern w:val="2"/>
      <w:sz w:val="24"/>
      <w:szCs w:val="24"/>
      <w:lang w:val="en-US" w:eastAsia="zh-CN" w:bidi="ar-SA"/>
    </w:rPr>
  </w:style>
  <w:style w:type="character" w:customStyle="1" w:styleId="1892">
    <w:name w:val="已访问的超链接 Char"/>
    <w:qFormat/>
    <w:uiPriority w:val="0"/>
    <w:rPr>
      <w:color w:val="800080"/>
      <w:u w:val="single"/>
    </w:rPr>
  </w:style>
  <w:style w:type="character" w:customStyle="1" w:styleId="1893">
    <w:name w:val="批注文字 字符2"/>
    <w:qFormat/>
    <w:uiPriority w:val="0"/>
    <w:rPr>
      <w:kern w:val="2"/>
      <w:sz w:val="24"/>
    </w:rPr>
  </w:style>
  <w:style w:type="character" w:customStyle="1" w:styleId="1894">
    <w:name w:val="标题 4 字符1"/>
    <w:qFormat/>
    <w:uiPriority w:val="0"/>
    <w:rPr>
      <w:rFonts w:ascii="Arial" w:hAnsi="Arial" w:eastAsia="黑体"/>
      <w:b/>
      <w:bCs/>
      <w:kern w:val="2"/>
      <w:sz w:val="28"/>
      <w:szCs w:val="28"/>
    </w:rPr>
  </w:style>
  <w:style w:type="character" w:customStyle="1" w:styleId="1895">
    <w:name w:val="表格sms Char Char"/>
    <w:uiPriority w:val="0"/>
    <w:rPr>
      <w:rFonts w:eastAsia="Times New Roman"/>
      <w:w w:val="99"/>
      <w:sz w:val="21"/>
      <w:szCs w:val="21"/>
      <w:lang w:val="en-US" w:eastAsia="zh-CN" w:bidi="ar-SA"/>
    </w:rPr>
  </w:style>
  <w:style w:type="character" w:customStyle="1" w:styleId="1896">
    <w:name w:val="页脚 Char2"/>
    <w:qFormat/>
    <w:uiPriority w:val="0"/>
    <w:rPr>
      <w:rFonts w:hint="eastAsia" w:ascii="宋体" w:hAnsi="宋体" w:eastAsia="宋体"/>
      <w:kern w:val="2"/>
      <w:sz w:val="18"/>
      <w:lang w:val="en-US" w:eastAsia="zh-CN" w:bidi="ar-SA"/>
    </w:rPr>
  </w:style>
  <w:style w:type="character" w:customStyle="1" w:styleId="1897">
    <w:name w:val="电子邮件签名 字符"/>
    <w:qFormat/>
    <w:uiPriority w:val="0"/>
    <w:rPr>
      <w:kern w:val="2"/>
      <w:sz w:val="24"/>
    </w:rPr>
  </w:style>
  <w:style w:type="character" w:customStyle="1" w:styleId="1898">
    <w:name w:val="正文 首行缩进:  2 字符 SL CON Char Char"/>
    <w:link w:val="1899"/>
    <w:qFormat/>
    <w:uiPriority w:val="0"/>
    <w:rPr>
      <w:rFonts w:ascii="宋体" w:hAnsi="宋体"/>
      <w:sz w:val="24"/>
      <w:szCs w:val="24"/>
    </w:rPr>
  </w:style>
  <w:style w:type="paragraph" w:customStyle="1" w:styleId="1899">
    <w:name w:val="正文 首行缩进:  2 字符 SL CON"/>
    <w:basedOn w:val="1"/>
    <w:link w:val="1898"/>
    <w:qFormat/>
    <w:uiPriority w:val="0"/>
    <w:pPr>
      <w:widowControl/>
      <w:tabs>
        <w:tab w:val="left" w:pos="377"/>
      </w:tabs>
      <w:autoSpaceDE/>
      <w:autoSpaceDN/>
      <w:spacing w:line="360" w:lineRule="auto"/>
      <w:ind w:firstLine="200" w:firstLineChars="200"/>
      <w:jc w:val="both"/>
    </w:pPr>
    <w:rPr>
      <w:rFonts w:cs="Times New Roman"/>
      <w:sz w:val="24"/>
      <w:szCs w:val="24"/>
      <w:lang w:val="en-US" w:bidi="ar-SA"/>
    </w:rPr>
  </w:style>
  <w:style w:type="character" w:customStyle="1" w:styleId="1900">
    <w:name w:val="批注框文本 字符"/>
    <w:qFormat/>
    <w:uiPriority w:val="0"/>
    <w:rPr>
      <w:kern w:val="2"/>
      <w:sz w:val="18"/>
      <w:szCs w:val="18"/>
    </w:rPr>
  </w:style>
  <w:style w:type="character" w:customStyle="1" w:styleId="1901">
    <w:name w:val="aa1 l01 style8"/>
    <w:qFormat/>
    <w:uiPriority w:val="0"/>
  </w:style>
  <w:style w:type="character" w:customStyle="1" w:styleId="1902">
    <w:name w:val="普通(网站) Char Char"/>
    <w:uiPriority w:val="0"/>
    <w:rPr>
      <w:rFonts w:ascii="宋体" w:hAnsi="宋体" w:cs="宋体"/>
      <w:sz w:val="24"/>
      <w:szCs w:val="24"/>
    </w:rPr>
  </w:style>
  <w:style w:type="character" w:customStyle="1" w:styleId="1903">
    <w:name w:val="标题 字符1"/>
    <w:uiPriority w:val="0"/>
    <w:rPr>
      <w:rFonts w:hint="eastAsia" w:ascii="等线 Light" w:hAnsi="等线 Light" w:eastAsia="等线 Light" w:cs="Times New Roman"/>
      <w:b/>
      <w:bCs/>
      <w:kern w:val="2"/>
      <w:sz w:val="32"/>
      <w:szCs w:val="32"/>
    </w:rPr>
  </w:style>
  <w:style w:type="character" w:customStyle="1" w:styleId="1904">
    <w:name w:val="HTML 预设格式 字符1"/>
    <w:qFormat/>
    <w:uiPriority w:val="0"/>
    <w:rPr>
      <w:rFonts w:ascii="Courier New" w:hAnsi="Courier New" w:eastAsia="宋体" w:cs="Times New Roman"/>
      <w:sz w:val="20"/>
      <w:szCs w:val="20"/>
    </w:rPr>
  </w:style>
  <w:style w:type="character" w:customStyle="1" w:styleId="1905">
    <w:name w:val="批注文字 Char Char Char"/>
    <w:qFormat/>
    <w:uiPriority w:val="0"/>
    <w:rPr>
      <w:kern w:val="2"/>
      <w:sz w:val="24"/>
    </w:rPr>
  </w:style>
  <w:style w:type="character" w:customStyle="1" w:styleId="1906">
    <w:name w:val="纯文本 字符2"/>
    <w:qFormat/>
    <w:uiPriority w:val="0"/>
    <w:rPr>
      <w:rFonts w:ascii="宋体" w:hAnsi="Courier New" w:eastAsia="宋体"/>
      <w:kern w:val="2"/>
      <w:sz w:val="24"/>
      <w:lang w:val="en-US" w:eastAsia="zh-CN" w:bidi="ar-SA"/>
    </w:rPr>
  </w:style>
  <w:style w:type="character" w:customStyle="1" w:styleId="1907">
    <w:name w:val="标题 2 字符3"/>
    <w:uiPriority w:val="0"/>
    <w:rPr>
      <w:rFonts w:ascii="Arial" w:hAnsi="Arial" w:eastAsia="黑体"/>
      <w:b/>
      <w:bCs/>
      <w:kern w:val="2"/>
      <w:sz w:val="32"/>
      <w:szCs w:val="32"/>
    </w:rPr>
  </w:style>
  <w:style w:type="character" w:customStyle="1" w:styleId="1908">
    <w:name w:val="页码21"/>
    <w:uiPriority w:val="0"/>
  </w:style>
  <w:style w:type="character" w:customStyle="1" w:styleId="1909">
    <w:name w:val="正文文本缩进 字符2"/>
    <w:qFormat/>
    <w:uiPriority w:val="0"/>
    <w:rPr>
      <w:kern w:val="2"/>
      <w:sz w:val="24"/>
    </w:rPr>
  </w:style>
  <w:style w:type="character" w:customStyle="1" w:styleId="1910">
    <w:name w:val="批注主题 字符2"/>
    <w:qFormat/>
    <w:uiPriority w:val="0"/>
    <w:rPr>
      <w:b/>
      <w:bCs/>
      <w:kern w:val="2"/>
      <w:sz w:val="24"/>
    </w:rPr>
  </w:style>
  <w:style w:type="character" w:customStyle="1" w:styleId="1911">
    <w:name w:val="正文文本缩进 2 字符2"/>
    <w:qFormat/>
    <w:uiPriority w:val="0"/>
    <w:rPr>
      <w:kern w:val="2"/>
      <w:sz w:val="24"/>
    </w:rPr>
  </w:style>
  <w:style w:type="character" w:customStyle="1" w:styleId="1912">
    <w:name w:val="正文文本 字符2"/>
    <w:qFormat/>
    <w:uiPriority w:val="0"/>
    <w:rPr>
      <w:rFonts w:eastAsia="宋体"/>
      <w:b/>
      <w:kern w:val="2"/>
      <w:sz w:val="24"/>
      <w:lang w:val="en-US" w:eastAsia="zh-CN" w:bidi="ar-SA"/>
    </w:rPr>
  </w:style>
  <w:style w:type="character" w:customStyle="1" w:styleId="1913">
    <w:name w:val="正文文本缩进 3 字符3"/>
    <w:qFormat/>
    <w:uiPriority w:val="0"/>
    <w:rPr>
      <w:kern w:val="2"/>
      <w:sz w:val="16"/>
      <w:szCs w:val="16"/>
    </w:rPr>
  </w:style>
  <w:style w:type="character" w:customStyle="1" w:styleId="1914">
    <w:name w:val="表中文字 Char Char Char"/>
    <w:qFormat/>
    <w:uiPriority w:val="0"/>
    <w:rPr>
      <w:rFonts w:eastAsia="宋体"/>
      <w:sz w:val="21"/>
      <w:lang w:val="en-US" w:eastAsia="zh-CN" w:bidi="ar-SA"/>
    </w:rPr>
  </w:style>
  <w:style w:type="character" w:customStyle="1" w:styleId="1915">
    <w:name w:val="正文文本缩进 3 字符2"/>
    <w:qFormat/>
    <w:uiPriority w:val="0"/>
    <w:rPr>
      <w:kern w:val="2"/>
      <w:sz w:val="16"/>
      <w:szCs w:val="16"/>
    </w:rPr>
  </w:style>
  <w:style w:type="character" w:customStyle="1" w:styleId="1916">
    <w:name w:val="正文文本 2 字符3"/>
    <w:qFormat/>
    <w:uiPriority w:val="0"/>
    <w:rPr>
      <w:kern w:val="28"/>
      <w:sz w:val="24"/>
    </w:rPr>
  </w:style>
  <w:style w:type="character" w:customStyle="1" w:styleId="1917">
    <w:name w:val="表格内 Char Char Char"/>
    <w:qFormat/>
    <w:uiPriority w:val="0"/>
    <w:rPr>
      <w:rFonts w:eastAsia="宋体"/>
      <w:snapToGrid/>
      <w:sz w:val="21"/>
      <w:szCs w:val="21"/>
      <w:lang w:bidi="ar-SA"/>
    </w:rPr>
  </w:style>
  <w:style w:type="character" w:customStyle="1" w:styleId="1918">
    <w:name w:val="尾注文本 字符2"/>
    <w:qFormat/>
    <w:uiPriority w:val="0"/>
    <w:rPr>
      <w:kern w:val="2"/>
      <w:sz w:val="21"/>
      <w:szCs w:val="24"/>
    </w:rPr>
  </w:style>
  <w:style w:type="character" w:customStyle="1" w:styleId="1919">
    <w:name w:val="HTML 预设格式 Char Char"/>
    <w:link w:val="1920"/>
    <w:qFormat/>
    <w:uiPriority w:val="0"/>
    <w:rPr>
      <w:rFonts w:ascii="宋体" w:hAnsi="宋体"/>
      <w:color w:val="000000"/>
      <w:sz w:val="24"/>
      <w:szCs w:val="24"/>
    </w:rPr>
  </w:style>
  <w:style w:type="paragraph" w:customStyle="1" w:styleId="1920">
    <w:name w:val="HTML 预设格式1"/>
    <w:basedOn w:val="1"/>
    <w:link w:val="191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cs="Times New Roman"/>
      <w:color w:val="000000"/>
      <w:sz w:val="24"/>
      <w:szCs w:val="24"/>
      <w:lang w:val="en-US" w:bidi="ar-SA"/>
    </w:rPr>
  </w:style>
  <w:style w:type="character" w:customStyle="1" w:styleId="1921">
    <w:name w:val="标题 7 字符2"/>
    <w:uiPriority w:val="0"/>
    <w:rPr>
      <w:b/>
      <w:bCs/>
      <w:kern w:val="2"/>
      <w:sz w:val="24"/>
      <w:szCs w:val="24"/>
    </w:rPr>
  </w:style>
  <w:style w:type="character" w:customStyle="1" w:styleId="1922">
    <w:name w:val="页眉 字符2"/>
    <w:qFormat/>
    <w:uiPriority w:val="0"/>
    <w:rPr>
      <w:kern w:val="2"/>
      <w:sz w:val="18"/>
      <w:szCs w:val="18"/>
    </w:rPr>
  </w:style>
  <w:style w:type="character" w:customStyle="1" w:styleId="1923">
    <w:name w:val="标题 1 Char1"/>
    <w:qFormat/>
    <w:uiPriority w:val="0"/>
    <w:rPr>
      <w:b/>
      <w:bCs/>
      <w:kern w:val="44"/>
      <w:sz w:val="44"/>
      <w:szCs w:val="44"/>
    </w:rPr>
  </w:style>
  <w:style w:type="character" w:customStyle="1" w:styleId="1924">
    <w:name w:val="标题 1 字符"/>
    <w:qFormat/>
    <w:uiPriority w:val="0"/>
    <w:rPr>
      <w:rFonts w:eastAsia="宋体"/>
      <w:b/>
      <w:bCs/>
      <w:kern w:val="44"/>
      <w:sz w:val="44"/>
      <w:szCs w:val="44"/>
      <w:lang w:val="en-US" w:eastAsia="zh-CN" w:bidi="ar-SA"/>
    </w:rPr>
  </w:style>
  <w:style w:type="character" w:customStyle="1" w:styleId="1925">
    <w:name w:val="标题 2 字符"/>
    <w:qFormat/>
    <w:uiPriority w:val="0"/>
    <w:rPr>
      <w:rFonts w:ascii="Arial" w:hAnsi="Arial" w:eastAsia="黑体"/>
      <w:b/>
      <w:bCs/>
      <w:kern w:val="2"/>
      <w:sz w:val="32"/>
      <w:szCs w:val="32"/>
    </w:rPr>
  </w:style>
  <w:style w:type="character" w:customStyle="1" w:styleId="1926">
    <w:name w:val="标题 3 字符"/>
    <w:qFormat/>
    <w:uiPriority w:val="0"/>
    <w:rPr>
      <w:rFonts w:eastAsia="宋体"/>
      <w:b/>
      <w:bCs/>
      <w:kern w:val="2"/>
      <w:sz w:val="32"/>
      <w:szCs w:val="32"/>
      <w:lang w:val="en-US" w:eastAsia="zh-CN" w:bidi="ar-SA"/>
    </w:rPr>
  </w:style>
  <w:style w:type="character" w:customStyle="1" w:styleId="1927">
    <w:name w:val="标题 4 字符"/>
    <w:uiPriority w:val="0"/>
    <w:rPr>
      <w:rFonts w:ascii="Arial" w:hAnsi="Arial" w:eastAsia="黑体"/>
      <w:b/>
      <w:bCs/>
      <w:kern w:val="2"/>
      <w:sz w:val="28"/>
      <w:szCs w:val="28"/>
    </w:rPr>
  </w:style>
  <w:style w:type="character" w:customStyle="1" w:styleId="1928">
    <w:name w:val="标题 5 字符"/>
    <w:uiPriority w:val="0"/>
    <w:rPr>
      <w:rFonts w:eastAsia="宋体"/>
      <w:b/>
      <w:bCs/>
      <w:kern w:val="2"/>
      <w:sz w:val="28"/>
      <w:szCs w:val="28"/>
      <w:lang w:val="en-US" w:eastAsia="zh-CN" w:bidi="ar-SA"/>
    </w:rPr>
  </w:style>
  <w:style w:type="character" w:customStyle="1" w:styleId="1929">
    <w:name w:val="标题 7 字符"/>
    <w:uiPriority w:val="0"/>
    <w:rPr>
      <w:rFonts w:eastAsia="宋体"/>
      <w:b/>
      <w:bCs/>
      <w:kern w:val="2"/>
      <w:sz w:val="24"/>
      <w:szCs w:val="24"/>
      <w:lang w:val="en-US" w:eastAsia="zh-CN" w:bidi="ar-SA"/>
    </w:rPr>
  </w:style>
  <w:style w:type="character" w:customStyle="1" w:styleId="1930">
    <w:name w:val="标题 8 字符"/>
    <w:qFormat/>
    <w:uiPriority w:val="0"/>
    <w:rPr>
      <w:rFonts w:ascii="Arial" w:hAnsi="Arial" w:eastAsia="黑体"/>
      <w:kern w:val="2"/>
      <w:sz w:val="24"/>
      <w:szCs w:val="24"/>
      <w:lang w:val="en-US" w:eastAsia="zh-CN" w:bidi="ar-SA"/>
    </w:rPr>
  </w:style>
  <w:style w:type="character" w:customStyle="1" w:styleId="1931">
    <w:name w:val="标题 9 字符"/>
    <w:qFormat/>
    <w:uiPriority w:val="0"/>
    <w:rPr>
      <w:rFonts w:ascii="Arial" w:hAnsi="Arial" w:eastAsia="黑体"/>
      <w:kern w:val="2"/>
      <w:sz w:val="21"/>
      <w:szCs w:val="21"/>
      <w:lang w:val="en-US" w:eastAsia="zh-CN" w:bidi="ar-SA"/>
    </w:rPr>
  </w:style>
  <w:style w:type="character" w:customStyle="1" w:styleId="1932">
    <w:name w:val="正文文本缩进 2 字符"/>
    <w:qFormat/>
    <w:uiPriority w:val="0"/>
    <w:rPr>
      <w:rFonts w:ascii="宋体" w:eastAsia="宋体"/>
      <w:kern w:val="2"/>
      <w:sz w:val="24"/>
      <w:lang w:val="en-US" w:eastAsia="zh-CN" w:bidi="ar-SA"/>
    </w:rPr>
  </w:style>
  <w:style w:type="character" w:customStyle="1" w:styleId="1933">
    <w:name w:val="正文文本缩进 字符"/>
    <w:qFormat/>
    <w:uiPriority w:val="0"/>
    <w:rPr>
      <w:rFonts w:ascii="宋体" w:hAnsi="Arial"/>
      <w:kern w:val="2"/>
      <w:sz w:val="24"/>
    </w:rPr>
  </w:style>
  <w:style w:type="character" w:customStyle="1" w:styleId="1934">
    <w:name w:val="正文文本 字符"/>
    <w:qFormat/>
    <w:uiPriority w:val="0"/>
    <w:rPr>
      <w:kern w:val="2"/>
      <w:sz w:val="28"/>
      <w:szCs w:val="24"/>
    </w:rPr>
  </w:style>
  <w:style w:type="character" w:customStyle="1" w:styleId="1935">
    <w:name w:val="HTML 预设格式 字符2"/>
    <w:qFormat/>
    <w:uiPriority w:val="0"/>
    <w:rPr>
      <w:rFonts w:ascii="Courier New" w:hAnsi="Courier New" w:cs="Courier New"/>
      <w:kern w:val="2"/>
    </w:rPr>
  </w:style>
  <w:style w:type="character" w:customStyle="1" w:styleId="1936">
    <w:name w:val="页眉 字符"/>
    <w:qFormat/>
    <w:uiPriority w:val="99"/>
    <w:rPr>
      <w:kern w:val="2"/>
      <w:sz w:val="18"/>
      <w:szCs w:val="18"/>
    </w:rPr>
  </w:style>
  <w:style w:type="character" w:customStyle="1" w:styleId="1937">
    <w:name w:val="正文（首行缩进两字） Char"/>
    <w:qFormat/>
    <w:uiPriority w:val="0"/>
    <w:rPr>
      <w:rFonts w:eastAsia="宋体"/>
      <w:kern w:val="2"/>
      <w:sz w:val="28"/>
      <w:lang w:val="en-US" w:eastAsia="zh-CN" w:bidi="ar-SA"/>
    </w:rPr>
  </w:style>
  <w:style w:type="character" w:customStyle="1" w:styleId="1938">
    <w:name w:val="样式正文 Char"/>
    <w:basedOn w:val="1937"/>
    <w:qFormat/>
    <w:uiPriority w:val="0"/>
    <w:rPr>
      <w:rFonts w:eastAsia="宋体"/>
      <w:kern w:val="2"/>
      <w:sz w:val="28"/>
      <w:lang w:val="en-US" w:eastAsia="zh-CN" w:bidi="ar-SA"/>
    </w:rPr>
  </w:style>
  <w:style w:type="character" w:customStyle="1" w:styleId="1939">
    <w:name w:val="正文文本缩进 3 字符"/>
    <w:qFormat/>
    <w:uiPriority w:val="0"/>
    <w:rPr>
      <w:rFonts w:eastAsia="宋体"/>
      <w:kern w:val="2"/>
      <w:sz w:val="16"/>
      <w:szCs w:val="16"/>
      <w:lang w:val="en-US" w:eastAsia="zh-CN" w:bidi="ar-SA"/>
    </w:rPr>
  </w:style>
  <w:style w:type="character" w:customStyle="1" w:styleId="1940">
    <w:name w:val="正文缩进 字符1"/>
    <w:qFormat/>
    <w:uiPriority w:val="0"/>
    <w:rPr>
      <w:kern w:val="2"/>
      <w:sz w:val="21"/>
    </w:rPr>
  </w:style>
  <w:style w:type="character" w:customStyle="1" w:styleId="1941">
    <w:name w:val="文档结构图 字符"/>
    <w:qFormat/>
    <w:uiPriority w:val="0"/>
    <w:rPr>
      <w:rFonts w:eastAsia="宋体"/>
      <w:kern w:val="2"/>
      <w:sz w:val="21"/>
      <w:szCs w:val="24"/>
      <w:lang w:val="en-US" w:eastAsia="zh-CN" w:bidi="ar-SA"/>
    </w:rPr>
  </w:style>
  <w:style w:type="character" w:customStyle="1" w:styleId="1942">
    <w:name w:val="正5 Char"/>
    <w:link w:val="1943"/>
    <w:qFormat/>
    <w:uiPriority w:val="0"/>
    <w:rPr>
      <w:rFonts w:ascii="宋体"/>
      <w:color w:val="000000"/>
      <w:kern w:val="2"/>
      <w:sz w:val="24"/>
      <w:szCs w:val="24"/>
    </w:rPr>
  </w:style>
  <w:style w:type="paragraph" w:customStyle="1" w:styleId="1943">
    <w:name w:val="正5"/>
    <w:basedOn w:val="1"/>
    <w:link w:val="1942"/>
    <w:qFormat/>
    <w:uiPriority w:val="0"/>
    <w:pPr>
      <w:autoSpaceDE/>
      <w:autoSpaceDN/>
      <w:spacing w:line="460" w:lineRule="exact"/>
      <w:ind w:firstLine="200" w:firstLineChars="200"/>
      <w:jc w:val="both"/>
    </w:pPr>
    <w:rPr>
      <w:rFonts w:hAnsi="Times New Roman" w:cs="Times New Roman"/>
      <w:color w:val="000000"/>
      <w:kern w:val="2"/>
      <w:sz w:val="24"/>
      <w:szCs w:val="24"/>
      <w:lang w:val="en-US" w:bidi="ar-SA"/>
    </w:rPr>
  </w:style>
  <w:style w:type="character" w:customStyle="1" w:styleId="1944">
    <w:name w:val="正文首行缩进 2 字符"/>
    <w:qFormat/>
    <w:uiPriority w:val="0"/>
    <w:rPr>
      <w:rFonts w:ascii="宋体" w:hAnsi="Arial"/>
      <w:snapToGrid/>
      <w:kern w:val="2"/>
      <w:sz w:val="28"/>
      <w:szCs w:val="24"/>
    </w:rPr>
  </w:style>
  <w:style w:type="character" w:customStyle="1" w:styleId="1945">
    <w:name w:val="emtidy-2"/>
    <w:basedOn w:val="83"/>
    <w:qFormat/>
    <w:uiPriority w:val="0"/>
  </w:style>
  <w:style w:type="character" w:customStyle="1" w:styleId="1946">
    <w:name w:val="emtidy-4"/>
    <w:basedOn w:val="83"/>
    <w:qFormat/>
    <w:uiPriority w:val="0"/>
  </w:style>
  <w:style w:type="character" w:customStyle="1" w:styleId="1947">
    <w:name w:val="emtidy-6"/>
    <w:basedOn w:val="83"/>
    <w:qFormat/>
    <w:uiPriority w:val="0"/>
  </w:style>
  <w:style w:type="character" w:customStyle="1" w:styleId="1948">
    <w:name w:val="emtidy-8"/>
    <w:basedOn w:val="83"/>
    <w:qFormat/>
    <w:uiPriority w:val="0"/>
  </w:style>
  <w:style w:type="character" w:customStyle="1" w:styleId="1949">
    <w:name w:val="正文（首行缩进两字）1 Char3"/>
    <w:uiPriority w:val="0"/>
    <w:rPr>
      <w:rFonts w:eastAsia="宋体"/>
      <w:kern w:val="2"/>
      <w:sz w:val="21"/>
      <w:lang w:val="en-US" w:eastAsia="zh-CN" w:bidi="ar-SA"/>
    </w:rPr>
  </w:style>
  <w:style w:type="character" w:customStyle="1" w:styleId="1950">
    <w:name w:val="图标注 Char"/>
    <w:link w:val="1951"/>
    <w:locked/>
    <w:uiPriority w:val="0"/>
    <w:rPr>
      <w:b/>
      <w:kern w:val="24"/>
      <w:sz w:val="24"/>
      <w:szCs w:val="22"/>
    </w:rPr>
  </w:style>
  <w:style w:type="paragraph" w:customStyle="1" w:styleId="1951">
    <w:name w:val="图标注"/>
    <w:basedOn w:val="1"/>
    <w:link w:val="1950"/>
    <w:qFormat/>
    <w:uiPriority w:val="0"/>
    <w:pPr>
      <w:autoSpaceDE/>
      <w:autoSpaceDN/>
      <w:adjustRightInd w:val="0"/>
      <w:snapToGrid w:val="0"/>
      <w:spacing w:before="100" w:line="360" w:lineRule="auto"/>
      <w:jc w:val="center"/>
    </w:pPr>
    <w:rPr>
      <w:rFonts w:ascii="Times New Roman" w:hAnsi="Times New Roman" w:cs="Times New Roman"/>
      <w:b/>
      <w:kern w:val="24"/>
      <w:sz w:val="24"/>
      <w:lang w:val="en-US" w:bidi="ar-SA"/>
    </w:rPr>
  </w:style>
  <w:style w:type="character" w:customStyle="1" w:styleId="1952">
    <w:name w:val="Char Char72"/>
    <w:qFormat/>
    <w:uiPriority w:val="0"/>
    <w:rPr>
      <w:kern w:val="2"/>
      <w:sz w:val="18"/>
    </w:rPr>
  </w:style>
  <w:style w:type="character" w:customStyle="1" w:styleId="1953">
    <w:name w:val="无间隔 字符"/>
    <w:qFormat/>
    <w:uiPriority w:val="0"/>
    <w:rPr>
      <w:rFonts w:ascii="Calibri" w:hAnsi="Calibri"/>
      <w:sz w:val="22"/>
      <w:szCs w:val="22"/>
      <w:lang w:val="en-US" w:eastAsia="zh-CN" w:bidi="ar-SA"/>
    </w:rPr>
  </w:style>
  <w:style w:type="character" w:customStyle="1" w:styleId="1954">
    <w:name w:val="样式 楷体_GB2312 四号 加粗"/>
    <w:qFormat/>
    <w:uiPriority w:val="0"/>
    <w:rPr>
      <w:rFonts w:ascii="楷体_GB2312" w:hAnsi="楷体_GB2312" w:eastAsia="宋体"/>
      <w:b/>
      <w:bCs/>
      <w:sz w:val="28"/>
    </w:rPr>
  </w:style>
  <w:style w:type="character" w:customStyle="1" w:styleId="1955">
    <w:name w:val="Char Char153"/>
    <w:qFormat/>
    <w:uiPriority w:val="0"/>
    <w:rPr>
      <w:rFonts w:ascii="宋体" w:hAnsi="宋体" w:eastAsia="宋体" w:cs="宋体"/>
      <w:sz w:val="18"/>
      <w:lang w:val="en-US" w:eastAsia="zh-CN" w:bidi="ar-SA"/>
    </w:rPr>
  </w:style>
  <w:style w:type="character" w:customStyle="1" w:styleId="1956">
    <w:name w:val="样式12 Char"/>
    <w:link w:val="1957"/>
    <w:uiPriority w:val="0"/>
    <w:rPr>
      <w:rFonts w:eastAsia="方正楷体简体"/>
      <w:kern w:val="2"/>
      <w:sz w:val="28"/>
      <w:szCs w:val="28"/>
    </w:rPr>
  </w:style>
  <w:style w:type="paragraph" w:customStyle="1" w:styleId="1957">
    <w:name w:val="样式12"/>
    <w:basedOn w:val="1"/>
    <w:link w:val="1956"/>
    <w:qFormat/>
    <w:uiPriority w:val="0"/>
    <w:pPr>
      <w:widowControl/>
      <w:topLinePunct/>
      <w:autoSpaceDE/>
      <w:autoSpaceDN/>
      <w:spacing w:line="460" w:lineRule="exact"/>
      <w:ind w:firstLine="561"/>
    </w:pPr>
    <w:rPr>
      <w:rFonts w:ascii="Times New Roman" w:hAnsi="Times New Roman" w:eastAsia="方正楷体简体" w:cs="Times New Roman"/>
      <w:kern w:val="2"/>
      <w:sz w:val="28"/>
      <w:szCs w:val="28"/>
      <w:lang w:val="en-US" w:bidi="ar-SA"/>
    </w:rPr>
  </w:style>
  <w:style w:type="character" w:customStyle="1" w:styleId="1958">
    <w:name w:val="标题 8 Char Char"/>
    <w:qFormat/>
    <w:uiPriority w:val="0"/>
    <w:rPr>
      <w:rFonts w:ascii="Cambria" w:hAnsi="Cambria" w:eastAsia="宋体" w:cs="Times New Roman"/>
      <w:kern w:val="2"/>
      <w:sz w:val="24"/>
      <w:szCs w:val="24"/>
    </w:rPr>
  </w:style>
  <w:style w:type="character" w:customStyle="1" w:styleId="1959">
    <w:name w:val="材料正文 Char Char"/>
    <w:qFormat/>
    <w:uiPriority w:val="0"/>
    <w:rPr>
      <w:rFonts w:eastAsia="方正仿宋简体"/>
      <w:kern w:val="2"/>
      <w:sz w:val="24"/>
    </w:rPr>
  </w:style>
  <w:style w:type="character" w:customStyle="1" w:styleId="1960">
    <w:name w:val="样式正文 Char Char Char"/>
    <w:qFormat/>
    <w:uiPriority w:val="0"/>
    <w:rPr>
      <w:kern w:val="2"/>
      <w:sz w:val="28"/>
    </w:rPr>
  </w:style>
  <w:style w:type="character" w:customStyle="1" w:styleId="1961">
    <w:name w:val="正文文本 3 字符2"/>
    <w:qFormat/>
    <w:uiPriority w:val="0"/>
    <w:rPr>
      <w:kern w:val="2"/>
      <w:sz w:val="16"/>
      <w:szCs w:val="16"/>
    </w:rPr>
  </w:style>
  <w:style w:type="character" w:customStyle="1" w:styleId="1962">
    <w:name w:val="正文文字缩进2字符 Char Char Char"/>
    <w:qFormat/>
    <w:uiPriority w:val="0"/>
    <w:rPr>
      <w:rFonts w:ascii="宋体" w:eastAsia="宋体"/>
      <w:spacing w:val="6"/>
      <w:kern w:val="2"/>
      <w:sz w:val="28"/>
      <w:lang w:val="en-US" w:eastAsia="zh-CN" w:bidi="ar-SA"/>
    </w:rPr>
  </w:style>
  <w:style w:type="character" w:customStyle="1" w:styleId="1963">
    <w:name w:val="批注主题 Char Char"/>
    <w:link w:val="1964"/>
    <w:qFormat/>
    <w:uiPriority w:val="0"/>
    <w:rPr>
      <w:rFonts w:ascii="Calibri" w:hAnsi="Calibri"/>
      <w:b/>
      <w:bCs/>
      <w:sz w:val="24"/>
    </w:rPr>
  </w:style>
  <w:style w:type="paragraph" w:customStyle="1" w:styleId="1964">
    <w:name w:val="批注主题11"/>
    <w:basedOn w:val="26"/>
    <w:next w:val="26"/>
    <w:link w:val="1963"/>
    <w:uiPriority w:val="0"/>
    <w:pPr>
      <w:autoSpaceDE/>
      <w:autoSpaceDN/>
    </w:pPr>
    <w:rPr>
      <w:rFonts w:ascii="Calibri" w:hAnsi="Calibri" w:cs="Times New Roman"/>
      <w:b/>
      <w:bCs/>
      <w:sz w:val="24"/>
      <w:szCs w:val="20"/>
      <w:lang w:val="en-US" w:bidi="ar-SA"/>
    </w:rPr>
  </w:style>
  <w:style w:type="character" w:customStyle="1" w:styleId="1965">
    <w:name w:val="标题 字符2"/>
    <w:qFormat/>
    <w:uiPriority w:val="0"/>
    <w:rPr>
      <w:rFonts w:hint="eastAsia" w:ascii="宋体" w:hAnsi="Courier New" w:eastAsia="宋体"/>
      <w:kern w:val="2"/>
      <w:sz w:val="21"/>
    </w:rPr>
  </w:style>
  <w:style w:type="character" w:customStyle="1" w:styleId="1966">
    <w:name w:val="正文文字缩进 3 Char Char"/>
    <w:qFormat/>
    <w:uiPriority w:val="0"/>
    <w:rPr>
      <w:rFonts w:ascii="宋体" w:hAnsi="宋体" w:cs="宋体"/>
      <w:sz w:val="16"/>
      <w:szCs w:val="16"/>
    </w:rPr>
  </w:style>
  <w:style w:type="character" w:customStyle="1" w:styleId="1967">
    <w:name w:val="标题 6 Char Char"/>
    <w:qFormat/>
    <w:uiPriority w:val="0"/>
    <w:rPr>
      <w:rFonts w:ascii="Cambria" w:hAnsi="Cambria" w:eastAsia="宋体" w:cs="Times New Roman"/>
      <w:b/>
      <w:bCs/>
      <w:kern w:val="2"/>
      <w:sz w:val="24"/>
      <w:szCs w:val="24"/>
    </w:rPr>
  </w:style>
  <w:style w:type="character" w:customStyle="1" w:styleId="1968">
    <w:name w:val="font61"/>
    <w:qFormat/>
    <w:uiPriority w:val="0"/>
    <w:rPr>
      <w:rFonts w:hint="eastAsia" w:ascii="宋体" w:hAnsi="宋体" w:eastAsia="宋体"/>
      <w:color w:val="000000"/>
      <w:sz w:val="21"/>
      <w:szCs w:val="21"/>
      <w:u w:val="none"/>
    </w:rPr>
  </w:style>
  <w:style w:type="character" w:customStyle="1" w:styleId="1969">
    <w:name w:val="日期 字符2"/>
    <w:qFormat/>
    <w:uiPriority w:val="0"/>
    <w:rPr>
      <w:rFonts w:ascii="宋体"/>
      <w:kern w:val="2"/>
      <w:sz w:val="21"/>
    </w:rPr>
  </w:style>
  <w:style w:type="character" w:customStyle="1" w:styleId="1970">
    <w:name w:val="脚注文本 字符2"/>
    <w:qFormat/>
    <w:uiPriority w:val="0"/>
    <w:rPr>
      <w:kern w:val="2"/>
      <w:sz w:val="18"/>
      <w:szCs w:val="18"/>
    </w:rPr>
  </w:style>
  <w:style w:type="character" w:customStyle="1" w:styleId="1971">
    <w:name w:val="标题 2 字符2"/>
    <w:qFormat/>
    <w:uiPriority w:val="0"/>
    <w:rPr>
      <w:rFonts w:ascii="Arial" w:hAnsi="Arial" w:eastAsia="黑体"/>
      <w:b/>
      <w:bCs/>
      <w:kern w:val="2"/>
      <w:sz w:val="32"/>
      <w:szCs w:val="32"/>
    </w:rPr>
  </w:style>
  <w:style w:type="character" w:customStyle="1" w:styleId="1972">
    <w:name w:val="报告名称"/>
    <w:qFormat/>
    <w:uiPriority w:val="0"/>
    <w:rPr>
      <w:rFonts w:eastAsia="黑体"/>
      <w:kern w:val="2"/>
      <w:sz w:val="52"/>
    </w:rPr>
  </w:style>
  <w:style w:type="character" w:customStyle="1" w:styleId="1973">
    <w:name w:val="标题 3 字符3"/>
    <w:qFormat/>
    <w:uiPriority w:val="0"/>
    <w:rPr>
      <w:b/>
      <w:bCs/>
      <w:kern w:val="2"/>
      <w:sz w:val="32"/>
      <w:szCs w:val="32"/>
    </w:rPr>
  </w:style>
  <w:style w:type="character" w:customStyle="1" w:styleId="1974">
    <w:name w:val="标题标题 Char Char"/>
    <w:qFormat/>
    <w:uiPriority w:val="0"/>
    <w:rPr>
      <w:rFonts w:eastAsia="黑体"/>
      <w:color w:val="000000"/>
      <w:kern w:val="11"/>
      <w:sz w:val="21"/>
      <w:lang w:val="en-US" w:eastAsia="zh-CN" w:bidi="ar-SA"/>
    </w:rPr>
  </w:style>
  <w:style w:type="character" w:customStyle="1" w:styleId="1975">
    <w:name w:val="标题 8 字符2"/>
    <w:qFormat/>
    <w:uiPriority w:val="0"/>
    <w:rPr>
      <w:rFonts w:ascii="Arial" w:hAnsi="Arial" w:eastAsia="黑体"/>
      <w:kern w:val="2"/>
      <w:sz w:val="24"/>
      <w:szCs w:val="24"/>
    </w:rPr>
  </w:style>
  <w:style w:type="character" w:customStyle="1" w:styleId="1976">
    <w:name w:val="样式9 Char Char"/>
    <w:qFormat/>
    <w:uiPriority w:val="0"/>
    <w:rPr>
      <w:rFonts w:eastAsia="方正黑体简体"/>
      <w:color w:val="000000"/>
      <w:sz w:val="24"/>
      <w:szCs w:val="24"/>
    </w:rPr>
  </w:style>
  <w:style w:type="character" w:customStyle="1" w:styleId="1977">
    <w:name w:val="Char Char61"/>
    <w:qFormat/>
    <w:uiPriority w:val="0"/>
    <w:rPr>
      <w:rFonts w:ascii="宋体" w:hAnsi="宋体" w:eastAsia="宋体"/>
      <w:kern w:val="2"/>
      <w:sz w:val="18"/>
      <w:szCs w:val="18"/>
      <w:lang w:val="en-US" w:eastAsia="zh-CN" w:bidi="ar-SA"/>
    </w:rPr>
  </w:style>
  <w:style w:type="character" w:customStyle="1" w:styleId="1978">
    <w:name w:val="电子邮件签名 字符2"/>
    <w:qFormat/>
    <w:uiPriority w:val="0"/>
    <w:rPr>
      <w:sz w:val="24"/>
      <w:szCs w:val="28"/>
    </w:rPr>
  </w:style>
  <w:style w:type="character" w:customStyle="1" w:styleId="1979">
    <w:name w:val="韩要点1 Char Char"/>
    <w:qFormat/>
    <w:uiPriority w:val="0"/>
    <w:rPr>
      <w:sz w:val="28"/>
    </w:rPr>
  </w:style>
  <w:style w:type="character" w:customStyle="1" w:styleId="1980">
    <w:name w:val="电子邮件签名 Char Char"/>
    <w:qFormat/>
    <w:uiPriority w:val="0"/>
    <w:rPr>
      <w:kern w:val="2"/>
      <w:sz w:val="24"/>
    </w:rPr>
  </w:style>
  <w:style w:type="character" w:customStyle="1" w:styleId="1981">
    <w:name w:val="样式13 Char"/>
    <w:link w:val="1982"/>
    <w:qFormat/>
    <w:uiPriority w:val="0"/>
    <w:rPr>
      <w:rFonts w:ascii="黑体" w:eastAsia="黑体"/>
      <w:sz w:val="28"/>
    </w:rPr>
  </w:style>
  <w:style w:type="paragraph" w:customStyle="1" w:styleId="1982">
    <w:name w:val="样式13"/>
    <w:basedOn w:val="506"/>
    <w:link w:val="1981"/>
    <w:qFormat/>
    <w:uiPriority w:val="0"/>
    <w:pPr>
      <w:snapToGrid/>
      <w:spacing w:before="240" w:line="460" w:lineRule="exact"/>
      <w:ind w:firstLine="0"/>
    </w:pPr>
    <w:rPr>
      <w:rFonts w:ascii="黑体" w:eastAsia="黑体"/>
      <w:sz w:val="28"/>
    </w:rPr>
  </w:style>
  <w:style w:type="character" w:customStyle="1" w:styleId="1983">
    <w:name w:val="标题 1 字符3"/>
    <w:qFormat/>
    <w:uiPriority w:val="0"/>
    <w:rPr>
      <w:b/>
      <w:bCs/>
      <w:kern w:val="44"/>
      <w:sz w:val="44"/>
      <w:szCs w:val="44"/>
    </w:rPr>
  </w:style>
  <w:style w:type="character" w:customStyle="1" w:styleId="1984">
    <w:name w:val="样式14 Char"/>
    <w:link w:val="1985"/>
    <w:qFormat/>
    <w:uiPriority w:val="0"/>
    <w:rPr>
      <w:rFonts w:ascii="方正黑体简体" w:eastAsia="方正黑体简体"/>
      <w:sz w:val="24"/>
      <w:szCs w:val="21"/>
    </w:rPr>
  </w:style>
  <w:style w:type="paragraph" w:customStyle="1" w:styleId="1985">
    <w:name w:val="样式14"/>
    <w:basedOn w:val="1"/>
    <w:link w:val="1984"/>
    <w:qFormat/>
    <w:uiPriority w:val="0"/>
    <w:pPr>
      <w:topLinePunct/>
      <w:autoSpaceDE/>
      <w:autoSpaceDN/>
      <w:snapToGrid w:val="0"/>
      <w:spacing w:beforeLines="100" w:line="480" w:lineRule="exact"/>
      <w:jc w:val="center"/>
    </w:pPr>
    <w:rPr>
      <w:rFonts w:ascii="方正黑体简体" w:hAnsi="Times New Roman" w:eastAsia="方正黑体简体" w:cs="Times New Roman"/>
      <w:sz w:val="24"/>
      <w:szCs w:val="21"/>
      <w:lang w:val="en-US" w:bidi="ar-SA"/>
    </w:rPr>
  </w:style>
  <w:style w:type="character" w:customStyle="1" w:styleId="1986">
    <w:name w:val="正文首行缩进2字符 Char Char"/>
    <w:qFormat/>
    <w:uiPriority w:val="0"/>
    <w:rPr>
      <w:rFonts w:ascii="仿宋_GB2312" w:eastAsia="仿宋_GB2312"/>
      <w:kern w:val="2"/>
      <w:sz w:val="28"/>
      <w:szCs w:val="24"/>
    </w:rPr>
  </w:style>
  <w:style w:type="character" w:customStyle="1" w:styleId="1987">
    <w:name w:val="纯文本 字符3"/>
    <w:qFormat/>
    <w:uiPriority w:val="0"/>
    <w:rPr>
      <w:rFonts w:ascii="宋体" w:hAnsi="Courier New" w:eastAsia="宋体"/>
      <w:kern w:val="2"/>
      <w:sz w:val="24"/>
      <w:lang w:val="en-US" w:eastAsia="zh-CN" w:bidi="ar-SA"/>
    </w:rPr>
  </w:style>
  <w:style w:type="character" w:customStyle="1" w:styleId="1988">
    <w:name w:val="图表标题 Char Char Char1"/>
    <w:qFormat/>
    <w:uiPriority w:val="0"/>
    <w:rPr>
      <w:rFonts w:ascii="黑体" w:eastAsia="黑体"/>
      <w:kern w:val="2"/>
      <w:sz w:val="24"/>
      <w:szCs w:val="24"/>
      <w:lang w:val="en-US" w:eastAsia="zh-CN" w:bidi="ar-SA"/>
    </w:rPr>
  </w:style>
  <w:style w:type="character" w:customStyle="1" w:styleId="1989">
    <w:name w:val="正文首行缩进 字符2"/>
    <w:qFormat/>
    <w:uiPriority w:val="0"/>
    <w:rPr>
      <w:b/>
      <w:kern w:val="2"/>
      <w:sz w:val="24"/>
    </w:rPr>
  </w:style>
  <w:style w:type="character" w:customStyle="1" w:styleId="1990">
    <w:name w:val="图表标题 Char Char Char Char Char Char Char"/>
    <w:qFormat/>
    <w:uiPriority w:val="0"/>
    <w:rPr>
      <w:rFonts w:ascii="黑体" w:eastAsia="黑体"/>
      <w:kern w:val="2"/>
      <w:sz w:val="24"/>
      <w:szCs w:val="24"/>
      <w:lang w:val="en-US" w:eastAsia="zh-CN" w:bidi="ar-SA"/>
    </w:rPr>
  </w:style>
  <w:style w:type="character" w:customStyle="1" w:styleId="1991">
    <w:name w:val="Char Char101"/>
    <w:qFormat/>
    <w:uiPriority w:val="0"/>
    <w:rPr>
      <w:rFonts w:ascii="Cambria" w:hAnsi="Cambria" w:eastAsia="宋体"/>
      <w:b/>
      <w:bCs/>
      <w:kern w:val="2"/>
      <w:sz w:val="30"/>
      <w:szCs w:val="32"/>
      <w:lang w:val="en-US" w:eastAsia="zh-CN" w:bidi="ar-SA"/>
    </w:rPr>
  </w:style>
  <w:style w:type="character" w:customStyle="1" w:styleId="1992">
    <w:name w:val="表头 + 居中 Char Char Char"/>
    <w:qFormat/>
    <w:uiPriority w:val="0"/>
    <w:rPr>
      <w:rFonts w:ascii="Arial" w:hAnsi="Arial" w:eastAsia="黑体"/>
      <w:kern w:val="2"/>
      <w:sz w:val="21"/>
      <w:szCs w:val="21"/>
      <w:lang w:val="en-US" w:eastAsia="zh-CN" w:bidi="ar-SA"/>
    </w:rPr>
  </w:style>
  <w:style w:type="character" w:customStyle="1" w:styleId="1993">
    <w:name w:val="样式 标题 2 Char + Times New Roman Char"/>
    <w:link w:val="1994"/>
    <w:qFormat/>
    <w:uiPriority w:val="0"/>
    <w:rPr>
      <w:rFonts w:eastAsia="黑体"/>
      <w:kern w:val="2"/>
      <w:sz w:val="28"/>
    </w:rPr>
  </w:style>
  <w:style w:type="paragraph" w:customStyle="1" w:styleId="1994">
    <w:name w:val="样式 标题 2 Char + Times New Roman"/>
    <w:basedOn w:val="4"/>
    <w:link w:val="1993"/>
    <w:qFormat/>
    <w:uiPriority w:val="0"/>
    <w:pPr>
      <w:keepNext/>
      <w:keepLines/>
      <w:autoSpaceDE/>
      <w:autoSpaceDN/>
      <w:spacing w:before="260" w:beforeLines="50" w:after="260" w:afterLines="50" w:line="480" w:lineRule="exact"/>
      <w:ind w:left="0" w:firstLine="0"/>
      <w:jc w:val="both"/>
    </w:pPr>
    <w:rPr>
      <w:rFonts w:ascii="Times New Roman" w:hAnsi="Times New Roman" w:eastAsia="黑体" w:cs="Times New Roman"/>
      <w:kern w:val="2"/>
      <w:sz w:val="28"/>
      <w:szCs w:val="20"/>
      <w:lang w:val="en-US" w:bidi="ar-SA"/>
    </w:rPr>
  </w:style>
  <w:style w:type="character" w:customStyle="1" w:styleId="1995">
    <w:name w:val="表格sms Char Char Char"/>
    <w:qFormat/>
    <w:uiPriority w:val="0"/>
    <w:rPr>
      <w:snapToGrid/>
      <w:w w:val="99"/>
      <w:sz w:val="21"/>
      <w:szCs w:val="21"/>
      <w:lang w:val="en-US" w:eastAsia="zh-CN" w:bidi="ar-SA"/>
    </w:rPr>
  </w:style>
  <w:style w:type="character" w:customStyle="1" w:styleId="1996">
    <w:name w:val="页脚 字符2"/>
    <w:qFormat/>
    <w:uiPriority w:val="0"/>
    <w:rPr>
      <w:kern w:val="2"/>
      <w:sz w:val="18"/>
    </w:rPr>
  </w:style>
  <w:style w:type="character" w:customStyle="1" w:styleId="1997">
    <w:name w:val="样式 宋体 四号 行距: 1.5 倍行距 Char Char Char Char"/>
    <w:qFormat/>
    <w:uiPriority w:val="0"/>
    <w:rPr>
      <w:rFonts w:ascii="宋体" w:hAnsi="宋体" w:cs="宋体"/>
      <w:kern w:val="2"/>
      <w:sz w:val="28"/>
      <w:szCs w:val="28"/>
    </w:rPr>
  </w:style>
  <w:style w:type="character" w:customStyle="1" w:styleId="1998">
    <w:name w:val="标题 9 字符2"/>
    <w:qFormat/>
    <w:uiPriority w:val="0"/>
    <w:rPr>
      <w:rFonts w:ascii="Arial" w:hAnsi="Arial" w:eastAsia="黑体"/>
      <w:kern w:val="2"/>
      <w:sz w:val="21"/>
      <w:szCs w:val="21"/>
    </w:rPr>
  </w:style>
  <w:style w:type="character" w:customStyle="1" w:styleId="1999">
    <w:name w:val="正文首行缩进2字符 Char"/>
    <w:qFormat/>
    <w:uiPriority w:val="0"/>
    <w:rPr>
      <w:rFonts w:ascii="仿宋_GB2312" w:eastAsia="仿宋_GB2312"/>
      <w:kern w:val="2"/>
      <w:sz w:val="28"/>
      <w:szCs w:val="24"/>
      <w:lang w:bidi="ar-SA"/>
    </w:rPr>
  </w:style>
  <w:style w:type="character" w:customStyle="1" w:styleId="2000">
    <w:name w:val="标题 4 字符2"/>
    <w:qFormat/>
    <w:uiPriority w:val="0"/>
    <w:rPr>
      <w:rFonts w:ascii="Arial" w:hAnsi="Arial" w:eastAsia="黑体"/>
      <w:b/>
      <w:bCs/>
      <w:kern w:val="2"/>
      <w:sz w:val="28"/>
      <w:szCs w:val="28"/>
    </w:rPr>
  </w:style>
  <w:style w:type="character" w:customStyle="1" w:styleId="2001">
    <w:name w:val="样式 标题 1一级标题(章)标题 1 Char封面标题封皮 + (中文) 仿宋_GB2312 四号 左 左侧:  ... Char"/>
    <w:link w:val="2002"/>
    <w:qFormat/>
    <w:uiPriority w:val="0"/>
    <w:rPr>
      <w:rFonts w:eastAsia="黑体"/>
      <w:bCs/>
      <w:snapToGrid w:val="0"/>
      <w:kern w:val="44"/>
      <w:sz w:val="32"/>
      <w:szCs w:val="32"/>
    </w:rPr>
  </w:style>
  <w:style w:type="paragraph" w:customStyle="1" w:styleId="2002">
    <w:name w:val="样式 标题 1一级标题(章)标题 1 Char封面标题封皮 + (中文) 仿宋_GB2312 四号 左 左侧:  ..."/>
    <w:basedOn w:val="3"/>
    <w:link w:val="2001"/>
    <w:qFormat/>
    <w:uiPriority w:val="0"/>
    <w:pPr>
      <w:keepNext/>
      <w:keepLines/>
      <w:tabs>
        <w:tab w:val="left" w:pos="720"/>
      </w:tabs>
      <w:autoSpaceDE/>
      <w:autoSpaceDN/>
      <w:adjustRightInd w:val="0"/>
      <w:snapToGrid w:val="0"/>
      <w:spacing w:before="240" w:after="240" w:line="460" w:lineRule="exact"/>
      <w:ind w:left="0" w:firstLine="0"/>
      <w:jc w:val="center"/>
    </w:pPr>
    <w:rPr>
      <w:rFonts w:ascii="Times New Roman" w:hAnsi="Times New Roman" w:cs="Times New Roman"/>
      <w:bCs/>
      <w:snapToGrid w:val="0"/>
      <w:kern w:val="44"/>
      <w:sz w:val="32"/>
      <w:szCs w:val="32"/>
      <w:lang w:val="en-US" w:bidi="ar-SA"/>
    </w:rPr>
  </w:style>
  <w:style w:type="character" w:customStyle="1" w:styleId="2003">
    <w:name w:val="无间隔 Char Char"/>
    <w:link w:val="2004"/>
    <w:qFormat/>
    <w:uiPriority w:val="0"/>
    <w:rPr>
      <w:rFonts w:ascii="Calibri" w:hAnsi="Calibri" w:eastAsia="Times New Roman"/>
      <w:sz w:val="22"/>
      <w:szCs w:val="22"/>
    </w:rPr>
  </w:style>
  <w:style w:type="paragraph" w:customStyle="1" w:styleId="2004">
    <w:name w:val="无间隔2"/>
    <w:link w:val="2003"/>
    <w:qFormat/>
    <w:uiPriority w:val="0"/>
    <w:rPr>
      <w:rFonts w:ascii="Calibri" w:hAnsi="Calibri" w:eastAsia="Times New Roman" w:cs="Times New Roman"/>
      <w:sz w:val="22"/>
      <w:szCs w:val="22"/>
      <w:lang w:val="en-US" w:eastAsia="zh-CN" w:bidi="ar-SA"/>
    </w:rPr>
  </w:style>
  <w:style w:type="character" w:customStyle="1" w:styleId="2005">
    <w:name w:val="标题3T Char"/>
    <w:link w:val="2006"/>
    <w:qFormat/>
    <w:uiPriority w:val="0"/>
    <w:rPr>
      <w:snapToGrid w:val="0"/>
      <w:color w:val="000000"/>
      <w:sz w:val="24"/>
      <w:szCs w:val="24"/>
    </w:rPr>
  </w:style>
  <w:style w:type="paragraph" w:customStyle="1" w:styleId="2006">
    <w:name w:val="标题3T"/>
    <w:basedOn w:val="1"/>
    <w:next w:val="5"/>
    <w:link w:val="2005"/>
    <w:qFormat/>
    <w:uiPriority w:val="0"/>
    <w:pPr>
      <w:autoSpaceDE/>
      <w:autoSpaceDN/>
      <w:adjustRightInd w:val="0"/>
      <w:spacing w:line="440" w:lineRule="exact"/>
      <w:jc w:val="center"/>
      <w:textAlignment w:val="baseline"/>
    </w:pPr>
    <w:rPr>
      <w:rFonts w:ascii="Times New Roman" w:hAnsi="Times New Roman" w:cs="Times New Roman"/>
      <w:snapToGrid w:val="0"/>
      <w:color w:val="000000"/>
      <w:sz w:val="24"/>
      <w:szCs w:val="24"/>
      <w:lang w:val="en-US" w:bidi="ar-SA"/>
    </w:rPr>
  </w:style>
  <w:style w:type="character" w:customStyle="1" w:styleId="2007">
    <w:name w:val="正文首行缩进-修改 Char Char Char"/>
    <w:qFormat/>
    <w:uiPriority w:val="0"/>
    <w:rPr>
      <w:rFonts w:ascii="宋体" w:hAnsi="宋体" w:eastAsia="宋体"/>
      <w:kern w:val="2"/>
      <w:sz w:val="24"/>
      <w:szCs w:val="24"/>
      <w:lang w:val="en-US" w:eastAsia="zh-CN" w:bidi="ar-SA"/>
    </w:rPr>
  </w:style>
  <w:style w:type="character" w:customStyle="1" w:styleId="2008">
    <w:name w:val="正文 + 四号 Char"/>
    <w:qFormat/>
    <w:uiPriority w:val="0"/>
    <w:rPr>
      <w:rFonts w:eastAsia="宋体"/>
      <w:kern w:val="2"/>
      <w:sz w:val="28"/>
      <w:szCs w:val="28"/>
      <w:lang w:val="en-US" w:eastAsia="zh-CN" w:bidi="ar-SA"/>
    </w:rPr>
  </w:style>
  <w:style w:type="character" w:customStyle="1" w:styleId="2009">
    <w:name w:val="标题 5 字符2"/>
    <w:qFormat/>
    <w:uiPriority w:val="0"/>
    <w:rPr>
      <w:b/>
      <w:bCs/>
      <w:kern w:val="2"/>
      <w:sz w:val="28"/>
      <w:szCs w:val="28"/>
    </w:rPr>
  </w:style>
  <w:style w:type="character" w:customStyle="1" w:styleId="2010">
    <w:name w:val="样式 标题 1一级标题(章)标题 1 Char封面标题封皮 + (中文) 仿宋_GB2312 四号 左 左侧:  ... Char Char"/>
    <w:qFormat/>
    <w:uiPriority w:val="0"/>
    <w:rPr>
      <w:rFonts w:eastAsia="黑体" w:cs="宋体"/>
      <w:bCs/>
      <w:snapToGrid w:val="0"/>
      <w:kern w:val="44"/>
      <w:sz w:val="32"/>
      <w:szCs w:val="32"/>
      <w:lang w:val="en-US" w:eastAsia="zh-CN" w:bidi="ar-SA"/>
    </w:rPr>
  </w:style>
  <w:style w:type="character" w:customStyle="1" w:styleId="2011">
    <w:name w:val="正文首行缩进 2 Char Char Char"/>
    <w:qFormat/>
    <w:uiPriority w:val="0"/>
  </w:style>
  <w:style w:type="character" w:customStyle="1" w:styleId="2012">
    <w:name w:val="表格头 Char"/>
    <w:link w:val="2013"/>
    <w:qFormat/>
    <w:uiPriority w:val="0"/>
    <w:rPr>
      <w:rFonts w:ascii="Arial" w:hAnsi="Arial" w:eastAsia="黑体"/>
      <w:snapToGrid w:val="0"/>
      <w:color w:val="000000"/>
      <w:sz w:val="21"/>
      <w:szCs w:val="24"/>
    </w:rPr>
  </w:style>
  <w:style w:type="paragraph" w:customStyle="1" w:styleId="2013">
    <w:name w:val="表格头"/>
    <w:basedOn w:val="1"/>
    <w:link w:val="2012"/>
    <w:uiPriority w:val="0"/>
    <w:pPr>
      <w:keepNext/>
      <w:keepLines/>
      <w:autoSpaceDE/>
      <w:autoSpaceDN/>
      <w:adjustRightInd w:val="0"/>
      <w:snapToGrid w:val="0"/>
      <w:spacing w:beforeLines="50" w:line="400" w:lineRule="exact"/>
      <w:jc w:val="center"/>
    </w:pPr>
    <w:rPr>
      <w:rFonts w:ascii="Arial" w:hAnsi="Arial" w:eastAsia="黑体" w:cs="Times New Roman"/>
      <w:snapToGrid w:val="0"/>
      <w:color w:val="000000"/>
      <w:sz w:val="21"/>
      <w:szCs w:val="24"/>
      <w:lang w:val="en-US" w:bidi="ar-SA"/>
    </w:rPr>
  </w:style>
  <w:style w:type="character" w:customStyle="1" w:styleId="2014">
    <w:name w:val="表内5号正文 字符"/>
    <w:link w:val="2015"/>
    <w:qFormat/>
    <w:uiPriority w:val="0"/>
    <w:rPr>
      <w:color w:val="FF0000"/>
      <w:sz w:val="21"/>
      <w:szCs w:val="21"/>
    </w:rPr>
  </w:style>
  <w:style w:type="paragraph" w:customStyle="1" w:styleId="2015">
    <w:name w:val="表内5号正文"/>
    <w:basedOn w:val="1"/>
    <w:link w:val="2014"/>
    <w:qFormat/>
    <w:uiPriority w:val="0"/>
    <w:pPr>
      <w:autoSpaceDE/>
      <w:autoSpaceDN/>
      <w:spacing w:line="240" w:lineRule="exact"/>
    </w:pPr>
    <w:rPr>
      <w:rFonts w:ascii="Times New Roman" w:hAnsi="Times New Roman" w:cs="Times New Roman"/>
      <w:color w:val="FF0000"/>
      <w:sz w:val="21"/>
      <w:szCs w:val="21"/>
      <w:lang w:val="en-US" w:bidi="ar-SA"/>
    </w:rPr>
  </w:style>
  <w:style w:type="character" w:customStyle="1" w:styleId="2016">
    <w:name w:val="正文 首行缩进:  2 字符 Char"/>
    <w:link w:val="2017"/>
    <w:qFormat/>
    <w:uiPriority w:val="0"/>
    <w:rPr>
      <w:kern w:val="2"/>
      <w:sz w:val="24"/>
    </w:rPr>
  </w:style>
  <w:style w:type="paragraph" w:customStyle="1" w:styleId="2017">
    <w:name w:val="正文 首行缩进:  2 字符"/>
    <w:basedOn w:val="1"/>
    <w:link w:val="2016"/>
    <w:qFormat/>
    <w:uiPriority w:val="0"/>
    <w:pPr>
      <w:autoSpaceDE/>
      <w:autoSpaceDN/>
      <w:spacing w:line="312" w:lineRule="auto"/>
      <w:ind w:firstLine="200" w:firstLineChars="200"/>
      <w:jc w:val="both"/>
    </w:pPr>
    <w:rPr>
      <w:rFonts w:ascii="Times New Roman" w:hAnsi="Times New Roman" w:cs="Times New Roman"/>
      <w:kern w:val="2"/>
      <w:sz w:val="24"/>
      <w:szCs w:val="20"/>
      <w:lang w:val="en-US" w:bidi="ar-SA"/>
    </w:rPr>
  </w:style>
  <w:style w:type="character" w:customStyle="1" w:styleId="2018">
    <w:name w:val="datatitle1"/>
    <w:qFormat/>
    <w:uiPriority w:val="0"/>
    <w:rPr>
      <w:b/>
      <w:bCs/>
      <w:color w:val="10619F"/>
      <w:sz w:val="21"/>
      <w:szCs w:val="21"/>
    </w:rPr>
  </w:style>
  <w:style w:type="character" w:customStyle="1" w:styleId="2019">
    <w:name w:val="fontstyle31"/>
    <w:qFormat/>
    <w:uiPriority w:val="0"/>
    <w:rPr>
      <w:rFonts w:hint="default" w:ascii="TimesNewRomanPSMT" w:hAnsi="TimesNewRomanPSMT"/>
      <w:color w:val="000000"/>
      <w:sz w:val="22"/>
      <w:szCs w:val="22"/>
    </w:rPr>
  </w:style>
  <w:style w:type="character" w:customStyle="1" w:styleId="2020">
    <w:name w:val="font5 Char"/>
    <w:qFormat/>
    <w:uiPriority w:val="0"/>
    <w:rPr>
      <w:rFonts w:ascii="宋体" w:hAnsi="宋体" w:eastAsia="宋体"/>
      <w:sz w:val="18"/>
      <w:szCs w:val="18"/>
      <w:lang w:val="en-US" w:eastAsia="zh-CN" w:bidi="ar-SA"/>
    </w:rPr>
  </w:style>
  <w:style w:type="character" w:customStyle="1" w:styleId="2021">
    <w:name w:val="样式 标题 2 + 四号 Char Char"/>
    <w:qFormat/>
    <w:uiPriority w:val="0"/>
    <w:rPr>
      <w:rFonts w:eastAsia="黑体"/>
      <w:snapToGrid w:val="0"/>
      <w:sz w:val="28"/>
      <w:szCs w:val="32"/>
    </w:rPr>
  </w:style>
  <w:style w:type="character" w:customStyle="1" w:styleId="2022">
    <w:name w:val="批注文字 字符1"/>
    <w:qFormat/>
    <w:uiPriority w:val="0"/>
    <w:rPr>
      <w:kern w:val="2"/>
      <w:sz w:val="21"/>
      <w:szCs w:val="24"/>
    </w:rPr>
  </w:style>
  <w:style w:type="character" w:customStyle="1" w:styleId="2023">
    <w:name w:val="韩要点1 Char"/>
    <w:link w:val="2024"/>
    <w:qFormat/>
    <w:uiPriority w:val="0"/>
    <w:rPr>
      <w:sz w:val="28"/>
    </w:rPr>
  </w:style>
  <w:style w:type="paragraph" w:customStyle="1" w:styleId="2024">
    <w:name w:val="韩要点1"/>
    <w:basedOn w:val="18"/>
    <w:link w:val="2023"/>
    <w:qFormat/>
    <w:uiPriority w:val="0"/>
    <w:pPr>
      <w:topLinePunct w:val="0"/>
      <w:spacing w:line="240" w:lineRule="auto"/>
      <w:ind w:left="560" w:firstLine="0" w:firstLineChars="0"/>
      <w:jc w:val="both"/>
    </w:pPr>
    <w:rPr>
      <w:rFonts w:ascii="Times New Roman" w:eastAsia="宋体"/>
    </w:rPr>
  </w:style>
  <w:style w:type="character" w:customStyle="1" w:styleId="2025">
    <w:name w:val="标题2T Char"/>
    <w:qFormat/>
    <w:uiPriority w:val="0"/>
    <w:rPr>
      <w:rFonts w:ascii="宋体" w:hAnsi="宋体"/>
      <w:kern w:val="2"/>
      <w:sz w:val="21"/>
      <w:szCs w:val="21"/>
      <w:lang w:bidi="ar-SA"/>
    </w:rPr>
  </w:style>
  <w:style w:type="character" w:customStyle="1" w:styleId="2026">
    <w:name w:val="图表说明 Char Char"/>
    <w:qFormat/>
    <w:locked/>
    <w:uiPriority w:val="0"/>
    <w:rPr>
      <w:rFonts w:ascii="宋体" w:hAnsi="Courier New" w:eastAsia="宋体"/>
      <w:kern w:val="2"/>
      <w:sz w:val="21"/>
      <w:lang w:val="en-US" w:eastAsia="zh-CN" w:bidi="ar-SA"/>
    </w:rPr>
  </w:style>
  <w:style w:type="character" w:customStyle="1" w:styleId="2027">
    <w:name w:val="普通文字 Char3"/>
    <w:qFormat/>
    <w:locked/>
    <w:uiPriority w:val="0"/>
    <w:rPr>
      <w:rFonts w:ascii="宋体" w:hAnsi="Courier New" w:eastAsia="宋体"/>
      <w:kern w:val="2"/>
      <w:sz w:val="21"/>
      <w:lang w:val="en-US" w:eastAsia="zh-CN" w:bidi="ar-SA"/>
    </w:rPr>
  </w:style>
  <w:style w:type="character" w:customStyle="1" w:styleId="2028">
    <w:name w:val="样式15 Char"/>
    <w:link w:val="2029"/>
    <w:qFormat/>
    <w:uiPriority w:val="0"/>
    <w:rPr>
      <w:rFonts w:ascii="黑体" w:eastAsia="黑体"/>
      <w:sz w:val="28"/>
    </w:rPr>
  </w:style>
  <w:style w:type="paragraph" w:customStyle="1" w:styleId="2029">
    <w:name w:val="样式15"/>
    <w:basedOn w:val="506"/>
    <w:link w:val="2028"/>
    <w:qFormat/>
    <w:uiPriority w:val="0"/>
    <w:pPr>
      <w:snapToGrid/>
      <w:spacing w:before="240" w:line="460" w:lineRule="exact"/>
      <w:ind w:firstLine="0"/>
    </w:pPr>
    <w:rPr>
      <w:rFonts w:ascii="黑体" w:eastAsia="黑体"/>
      <w:sz w:val="28"/>
    </w:rPr>
  </w:style>
  <w:style w:type="character" w:customStyle="1" w:styleId="2030">
    <w:name w:val="样式 样式9 + (中文) 方正黑体简体 非加粗 段后: 0.8 行 Char"/>
    <w:link w:val="2031"/>
    <w:qFormat/>
    <w:uiPriority w:val="0"/>
    <w:rPr>
      <w:rFonts w:eastAsia="方正黑体简体"/>
      <w:kern w:val="2"/>
      <w:sz w:val="32"/>
    </w:rPr>
  </w:style>
  <w:style w:type="paragraph" w:customStyle="1" w:styleId="2031">
    <w:name w:val="样式 样式9 + (中文) 方正黑体简体 非加粗 段后: 0.8 行"/>
    <w:basedOn w:val="1424"/>
    <w:link w:val="2030"/>
    <w:qFormat/>
    <w:uiPriority w:val="0"/>
    <w:pPr>
      <w:widowControl w:val="0"/>
      <w:topLinePunct/>
      <w:adjustRightInd/>
      <w:snapToGrid/>
      <w:spacing w:beforeLines="0" w:afterLines="80" w:line="460" w:lineRule="exact"/>
      <w:jc w:val="both"/>
      <w:textAlignment w:val="auto"/>
      <w:outlineLvl w:val="9"/>
    </w:pPr>
    <w:rPr>
      <w:rFonts w:ascii="Times New Roman" w:eastAsia="方正黑体简体"/>
      <w:b w:val="0"/>
      <w:kern w:val="2"/>
      <w:sz w:val="32"/>
    </w:rPr>
  </w:style>
  <w:style w:type="character" w:customStyle="1" w:styleId="2032">
    <w:name w:val="图表标题 Char Char Char"/>
    <w:qFormat/>
    <w:uiPriority w:val="0"/>
    <w:rPr>
      <w:rFonts w:ascii="黑体" w:eastAsia="黑体"/>
      <w:kern w:val="2"/>
      <w:sz w:val="24"/>
      <w:szCs w:val="24"/>
      <w:lang w:val="en-US" w:eastAsia="zh-CN" w:bidi="ar-SA"/>
    </w:rPr>
  </w:style>
  <w:style w:type="character" w:customStyle="1" w:styleId="2033">
    <w:name w:val="图表标题 Char Char Char Char"/>
    <w:qFormat/>
    <w:uiPriority w:val="0"/>
    <w:rPr>
      <w:rFonts w:eastAsia="黑体"/>
      <w:kern w:val="2"/>
      <w:sz w:val="21"/>
      <w:szCs w:val="24"/>
      <w:lang w:val="en-US" w:eastAsia="zh-CN" w:bidi="ar-SA"/>
    </w:rPr>
  </w:style>
  <w:style w:type="character" w:customStyle="1" w:styleId="2034">
    <w:name w:val="正文－首行缩进:2 字符 Char"/>
    <w:uiPriority w:val="0"/>
    <w:rPr>
      <w:rFonts w:eastAsia="宋体" w:cs="宋体"/>
      <w:kern w:val="2"/>
      <w:sz w:val="28"/>
      <w:lang w:val="en-US" w:eastAsia="zh-CN" w:bidi="ar-SA"/>
    </w:rPr>
  </w:style>
  <w:style w:type="character" w:customStyle="1" w:styleId="2035">
    <w:name w:val="11 Char"/>
    <w:qFormat/>
    <w:uiPriority w:val="0"/>
    <w:rPr>
      <w:sz w:val="24"/>
      <w:szCs w:val="28"/>
      <w:lang w:bidi="ar-SA"/>
    </w:rPr>
  </w:style>
  <w:style w:type="character" w:customStyle="1" w:styleId="2036">
    <w:name w:val="WW-Absatz-Standardschriftart"/>
    <w:qFormat/>
    <w:uiPriority w:val="0"/>
  </w:style>
  <w:style w:type="character" w:customStyle="1" w:styleId="2037">
    <w:name w:val="正文缩进2字符 Char"/>
    <w:qFormat/>
    <w:uiPriority w:val="0"/>
    <w:rPr>
      <w:rFonts w:eastAsia="宋体"/>
      <w:kern w:val="2"/>
      <w:sz w:val="28"/>
      <w:szCs w:val="24"/>
      <w:lang w:val="en-US" w:eastAsia="zh-CN" w:bidi="ar-SA"/>
    </w:rPr>
  </w:style>
  <w:style w:type="character" w:customStyle="1" w:styleId="2038">
    <w:name w:val="正文－图表标题 Char"/>
    <w:link w:val="2039"/>
    <w:qFormat/>
    <w:uiPriority w:val="0"/>
    <w:rPr>
      <w:rFonts w:eastAsia="黑体"/>
      <w:color w:val="000000"/>
      <w:kern w:val="2"/>
      <w:sz w:val="21"/>
      <w:szCs w:val="24"/>
    </w:rPr>
  </w:style>
  <w:style w:type="paragraph" w:customStyle="1" w:styleId="2039">
    <w:name w:val="正文－图表标题"/>
    <w:basedOn w:val="1"/>
    <w:next w:val="1"/>
    <w:link w:val="2038"/>
    <w:qFormat/>
    <w:uiPriority w:val="0"/>
    <w:pPr>
      <w:autoSpaceDE/>
      <w:autoSpaceDN/>
      <w:adjustRightInd w:val="0"/>
      <w:snapToGrid w:val="0"/>
      <w:spacing w:beforeLines="50" w:afterLines="50"/>
      <w:jc w:val="center"/>
    </w:pPr>
    <w:rPr>
      <w:rFonts w:ascii="Times New Roman" w:hAnsi="Times New Roman" w:eastAsia="黑体" w:cs="Times New Roman"/>
      <w:color w:val="000000"/>
      <w:kern w:val="2"/>
      <w:sz w:val="21"/>
      <w:szCs w:val="24"/>
      <w:lang w:val="en-US" w:bidi="ar-SA"/>
    </w:rPr>
  </w:style>
  <w:style w:type="character" w:customStyle="1" w:styleId="2040">
    <w:name w:val="样式 标题 2 + 四号 Char"/>
    <w:link w:val="2041"/>
    <w:qFormat/>
    <w:uiPriority w:val="0"/>
    <w:rPr>
      <w:rFonts w:eastAsia="黑体"/>
      <w:bCs/>
      <w:snapToGrid w:val="0"/>
      <w:sz w:val="28"/>
      <w:szCs w:val="32"/>
    </w:rPr>
  </w:style>
  <w:style w:type="paragraph" w:customStyle="1" w:styleId="2041">
    <w:name w:val="样式 标题 2 + 四号"/>
    <w:basedOn w:val="4"/>
    <w:link w:val="2040"/>
    <w:qFormat/>
    <w:uiPriority w:val="0"/>
    <w:pPr>
      <w:keepNext/>
      <w:keepLines/>
      <w:autoSpaceDE/>
      <w:autoSpaceDN/>
      <w:adjustRightInd w:val="0"/>
      <w:snapToGrid w:val="0"/>
      <w:spacing w:before="240" w:after="120"/>
      <w:ind w:left="0" w:firstLine="0"/>
      <w:jc w:val="both"/>
    </w:pPr>
    <w:rPr>
      <w:rFonts w:ascii="Times New Roman" w:hAnsi="Times New Roman" w:eastAsia="黑体" w:cs="Times New Roman"/>
      <w:bCs/>
      <w:snapToGrid w:val="0"/>
      <w:sz w:val="28"/>
      <w:szCs w:val="32"/>
      <w:lang w:val="en-US" w:bidi="ar-SA"/>
    </w:rPr>
  </w:style>
  <w:style w:type="character" w:customStyle="1" w:styleId="2042">
    <w:name w:val="Char Char71"/>
    <w:qFormat/>
    <w:uiPriority w:val="0"/>
    <w:rPr>
      <w:rFonts w:eastAsia="宋体"/>
      <w:b/>
      <w:bCs/>
      <w:kern w:val="2"/>
      <w:sz w:val="32"/>
      <w:szCs w:val="32"/>
      <w:lang w:val="en-US" w:eastAsia="zh-CN" w:bidi="ar-SA"/>
    </w:rPr>
  </w:style>
  <w:style w:type="character" w:customStyle="1" w:styleId="2043">
    <w:name w:val="lmj题注 + 居中 + 黑体 Char Char"/>
    <w:link w:val="2044"/>
    <w:qFormat/>
    <w:uiPriority w:val="0"/>
    <w:rPr>
      <w:rFonts w:ascii="黑体" w:hAnsi="黑体" w:eastAsia="黑体"/>
      <w:kern w:val="2"/>
      <w:sz w:val="21"/>
    </w:rPr>
  </w:style>
  <w:style w:type="paragraph" w:customStyle="1" w:styleId="2044">
    <w:name w:val="lmj题注 + 居中 + 黑体"/>
    <w:basedOn w:val="1"/>
    <w:next w:val="1"/>
    <w:link w:val="2043"/>
    <w:qFormat/>
    <w:uiPriority w:val="0"/>
    <w:pPr>
      <w:autoSpaceDE/>
      <w:autoSpaceDN/>
      <w:spacing w:line="240" w:lineRule="exact"/>
      <w:ind w:left="560"/>
      <w:jc w:val="center"/>
    </w:pPr>
    <w:rPr>
      <w:rFonts w:ascii="黑体" w:hAnsi="黑体" w:eastAsia="黑体" w:cs="Times New Roman"/>
      <w:kern w:val="2"/>
      <w:sz w:val="21"/>
      <w:szCs w:val="20"/>
      <w:lang w:val="en-US" w:bidi="ar-SA"/>
    </w:rPr>
  </w:style>
  <w:style w:type="character" w:customStyle="1" w:styleId="2045">
    <w:name w:val="cucd-0 Char Char"/>
    <w:qFormat/>
    <w:uiPriority w:val="0"/>
    <w:rPr>
      <w:kern w:val="2"/>
      <w:sz w:val="24"/>
      <w:szCs w:val="24"/>
      <w:lang w:val="en-US" w:eastAsia="zh-CN" w:bidi="ar-SA"/>
    </w:rPr>
  </w:style>
  <w:style w:type="character" w:customStyle="1" w:styleId="2046">
    <w:name w:val="正文－首行缩进:2 字符 Char Char"/>
    <w:qFormat/>
    <w:uiPriority w:val="0"/>
    <w:rPr>
      <w:rFonts w:eastAsia="宋体" w:cs="宋体"/>
      <w:kern w:val="2"/>
      <w:sz w:val="28"/>
      <w:lang w:val="en-US" w:eastAsia="zh-CN" w:bidi="ar-SA"/>
    </w:rPr>
  </w:style>
  <w:style w:type="character" w:customStyle="1" w:styleId="2047">
    <w:name w:val="标题2T Char Char"/>
    <w:qFormat/>
    <w:uiPriority w:val="0"/>
    <w:rPr>
      <w:rFonts w:eastAsia="方正黑体简体"/>
      <w:kern w:val="2"/>
      <w:sz w:val="32"/>
      <w:szCs w:val="32"/>
      <w:lang w:val="en-US" w:eastAsia="zh-CN" w:bidi="ar-SA"/>
    </w:rPr>
  </w:style>
  <w:style w:type="character" w:customStyle="1" w:styleId="2048">
    <w:name w:val="样式 样式9 + (中文) 方正黑体简体 非加粗 段后: 0.8 行 Char Char"/>
    <w:qFormat/>
    <w:uiPriority w:val="0"/>
    <w:rPr>
      <w:rFonts w:eastAsia="方正黑体简体" w:cs="宋体"/>
      <w:kern w:val="2"/>
      <w:sz w:val="32"/>
    </w:rPr>
  </w:style>
  <w:style w:type="character" w:customStyle="1" w:styleId="2049">
    <w:name w:val="图表标题 Char Char Char Char Char Char Char Char"/>
    <w:qFormat/>
    <w:uiPriority w:val="0"/>
    <w:rPr>
      <w:rFonts w:ascii="黑体" w:eastAsia="黑体"/>
      <w:kern w:val="2"/>
      <w:sz w:val="24"/>
      <w:szCs w:val="24"/>
      <w:lang w:val="en-US" w:eastAsia="zh-CN" w:bidi="ar-SA"/>
    </w:rPr>
  </w:style>
  <w:style w:type="character" w:customStyle="1" w:styleId="2050">
    <w:name w:val="批注文字 Char Char"/>
    <w:qFormat/>
    <w:uiPriority w:val="0"/>
    <w:rPr>
      <w:rFonts w:ascii="Times New Roman" w:hAnsi="Times New Roman"/>
      <w:kern w:val="2"/>
      <w:sz w:val="21"/>
      <w:szCs w:val="24"/>
    </w:rPr>
  </w:style>
  <w:style w:type="character" w:customStyle="1" w:styleId="2051">
    <w:name w:val="样式5 Char Char"/>
    <w:qFormat/>
    <w:uiPriority w:val="0"/>
    <w:rPr>
      <w:rFonts w:eastAsia="黑体"/>
      <w:bCs/>
      <w:snapToGrid w:val="0"/>
      <w:sz w:val="28"/>
      <w:szCs w:val="28"/>
    </w:rPr>
  </w:style>
  <w:style w:type="character" w:customStyle="1" w:styleId="2052">
    <w:name w:val="样式15 Char Char"/>
    <w:qFormat/>
    <w:uiPriority w:val="0"/>
    <w:rPr>
      <w:rFonts w:ascii="方正黑体简体" w:eastAsia="方正黑体简体"/>
      <w:color w:val="000000"/>
      <w:kern w:val="2"/>
      <w:sz w:val="21"/>
      <w:szCs w:val="21"/>
      <w:lang w:val="en-US" w:eastAsia="zh-CN" w:bidi="ar-SA"/>
    </w:rPr>
  </w:style>
  <w:style w:type="character" w:customStyle="1" w:styleId="2053">
    <w:name w:val="样式12 Char Char"/>
    <w:qFormat/>
    <w:uiPriority w:val="0"/>
    <w:rPr>
      <w:rFonts w:eastAsia="方正楷体简体"/>
      <w:kern w:val="2"/>
      <w:sz w:val="28"/>
      <w:szCs w:val="28"/>
    </w:rPr>
  </w:style>
  <w:style w:type="character" w:customStyle="1" w:styleId="2054">
    <w:name w:val="正文缩进2字符 Char Char"/>
    <w:qFormat/>
    <w:uiPriority w:val="0"/>
    <w:rPr>
      <w:rFonts w:eastAsia="宋体"/>
      <w:kern w:val="2"/>
      <w:sz w:val="28"/>
      <w:szCs w:val="24"/>
      <w:lang w:val="en-US" w:eastAsia="zh-CN" w:bidi="ar-SA"/>
    </w:rPr>
  </w:style>
  <w:style w:type="character" w:customStyle="1" w:styleId="2055">
    <w:name w:val="正文－图表标题 Char Char"/>
    <w:qFormat/>
    <w:uiPriority w:val="0"/>
    <w:rPr>
      <w:rFonts w:eastAsia="黑体"/>
      <w:color w:val="000000"/>
      <w:kern w:val="2"/>
      <w:sz w:val="21"/>
      <w:szCs w:val="28"/>
    </w:rPr>
  </w:style>
  <w:style w:type="character" w:customStyle="1" w:styleId="2056">
    <w:name w:val="样式 报告名称 + 26 磅 Char"/>
    <w:uiPriority w:val="0"/>
    <w:rPr>
      <w:rFonts w:eastAsia="黑体"/>
      <w:kern w:val="2"/>
      <w:sz w:val="52"/>
    </w:rPr>
  </w:style>
  <w:style w:type="character" w:customStyle="1" w:styleId="2057">
    <w:name w:val="Char Char91"/>
    <w:qFormat/>
    <w:uiPriority w:val="0"/>
    <w:rPr>
      <w:snapToGrid w:val="0"/>
      <w:sz w:val="28"/>
      <w:szCs w:val="24"/>
    </w:rPr>
  </w:style>
  <w:style w:type="character" w:customStyle="1" w:styleId="2058">
    <w:name w:val="t_tag"/>
    <w:basedOn w:val="83"/>
    <w:qFormat/>
    <w:uiPriority w:val="0"/>
  </w:style>
  <w:style w:type="character" w:customStyle="1" w:styleId="2059">
    <w:name w:val="报告正文 Char1"/>
    <w:qFormat/>
    <w:uiPriority w:val="0"/>
    <w:rPr>
      <w:rFonts w:ascii="宋体" w:eastAsia="宋体"/>
      <w:kern w:val="2"/>
      <w:sz w:val="28"/>
      <w:szCs w:val="28"/>
      <w:lang w:val="en-US" w:eastAsia="zh-CN" w:bidi="ar-SA"/>
    </w:rPr>
  </w:style>
  <w:style w:type="character" w:customStyle="1" w:styleId="2060">
    <w:name w:val="标题 字符"/>
    <w:qFormat/>
    <w:uiPriority w:val="0"/>
    <w:rPr>
      <w:rFonts w:ascii="宋体" w:hAnsi="Courier New"/>
    </w:rPr>
  </w:style>
  <w:style w:type="character" w:customStyle="1" w:styleId="2061">
    <w:name w:val="my标题1 Char"/>
    <w:qFormat/>
    <w:uiPriority w:val="0"/>
    <w:rPr>
      <w:rFonts w:eastAsia="宋体"/>
      <w:bCs/>
      <w:kern w:val="44"/>
      <w:sz w:val="30"/>
      <w:szCs w:val="30"/>
      <w:lang w:val="en-US" w:eastAsia="zh-CN" w:bidi="ar-SA"/>
    </w:rPr>
  </w:style>
  <w:style w:type="character" w:customStyle="1" w:styleId="2062">
    <w:name w:val="批注文字 字符4"/>
    <w:uiPriority w:val="0"/>
    <w:rPr>
      <w:rFonts w:eastAsia="宋体"/>
      <w:kern w:val="2"/>
      <w:sz w:val="21"/>
      <w:szCs w:val="24"/>
      <w:lang w:bidi="ar-SA"/>
    </w:rPr>
  </w:style>
  <w:style w:type="character" w:customStyle="1" w:styleId="2063">
    <w:name w:val="正文首行缩进 Char3"/>
    <w:qFormat/>
    <w:uiPriority w:val="0"/>
    <w:rPr>
      <w:rFonts w:ascii="Times New Roman" w:hAnsi="Times New Roman" w:eastAsia="宋体" w:cs="Times New Roman"/>
      <w:sz w:val="24"/>
      <w:szCs w:val="20"/>
    </w:rPr>
  </w:style>
  <w:style w:type="character" w:customStyle="1" w:styleId="2064">
    <w:name w:val="标题2，， Char"/>
    <w:link w:val="2065"/>
    <w:qFormat/>
    <w:locked/>
    <w:uiPriority w:val="0"/>
    <w:rPr>
      <w:rFonts w:ascii="黑体" w:eastAsia="黑体"/>
      <w:bCs/>
      <w:kern w:val="44"/>
      <w:sz w:val="32"/>
      <w:szCs w:val="32"/>
    </w:rPr>
  </w:style>
  <w:style w:type="paragraph" w:customStyle="1" w:styleId="2065">
    <w:name w:val="标题2，，"/>
    <w:basedOn w:val="4"/>
    <w:link w:val="2064"/>
    <w:qFormat/>
    <w:uiPriority w:val="0"/>
    <w:pPr>
      <w:keepNext/>
      <w:keepLines/>
      <w:autoSpaceDE/>
      <w:autoSpaceDN/>
      <w:adjustRightInd w:val="0"/>
      <w:spacing w:line="360" w:lineRule="auto"/>
      <w:ind w:left="0" w:firstLine="0"/>
    </w:pPr>
    <w:rPr>
      <w:rFonts w:ascii="黑体" w:hAnsi="Times New Roman" w:eastAsia="黑体" w:cs="Times New Roman"/>
      <w:bCs/>
      <w:kern w:val="44"/>
      <w:sz w:val="32"/>
      <w:szCs w:val="32"/>
      <w:lang w:val="en-US" w:bidi="ar-SA"/>
    </w:rPr>
  </w:style>
  <w:style w:type="character" w:customStyle="1" w:styleId="2066">
    <w:name w:val="二级标题 Char2"/>
    <w:qFormat/>
    <w:uiPriority w:val="0"/>
    <w:rPr>
      <w:rFonts w:eastAsia="黑体"/>
      <w:bCs/>
      <w:snapToGrid w:val="0"/>
      <w:sz w:val="32"/>
      <w:szCs w:val="32"/>
      <w:lang w:val="en-US" w:eastAsia="zh-CN"/>
    </w:rPr>
  </w:style>
  <w:style w:type="character" w:customStyle="1" w:styleId="2067">
    <w:name w:val="报告正文 Char Char Char"/>
    <w:qFormat/>
    <w:uiPriority w:val="0"/>
    <w:rPr>
      <w:rFonts w:ascii="宋体" w:hAnsi="Times New Roman" w:eastAsia="宋体" w:cs="Times New Roman"/>
      <w:snapToGrid w:val="0"/>
      <w:kern w:val="0"/>
      <w:sz w:val="28"/>
      <w:szCs w:val="24"/>
    </w:rPr>
  </w:style>
  <w:style w:type="character" w:customStyle="1" w:styleId="2068">
    <w:name w:val="0正文 Char"/>
    <w:link w:val="2069"/>
    <w:qFormat/>
    <w:uiPriority w:val="0"/>
    <w:rPr>
      <w:rFonts w:ascii="宋体" w:hAnsi="宋体"/>
      <w:snapToGrid w:val="0"/>
      <w:kern w:val="44"/>
      <w:sz w:val="28"/>
      <w:szCs w:val="24"/>
      <w:lang w:val="zh-CN"/>
    </w:rPr>
  </w:style>
  <w:style w:type="paragraph" w:customStyle="1" w:styleId="2069">
    <w:name w:val="0正文"/>
    <w:basedOn w:val="1"/>
    <w:link w:val="2068"/>
    <w:qFormat/>
    <w:uiPriority w:val="0"/>
    <w:pPr>
      <w:autoSpaceDE/>
      <w:autoSpaceDN/>
      <w:adjustRightInd w:val="0"/>
      <w:snapToGrid w:val="0"/>
      <w:spacing w:line="360" w:lineRule="auto"/>
      <w:ind w:firstLine="200" w:firstLineChars="200"/>
      <w:jc w:val="both"/>
      <w:textAlignment w:val="baseline"/>
    </w:pPr>
    <w:rPr>
      <w:rFonts w:cs="Times New Roman"/>
      <w:snapToGrid w:val="0"/>
      <w:kern w:val="44"/>
      <w:sz w:val="28"/>
      <w:szCs w:val="24"/>
      <w:lang w:bidi="ar-SA"/>
    </w:rPr>
  </w:style>
  <w:style w:type="character" w:customStyle="1" w:styleId="2070">
    <w:name w:val="正文文字 Char2"/>
    <w:qFormat/>
    <w:uiPriority w:val="0"/>
    <w:rPr>
      <w:b/>
      <w:kern w:val="2"/>
      <w:sz w:val="24"/>
    </w:rPr>
  </w:style>
  <w:style w:type="character" w:customStyle="1" w:styleId="2071">
    <w:name w:val="h Char Char"/>
    <w:qFormat/>
    <w:uiPriority w:val="0"/>
    <w:rPr>
      <w:kern w:val="2"/>
      <w:sz w:val="18"/>
      <w:szCs w:val="18"/>
    </w:rPr>
  </w:style>
  <w:style w:type="character" w:customStyle="1" w:styleId="2072">
    <w:name w:val="批注引用1"/>
    <w:qFormat/>
    <w:uiPriority w:val="0"/>
    <w:rPr>
      <w:sz w:val="21"/>
      <w:szCs w:val="21"/>
    </w:rPr>
  </w:style>
  <w:style w:type="character" w:customStyle="1" w:styleId="2073">
    <w:name w:val="批注文字 字符"/>
    <w:qFormat/>
    <w:uiPriority w:val="0"/>
    <w:rPr>
      <w:kern w:val="2"/>
      <w:sz w:val="24"/>
    </w:rPr>
  </w:style>
  <w:style w:type="character" w:customStyle="1" w:styleId="2074">
    <w:name w:val="Char Char92"/>
    <w:qFormat/>
    <w:uiPriority w:val="0"/>
    <w:rPr>
      <w:rFonts w:ascii="Arial" w:hAnsi="Arial" w:eastAsia="黑体"/>
      <w:sz w:val="24"/>
      <w:szCs w:val="21"/>
      <w:lang w:bidi="ar-SA"/>
    </w:rPr>
  </w:style>
  <w:style w:type="character" w:customStyle="1" w:styleId="2075">
    <w:name w:val="fontstyle11"/>
    <w:qFormat/>
    <w:uiPriority w:val="0"/>
    <w:rPr>
      <w:rFonts w:hint="eastAsia" w:ascii="宋体" w:hAnsi="宋体" w:eastAsia="宋体"/>
      <w:color w:val="000000"/>
      <w:sz w:val="22"/>
      <w:szCs w:val="22"/>
    </w:rPr>
  </w:style>
  <w:style w:type="character" w:customStyle="1" w:styleId="2076">
    <w:name w:val="批注引用2"/>
    <w:qFormat/>
    <w:uiPriority w:val="0"/>
    <w:rPr>
      <w:sz w:val="21"/>
      <w:szCs w:val="21"/>
    </w:rPr>
  </w:style>
  <w:style w:type="character" w:customStyle="1" w:styleId="2077">
    <w:name w:val="正文文本 2 字符2"/>
    <w:qFormat/>
    <w:uiPriority w:val="0"/>
    <w:rPr>
      <w:kern w:val="28"/>
      <w:sz w:val="24"/>
    </w:rPr>
  </w:style>
  <w:style w:type="character" w:customStyle="1" w:styleId="2078">
    <w:name w:val="正文 + Char Char"/>
    <w:qFormat/>
    <w:uiPriority w:val="0"/>
    <w:rPr>
      <w:rFonts w:eastAsia="Times New Roman"/>
      <w:snapToGrid/>
      <w:kern w:val="24"/>
      <w:sz w:val="24"/>
      <w:szCs w:val="24"/>
      <w:lang w:val="en-US" w:eastAsia="zh-CN" w:bidi="ar-SA"/>
    </w:rPr>
  </w:style>
  <w:style w:type="character" w:customStyle="1" w:styleId="2079">
    <w:name w:val="正文首行缩进 2 字符2"/>
    <w:qFormat/>
    <w:uiPriority w:val="0"/>
    <w:rPr>
      <w:kern w:val="2"/>
      <w:sz w:val="24"/>
    </w:rPr>
  </w:style>
  <w:style w:type="character" w:customStyle="1" w:styleId="2080">
    <w:name w:val="正文文本 字符1"/>
    <w:qFormat/>
    <w:uiPriority w:val="0"/>
    <w:rPr>
      <w:rFonts w:ascii="Times New Roman" w:hAnsi="Times New Roman" w:eastAsia="宋体" w:cs="Times New Roman"/>
      <w:b/>
      <w:sz w:val="24"/>
      <w:szCs w:val="20"/>
    </w:rPr>
  </w:style>
  <w:style w:type="character" w:customStyle="1" w:styleId="2081">
    <w:name w:val="正文升平 Char Char"/>
    <w:qFormat/>
    <w:uiPriority w:val="0"/>
    <w:rPr>
      <w:rFonts w:ascii="楷体_GB2312" w:hAnsi="宋体" w:eastAsia="楷体_GB2312" w:cs="楷体_GB2312"/>
      <w:bCs/>
      <w:color w:val="000000"/>
      <w:sz w:val="28"/>
      <w:szCs w:val="28"/>
      <w:lang w:val="zh-CN"/>
    </w:rPr>
  </w:style>
  <w:style w:type="character" w:customStyle="1" w:styleId="2082">
    <w:name w:val="批注主题 字符1"/>
    <w:uiPriority w:val="0"/>
    <w:rPr>
      <w:rFonts w:ascii="Times New Roman" w:hAnsi="Times New Roman" w:eastAsia="宋体" w:cs="Times New Roman"/>
      <w:b/>
      <w:bCs/>
      <w:sz w:val="24"/>
      <w:szCs w:val="20"/>
    </w:rPr>
  </w:style>
  <w:style w:type="character" w:customStyle="1" w:styleId="2083">
    <w:name w:val="批注框文本 字符2"/>
    <w:qFormat/>
    <w:uiPriority w:val="0"/>
    <w:rPr>
      <w:kern w:val="2"/>
      <w:sz w:val="18"/>
      <w:szCs w:val="18"/>
    </w:rPr>
  </w:style>
  <w:style w:type="character" w:customStyle="1" w:styleId="2084">
    <w:name w:val="f24"/>
    <w:qFormat/>
    <w:uiPriority w:val="0"/>
  </w:style>
  <w:style w:type="character" w:customStyle="1" w:styleId="2085">
    <w:name w:val="正文文本缩进 字符3"/>
    <w:qFormat/>
    <w:uiPriority w:val="0"/>
    <w:rPr>
      <w:kern w:val="2"/>
      <w:sz w:val="24"/>
    </w:rPr>
  </w:style>
  <w:style w:type="character" w:customStyle="1" w:styleId="2086">
    <w:name w:val="标题 2 字符4"/>
    <w:qFormat/>
    <w:uiPriority w:val="0"/>
    <w:rPr>
      <w:rFonts w:ascii="宋体" w:hAnsi="Arial"/>
      <w:kern w:val="2"/>
      <w:sz w:val="28"/>
    </w:rPr>
  </w:style>
  <w:style w:type="character" w:customStyle="1" w:styleId="2087">
    <w:name w:val="批注主题 字符3"/>
    <w:qFormat/>
    <w:uiPriority w:val="0"/>
    <w:rPr>
      <w:b/>
      <w:bCs/>
      <w:kern w:val="2"/>
      <w:sz w:val="21"/>
      <w:szCs w:val="24"/>
    </w:rPr>
  </w:style>
  <w:style w:type="character" w:customStyle="1" w:styleId="2088">
    <w:name w:val="正文文本 3 字符3"/>
    <w:qFormat/>
    <w:uiPriority w:val="0"/>
    <w:rPr>
      <w:rFonts w:eastAsia="宋体"/>
      <w:kern w:val="2"/>
      <w:sz w:val="18"/>
      <w:lang w:val="en-US" w:eastAsia="zh-CN" w:bidi="ar-SA"/>
    </w:rPr>
  </w:style>
  <w:style w:type="character" w:customStyle="1" w:styleId="2089">
    <w:name w:val="文档结构图 字符1"/>
    <w:qFormat/>
    <w:uiPriority w:val="0"/>
    <w:rPr>
      <w:rFonts w:ascii="宋体"/>
      <w:kern w:val="2"/>
      <w:sz w:val="18"/>
      <w:szCs w:val="18"/>
    </w:rPr>
  </w:style>
  <w:style w:type="character" w:customStyle="1" w:styleId="2090">
    <w:name w:val="脚注文本 字符3"/>
    <w:qFormat/>
    <w:uiPriority w:val="0"/>
    <w:rPr>
      <w:kern w:val="2"/>
      <w:sz w:val="18"/>
      <w:szCs w:val="18"/>
    </w:rPr>
  </w:style>
  <w:style w:type="character" w:customStyle="1" w:styleId="2091">
    <w:name w:val="正文首行缩进 字符3"/>
    <w:qFormat/>
    <w:uiPriority w:val="0"/>
    <w:rPr>
      <w:kern w:val="2"/>
      <w:sz w:val="21"/>
      <w:szCs w:val="24"/>
    </w:rPr>
  </w:style>
  <w:style w:type="character" w:customStyle="1" w:styleId="2092">
    <w:name w:val="正文文本 字符4"/>
    <w:qFormat/>
    <w:uiPriority w:val="0"/>
    <w:rPr>
      <w:rFonts w:eastAsia="宋体"/>
      <w:b/>
      <w:kern w:val="2"/>
      <w:sz w:val="24"/>
      <w:lang w:val="en-US" w:eastAsia="zh-CN" w:bidi="ar-SA"/>
    </w:rPr>
  </w:style>
  <w:style w:type="character" w:customStyle="1" w:styleId="2093">
    <w:name w:val="正文文本缩进 2 字符3"/>
    <w:qFormat/>
    <w:uiPriority w:val="0"/>
    <w:rPr>
      <w:kern w:val="2"/>
      <w:sz w:val="24"/>
    </w:rPr>
  </w:style>
  <w:style w:type="character" w:customStyle="1" w:styleId="2094">
    <w:name w:val="页脚 字符3"/>
    <w:qFormat/>
    <w:uiPriority w:val="99"/>
    <w:rPr>
      <w:kern w:val="2"/>
      <w:sz w:val="18"/>
    </w:rPr>
  </w:style>
  <w:style w:type="character" w:customStyle="1" w:styleId="2095">
    <w:name w:val="尾注文本 字符1"/>
    <w:qFormat/>
    <w:uiPriority w:val="0"/>
    <w:rPr>
      <w:szCs w:val="24"/>
    </w:rPr>
  </w:style>
  <w:style w:type="character" w:customStyle="1" w:styleId="2096">
    <w:name w:val="无间隔 字符1"/>
    <w:uiPriority w:val="0"/>
    <w:rPr>
      <w:rFonts w:ascii="Calibri" w:hAnsi="Calibri"/>
      <w:sz w:val="22"/>
      <w:szCs w:val="22"/>
      <w:lang w:val="en-US" w:eastAsia="zh-CN" w:bidi="ar-SA"/>
    </w:rPr>
  </w:style>
  <w:style w:type="character" w:customStyle="1" w:styleId="2097">
    <w:name w:val="正5 Char Char"/>
    <w:qFormat/>
    <w:uiPriority w:val="0"/>
    <w:rPr>
      <w:rFonts w:ascii="宋体" w:eastAsia="宋体"/>
      <w:color w:val="000000"/>
      <w:kern w:val="2"/>
      <w:sz w:val="24"/>
      <w:szCs w:val="24"/>
      <w:lang w:val="en-US" w:eastAsia="zh-CN" w:bidi="ar-SA"/>
    </w:rPr>
  </w:style>
  <w:style w:type="character" w:customStyle="1" w:styleId="2098">
    <w:name w:val="表中文字 Char Char"/>
    <w:qFormat/>
    <w:uiPriority w:val="0"/>
    <w:rPr>
      <w:rFonts w:eastAsia="宋体"/>
      <w:sz w:val="21"/>
      <w:lang w:val="en-US" w:eastAsia="zh-CN" w:bidi="ar-SA"/>
    </w:rPr>
  </w:style>
  <w:style w:type="character" w:customStyle="1" w:styleId="2099">
    <w:name w:val="纯文本 字符4"/>
    <w:qFormat/>
    <w:uiPriority w:val="0"/>
    <w:rPr>
      <w:rFonts w:ascii="宋体" w:hAnsi="Courier New" w:eastAsia="宋体"/>
      <w:kern w:val="2"/>
      <w:sz w:val="21"/>
      <w:lang w:val="en-US" w:eastAsia="zh-CN" w:bidi="ar-SA"/>
    </w:rPr>
  </w:style>
  <w:style w:type="character" w:customStyle="1" w:styleId="2100">
    <w:name w:val="正文（首行缩进两字）1 Char2"/>
    <w:qFormat/>
    <w:uiPriority w:val="0"/>
    <w:rPr>
      <w:rFonts w:eastAsia="方正仿宋简体"/>
      <w:kern w:val="2"/>
      <w:sz w:val="28"/>
      <w:szCs w:val="24"/>
      <w:lang w:val="en-US" w:eastAsia="zh-CN" w:bidi="ar-SA"/>
    </w:rPr>
  </w:style>
  <w:style w:type="character" w:customStyle="1" w:styleId="2101">
    <w:name w:val="标题 1 字符4"/>
    <w:qFormat/>
    <w:uiPriority w:val="0"/>
    <w:rPr>
      <w:b/>
      <w:bCs/>
      <w:kern w:val="44"/>
      <w:sz w:val="44"/>
      <w:szCs w:val="44"/>
    </w:rPr>
  </w:style>
  <w:style w:type="character" w:customStyle="1" w:styleId="2102">
    <w:name w:val="标题 7 字符3"/>
    <w:qFormat/>
    <w:uiPriority w:val="0"/>
    <w:rPr>
      <w:b/>
      <w:kern w:val="2"/>
      <w:sz w:val="28"/>
    </w:rPr>
  </w:style>
  <w:style w:type="character" w:customStyle="1" w:styleId="2103">
    <w:name w:val="正文文本缩进 3 字符4"/>
    <w:qFormat/>
    <w:uiPriority w:val="0"/>
    <w:rPr>
      <w:kern w:val="2"/>
      <w:sz w:val="24"/>
    </w:rPr>
  </w:style>
  <w:style w:type="character" w:customStyle="1" w:styleId="2104">
    <w:name w:val="批注引用11"/>
    <w:qFormat/>
    <w:uiPriority w:val="0"/>
    <w:rPr>
      <w:sz w:val="21"/>
      <w:szCs w:val="21"/>
    </w:rPr>
  </w:style>
  <w:style w:type="character" w:customStyle="1" w:styleId="2105">
    <w:name w:val="正文文字 3 Char Char"/>
    <w:qFormat/>
    <w:uiPriority w:val="0"/>
    <w:rPr>
      <w:rFonts w:hint="default" w:ascii="Arial" w:hAnsi="Arial" w:cs="Arial"/>
      <w:kern w:val="2"/>
      <w:sz w:val="24"/>
    </w:rPr>
  </w:style>
  <w:style w:type="character" w:customStyle="1" w:styleId="2106">
    <w:name w:val="正文新 Char Char"/>
    <w:uiPriority w:val="0"/>
    <w:rPr>
      <w:rFonts w:ascii="宋体" w:hAnsi="宋体" w:eastAsia="宋体"/>
      <w:kern w:val="2"/>
      <w:sz w:val="24"/>
      <w:szCs w:val="24"/>
      <w:lang w:val="en-US" w:eastAsia="zh-CN" w:bidi="ar-SA"/>
    </w:rPr>
  </w:style>
  <w:style w:type="character" w:customStyle="1" w:styleId="2107">
    <w:name w:val="新正文 Char Char"/>
    <w:qFormat/>
    <w:uiPriority w:val="0"/>
    <w:rPr>
      <w:rFonts w:ascii="宋体" w:eastAsia="宋体"/>
      <w:kern w:val="2"/>
      <w:sz w:val="24"/>
      <w:szCs w:val="24"/>
      <w:lang w:val="en-US" w:eastAsia="zh-CN" w:bidi="ar-SA"/>
    </w:rPr>
  </w:style>
  <w:style w:type="character" w:customStyle="1" w:styleId="2108">
    <w:name w:val="标3 Char Char"/>
    <w:qFormat/>
    <w:uiPriority w:val="0"/>
    <w:rPr>
      <w:rFonts w:hint="eastAsia" w:ascii="黑体" w:hAnsi="宋体" w:eastAsia="黑体"/>
      <w:b/>
      <w:bCs/>
      <w:color w:val="000000"/>
      <w:sz w:val="24"/>
      <w:szCs w:val="24"/>
      <w:lang w:val="en-US" w:eastAsia="zh-CN" w:bidi="ar-SA"/>
    </w:rPr>
  </w:style>
  <w:style w:type="character" w:customStyle="1" w:styleId="2109">
    <w:name w:val="body text Char"/>
    <w:qFormat/>
    <w:uiPriority w:val="0"/>
    <w:rPr>
      <w:rFonts w:ascii="宋体" w:hAnsi="宋体" w:cs="宋体"/>
      <w:sz w:val="28"/>
      <w:szCs w:val="24"/>
    </w:rPr>
  </w:style>
  <w:style w:type="character" w:customStyle="1" w:styleId="2110">
    <w:name w:val="标题3T Char Char"/>
    <w:qFormat/>
    <w:uiPriority w:val="0"/>
    <w:rPr>
      <w:snapToGrid/>
      <w:color w:val="000000"/>
      <w:sz w:val="24"/>
      <w:szCs w:val="24"/>
      <w:lang w:bidi="ar-SA"/>
    </w:rPr>
  </w:style>
  <w:style w:type="character" w:customStyle="1" w:styleId="2111">
    <w:name w:val="材料正文 Char Char Char"/>
    <w:qFormat/>
    <w:uiPriority w:val="0"/>
    <w:rPr>
      <w:rFonts w:eastAsia="方正仿宋简体"/>
      <w:kern w:val="2"/>
      <w:sz w:val="24"/>
      <w:lang w:bidi="ar-SA"/>
    </w:rPr>
  </w:style>
  <w:style w:type="character" w:customStyle="1" w:styleId="2112">
    <w:name w:val="我的样式 字符"/>
    <w:link w:val="2113"/>
    <w:qFormat/>
    <w:uiPriority w:val="0"/>
    <w:rPr>
      <w:color w:val="000000"/>
      <w:kern w:val="2"/>
      <w:sz w:val="24"/>
      <w:szCs w:val="24"/>
    </w:rPr>
  </w:style>
  <w:style w:type="paragraph" w:customStyle="1" w:styleId="2113">
    <w:name w:val="我的样式"/>
    <w:basedOn w:val="1"/>
    <w:link w:val="2112"/>
    <w:qFormat/>
    <w:uiPriority w:val="0"/>
    <w:pPr>
      <w:autoSpaceDE/>
      <w:autoSpaceDN/>
      <w:spacing w:line="500" w:lineRule="exact"/>
      <w:ind w:firstLine="200" w:firstLineChars="200"/>
      <w:jc w:val="both"/>
    </w:pPr>
    <w:rPr>
      <w:rFonts w:ascii="Times New Roman" w:hAnsi="Times New Roman" w:cs="Times New Roman"/>
      <w:color w:val="000000"/>
      <w:kern w:val="2"/>
      <w:sz w:val="24"/>
      <w:szCs w:val="24"/>
      <w:lang w:val="en-US" w:bidi="ar-SA"/>
    </w:rPr>
  </w:style>
  <w:style w:type="character" w:customStyle="1" w:styleId="2114">
    <w:name w:val="样式9 Char Char Char"/>
    <w:qFormat/>
    <w:uiPriority w:val="0"/>
    <w:rPr>
      <w:rFonts w:ascii="黑体" w:eastAsia="黑体"/>
      <w:sz w:val="28"/>
      <w:lang w:bidi="ar-SA"/>
    </w:rPr>
  </w:style>
  <w:style w:type="character" w:customStyle="1" w:styleId="2115">
    <w:name w:val="正文首行缩进 字符"/>
    <w:qFormat/>
    <w:uiPriority w:val="0"/>
  </w:style>
  <w:style w:type="character" w:customStyle="1" w:styleId="2116">
    <w:name w:val="内容1 Char Char"/>
    <w:qFormat/>
    <w:uiPriority w:val="0"/>
    <w:rPr>
      <w:rFonts w:hAnsi="宋体"/>
      <w:sz w:val="28"/>
      <w:szCs w:val="28"/>
      <w:lang w:val="en-US" w:eastAsia="zh-CN" w:bidi="ar-SA"/>
    </w:rPr>
  </w:style>
  <w:style w:type="character" w:customStyle="1" w:styleId="2117">
    <w:name w:val="标题 6 字符1"/>
    <w:qFormat/>
    <w:uiPriority w:val="0"/>
    <w:rPr>
      <w:rFonts w:ascii="Arial" w:hAnsi="Arial" w:eastAsia="黑体"/>
      <w:b/>
      <w:bCs/>
      <w:kern w:val="2"/>
      <w:sz w:val="24"/>
      <w:szCs w:val="24"/>
    </w:rPr>
  </w:style>
  <w:style w:type="character" w:customStyle="1" w:styleId="2118">
    <w:name w:val="页脚 Char Char"/>
    <w:qFormat/>
    <w:uiPriority w:val="0"/>
    <w:rPr>
      <w:kern w:val="2"/>
      <w:sz w:val="18"/>
    </w:rPr>
  </w:style>
  <w:style w:type="character" w:customStyle="1" w:styleId="2119">
    <w:name w:val="表头-文字 Char Char"/>
    <w:qFormat/>
    <w:uiPriority w:val="0"/>
    <w:rPr>
      <w:b/>
      <w:kern w:val="24"/>
      <w:sz w:val="24"/>
      <w:szCs w:val="22"/>
      <w:lang w:bidi="ar-SA"/>
    </w:rPr>
  </w:style>
  <w:style w:type="character" w:customStyle="1" w:styleId="2120">
    <w:name w:val="标题4，， Char Char"/>
    <w:qFormat/>
    <w:uiPriority w:val="0"/>
    <w:rPr>
      <w:rFonts w:ascii="宋体" w:hAnsi="宋体" w:eastAsia="宋体"/>
      <w:kern w:val="2"/>
      <w:sz w:val="24"/>
      <w:lang w:bidi="ar-SA"/>
    </w:rPr>
  </w:style>
  <w:style w:type="character" w:customStyle="1" w:styleId="2121">
    <w:name w:val="标题 6 字符"/>
    <w:qFormat/>
    <w:uiPriority w:val="0"/>
    <w:rPr>
      <w:rFonts w:ascii="等线 Light" w:hAnsi="等线 Light" w:eastAsia="等线 Light" w:cs="Times New Roman"/>
      <w:b/>
      <w:bCs/>
      <w:kern w:val="2"/>
      <w:sz w:val="24"/>
      <w:szCs w:val="24"/>
    </w:rPr>
  </w:style>
  <w:style w:type="character" w:customStyle="1" w:styleId="2122">
    <w:name w:val="标题 字符3"/>
    <w:qFormat/>
    <w:uiPriority w:val="0"/>
    <w:rPr>
      <w:rFonts w:ascii="宋体" w:hAnsi="Courier New"/>
    </w:rPr>
  </w:style>
  <w:style w:type="character" w:customStyle="1" w:styleId="2123">
    <w:name w:val="批注主题 字符"/>
    <w:qFormat/>
    <w:uiPriority w:val="0"/>
    <w:rPr>
      <w:b/>
      <w:bCs/>
      <w:kern w:val="2"/>
      <w:sz w:val="24"/>
    </w:rPr>
  </w:style>
  <w:style w:type="character" w:customStyle="1" w:styleId="2124">
    <w:name w:val="标题 Char Char"/>
    <w:qFormat/>
    <w:uiPriority w:val="0"/>
    <w:rPr>
      <w:rFonts w:hint="eastAsia" w:ascii="宋体" w:hAnsi="Courier New" w:eastAsia="宋体"/>
      <w:kern w:val="2"/>
      <w:sz w:val="21"/>
    </w:rPr>
  </w:style>
  <w:style w:type="character" w:customStyle="1" w:styleId="2125">
    <w:name w:val="标题 1 字符1"/>
    <w:qFormat/>
    <w:uiPriority w:val="0"/>
    <w:rPr>
      <w:b/>
      <w:bCs/>
      <w:kern w:val="44"/>
      <w:sz w:val="44"/>
      <w:szCs w:val="44"/>
    </w:rPr>
  </w:style>
  <w:style w:type="character" w:customStyle="1" w:styleId="2126">
    <w:name w:val="批注引用3"/>
    <w:qFormat/>
    <w:uiPriority w:val="0"/>
    <w:rPr>
      <w:sz w:val="21"/>
      <w:szCs w:val="21"/>
    </w:rPr>
  </w:style>
  <w:style w:type="character" w:customStyle="1" w:styleId="2127">
    <w:name w:val="普通文字 Char4"/>
    <w:qFormat/>
    <w:uiPriority w:val="0"/>
    <w:rPr>
      <w:rFonts w:hint="eastAsia" w:ascii="宋体" w:hAnsi="Courier New" w:eastAsia="宋体"/>
      <w:kern w:val="2"/>
      <w:sz w:val="21"/>
      <w:lang w:val="en-US" w:eastAsia="zh-CN"/>
    </w:rPr>
  </w:style>
  <w:style w:type="character" w:customStyle="1" w:styleId="2128">
    <w:name w:val="标题 9 Char1"/>
    <w:uiPriority w:val="0"/>
    <w:rPr>
      <w:rFonts w:hint="default" w:ascii="Cambria" w:hAnsi="Cambria" w:eastAsia="宋体" w:cs="Times New Roman"/>
      <w:sz w:val="21"/>
      <w:szCs w:val="21"/>
    </w:rPr>
  </w:style>
  <w:style w:type="character" w:customStyle="1" w:styleId="2129">
    <w:name w:val="正文首行缩进 Char1"/>
    <w:qFormat/>
    <w:uiPriority w:val="0"/>
  </w:style>
  <w:style w:type="character" w:customStyle="1" w:styleId="2130">
    <w:name w:val="电子邮件签名 字符4"/>
    <w:qFormat/>
    <w:uiPriority w:val="0"/>
    <w:rPr>
      <w:snapToGrid/>
      <w:sz w:val="24"/>
      <w:szCs w:val="28"/>
    </w:rPr>
  </w:style>
  <w:style w:type="character" w:customStyle="1" w:styleId="2131">
    <w:name w:val="日期 字符1"/>
    <w:qFormat/>
    <w:uiPriority w:val="0"/>
    <w:rPr>
      <w:rFonts w:ascii="宋体" w:hAnsi="Times New Roman" w:eastAsia="宋体" w:cs="Times New Roman"/>
      <w:szCs w:val="20"/>
    </w:rPr>
  </w:style>
  <w:style w:type="character" w:customStyle="1" w:styleId="2132">
    <w:name w:val="正文首行缩进 字符1"/>
    <w:qFormat/>
    <w:uiPriority w:val="0"/>
    <w:rPr>
      <w:rFonts w:ascii="Times New Roman" w:hAnsi="Times New Roman" w:eastAsia="宋体" w:cs="Times New Roman"/>
      <w:sz w:val="24"/>
      <w:szCs w:val="20"/>
    </w:rPr>
  </w:style>
  <w:style w:type="character" w:customStyle="1" w:styleId="2133">
    <w:name w:val="OK 修改正文 Char Char"/>
    <w:link w:val="2134"/>
    <w:qFormat/>
    <w:uiPriority w:val="0"/>
    <w:rPr>
      <w:rFonts w:ascii="宋体" w:hAnsi="宋体"/>
      <w:sz w:val="24"/>
      <w:u w:val="single"/>
    </w:rPr>
  </w:style>
  <w:style w:type="paragraph" w:customStyle="1" w:styleId="2134">
    <w:name w:val="OK 修改正文"/>
    <w:basedOn w:val="1"/>
    <w:link w:val="2133"/>
    <w:qFormat/>
    <w:uiPriority w:val="0"/>
    <w:pPr>
      <w:autoSpaceDE/>
      <w:autoSpaceDN/>
      <w:spacing w:line="300" w:lineRule="auto"/>
      <w:ind w:firstLine="480" w:firstLineChars="200"/>
      <w:jc w:val="both"/>
    </w:pPr>
    <w:rPr>
      <w:rFonts w:cs="Times New Roman"/>
      <w:sz w:val="24"/>
      <w:szCs w:val="20"/>
      <w:u w:val="single"/>
      <w:lang w:val="en-US" w:bidi="ar-SA"/>
    </w:rPr>
  </w:style>
  <w:style w:type="character" w:customStyle="1" w:styleId="2135">
    <w:name w:val="正文文本 字符3"/>
    <w:qFormat/>
    <w:uiPriority w:val="0"/>
    <w:rPr>
      <w:b/>
      <w:kern w:val="2"/>
      <w:sz w:val="24"/>
    </w:rPr>
  </w:style>
  <w:style w:type="paragraph" w:customStyle="1" w:styleId="2136">
    <w:name w:val="标题标题"/>
    <w:basedOn w:val="1"/>
    <w:next w:val="1"/>
    <w:qFormat/>
    <w:uiPriority w:val="0"/>
    <w:pPr>
      <w:widowControl/>
      <w:adjustRightInd w:val="0"/>
      <w:snapToGrid w:val="0"/>
      <w:spacing w:beforeLines="50" w:afterLines="50"/>
      <w:jc w:val="center"/>
    </w:pPr>
    <w:rPr>
      <w:rFonts w:cs="Times New Roman"/>
      <w:kern w:val="11"/>
      <w:sz w:val="28"/>
      <w:szCs w:val="28"/>
      <w:lang w:val="en-US" w:bidi="ar-SA"/>
    </w:rPr>
  </w:style>
  <w:style w:type="paragraph" w:customStyle="1" w:styleId="2137">
    <w:name w:val="引文目录标题2"/>
    <w:basedOn w:val="1"/>
    <w:next w:val="1"/>
    <w:qFormat/>
    <w:uiPriority w:val="0"/>
    <w:pPr>
      <w:autoSpaceDE/>
      <w:autoSpaceDN/>
      <w:spacing w:before="120" w:line="480" w:lineRule="exact"/>
      <w:jc w:val="both"/>
    </w:pPr>
    <w:rPr>
      <w:rFonts w:ascii="Arial" w:hAnsi="Arial" w:cs="Arial"/>
      <w:kern w:val="2"/>
      <w:sz w:val="24"/>
      <w:szCs w:val="24"/>
      <w:lang w:val="en-US" w:bidi="ar-SA"/>
    </w:rPr>
  </w:style>
  <w:style w:type="paragraph" w:customStyle="1" w:styleId="2138">
    <w:name w:val="样式 标题 3"/>
    <w:basedOn w:val="5"/>
    <w:qFormat/>
    <w:uiPriority w:val="0"/>
    <w:pPr>
      <w:keepNext/>
      <w:keepLines/>
      <w:autoSpaceDE/>
      <w:autoSpaceDN/>
      <w:adjustRightInd w:val="0"/>
      <w:snapToGrid w:val="0"/>
      <w:spacing w:before="120" w:after="120" w:line="480" w:lineRule="exact"/>
      <w:ind w:left="0" w:firstLine="0"/>
      <w:jc w:val="both"/>
    </w:pPr>
    <w:rPr>
      <w:rFonts w:ascii="Times New Roman" w:hAnsi="Times New Roman" w:eastAsia="方正黑体简体" w:cs="Times New Roman"/>
      <w:bCs w:val="0"/>
      <w:kern w:val="2"/>
      <w:sz w:val="30"/>
      <w:szCs w:val="30"/>
      <w:lang w:val="en-US" w:bidi="ar-SA"/>
    </w:rPr>
  </w:style>
  <w:style w:type="paragraph" w:customStyle="1" w:styleId="2139">
    <w:name w:val="报告名称 +"/>
    <w:basedOn w:val="1798"/>
    <w:qFormat/>
    <w:uiPriority w:val="0"/>
    <w:pPr>
      <w:spacing w:beforeLines="50" w:afterLines="50"/>
    </w:pPr>
    <w:rPr>
      <w:rFonts w:hint="eastAsia" w:ascii="黑体" w:hAnsi="黑体" w:cs="宋体"/>
      <w:sz w:val="52"/>
      <w:szCs w:val="24"/>
    </w:rPr>
  </w:style>
  <w:style w:type="paragraph" w:customStyle="1" w:styleId="2140">
    <w:name w:val="样式31"/>
    <w:basedOn w:val="1"/>
    <w:qFormat/>
    <w:uiPriority w:val="0"/>
    <w:pPr>
      <w:autoSpaceDE/>
      <w:autoSpaceDN/>
      <w:adjustRightInd w:val="0"/>
      <w:snapToGrid w:val="0"/>
      <w:spacing w:line="480" w:lineRule="exact"/>
      <w:ind w:firstLine="560" w:firstLineChars="200"/>
      <w:jc w:val="center"/>
    </w:pPr>
    <w:rPr>
      <w:rFonts w:ascii="Times New Roman" w:hAnsi="Times New Roman" w:cs="Times New Roman"/>
      <w:snapToGrid w:val="0"/>
      <w:sz w:val="28"/>
      <w:szCs w:val="28"/>
      <w:lang w:val="en-US" w:bidi="ar-SA"/>
    </w:rPr>
  </w:style>
  <w:style w:type="paragraph" w:customStyle="1" w:styleId="2141">
    <w:name w:val="样式 样式 样式5 + 段前: 0.5 行 段后: 0.3 行 + 段前: 0.5 行 段后: 0.3 行"/>
    <w:basedOn w:val="2142"/>
    <w:qFormat/>
    <w:uiPriority w:val="0"/>
    <w:pPr>
      <w:spacing w:before="120" w:afterLines="0"/>
    </w:pPr>
  </w:style>
  <w:style w:type="paragraph" w:customStyle="1" w:styleId="2142">
    <w:name w:val="样式 样式5 + 段前: 0.5 行 段后: 0.3 行"/>
    <w:basedOn w:val="1176"/>
    <w:qFormat/>
    <w:uiPriority w:val="0"/>
    <w:pPr>
      <w:topLinePunct/>
      <w:adjustRightInd/>
      <w:snapToGrid/>
      <w:spacing w:before="200" w:after="200" w:afterLines="30" w:line="240" w:lineRule="auto"/>
      <w:ind w:firstLine="0"/>
      <w:jc w:val="center"/>
      <w:textAlignment w:val="auto"/>
    </w:pPr>
    <w:rPr>
      <w:rFonts w:hint="eastAsia" w:ascii="方正黑体简体" w:hAnsi="Arial" w:eastAsia="方正黑体简体"/>
      <w:snapToGrid w:val="0"/>
      <w:szCs w:val="28"/>
    </w:rPr>
  </w:style>
  <w:style w:type="character" w:customStyle="1" w:styleId="2143">
    <w:name w:val="宏文本 Char2"/>
    <w:basedOn w:val="83"/>
    <w:link w:val="2"/>
    <w:qFormat/>
    <w:uiPriority w:val="0"/>
    <w:rPr>
      <w:rFonts w:ascii="Courier New" w:hAnsi="Courier New" w:cs="Courier New"/>
      <w:kern w:val="2"/>
      <w:sz w:val="24"/>
      <w:szCs w:val="24"/>
    </w:rPr>
  </w:style>
  <w:style w:type="paragraph" w:customStyle="1" w:styleId="2144">
    <w:name w:val="环保表内字（六号）"/>
    <w:basedOn w:val="1698"/>
    <w:qFormat/>
    <w:uiPriority w:val="0"/>
    <w:pPr>
      <w:tabs>
        <w:tab w:val="clear" w:pos="540"/>
        <w:tab w:val="clear" w:pos="4095"/>
      </w:tabs>
      <w:topLinePunct w:val="0"/>
      <w:adjustRightInd w:val="0"/>
      <w:snapToGrid w:val="0"/>
      <w:spacing w:line="0" w:lineRule="atLeast"/>
    </w:pPr>
    <w:rPr>
      <w:rFonts w:ascii="Calibri" w:hAnsi="Calibri" w:cs="Times New Roman"/>
      <w:kern w:val="0"/>
      <w:sz w:val="15"/>
    </w:rPr>
  </w:style>
  <w:style w:type="paragraph" w:customStyle="1" w:styleId="2145">
    <w:name w:val="xl2126"/>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4"/>
      <w:szCs w:val="24"/>
      <w:lang w:val="en-US" w:bidi="ar-SA"/>
    </w:rPr>
  </w:style>
  <w:style w:type="paragraph" w:customStyle="1" w:styleId="2146">
    <w:name w:val="xl182"/>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color w:val="000000"/>
      <w:sz w:val="20"/>
      <w:szCs w:val="20"/>
      <w:lang w:val="en-US" w:bidi="ar-SA"/>
    </w:rPr>
  </w:style>
  <w:style w:type="paragraph" w:customStyle="1" w:styleId="2147">
    <w:name w:val="Знак Знак12"/>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2148">
    <w:name w:val="样式27"/>
    <w:basedOn w:val="1"/>
    <w:qFormat/>
    <w:uiPriority w:val="0"/>
    <w:pPr>
      <w:autoSpaceDE/>
      <w:autoSpaceDN/>
      <w:adjustRightInd w:val="0"/>
      <w:snapToGrid w:val="0"/>
      <w:spacing w:line="480" w:lineRule="exact"/>
      <w:ind w:firstLine="700" w:firstLineChars="250"/>
      <w:jc w:val="both"/>
    </w:pPr>
    <w:rPr>
      <w:rFonts w:ascii="Times New Roman" w:hAnsi="Times New Roman" w:cs="Times New Roman"/>
      <w:snapToGrid w:val="0"/>
      <w:sz w:val="28"/>
      <w:szCs w:val="28"/>
      <w:lang w:val="en-US" w:bidi="ar-SA"/>
    </w:rPr>
  </w:style>
  <w:style w:type="paragraph" w:customStyle="1" w:styleId="2149">
    <w:name w:val="索引 32"/>
    <w:basedOn w:val="1"/>
    <w:next w:val="1"/>
    <w:qFormat/>
    <w:uiPriority w:val="0"/>
    <w:pPr>
      <w:autoSpaceDE/>
      <w:autoSpaceDN/>
      <w:spacing w:line="480" w:lineRule="exact"/>
      <w:ind w:left="400" w:leftChars="400"/>
      <w:jc w:val="both"/>
    </w:pPr>
    <w:rPr>
      <w:rFonts w:ascii="Times New Roman" w:hAnsi="Times New Roman" w:cs="Times New Roman"/>
      <w:kern w:val="2"/>
      <w:sz w:val="24"/>
      <w:szCs w:val="24"/>
      <w:lang w:val="en-US" w:bidi="ar-SA"/>
    </w:rPr>
  </w:style>
  <w:style w:type="paragraph" w:customStyle="1" w:styleId="2150">
    <w:name w:val="表格文字居中（五号）"/>
    <w:basedOn w:val="1213"/>
    <w:qFormat/>
    <w:uiPriority w:val="0"/>
    <w:pPr>
      <w:adjustRightInd w:val="0"/>
      <w:spacing w:line="400" w:lineRule="exact"/>
      <w:ind w:firstLine="480" w:firstLineChars="0"/>
    </w:pPr>
    <w:rPr>
      <w:rFonts w:ascii="Verdana" w:hAnsi="Verdana" w:eastAsia="宋体" w:cs="Times New Roman"/>
      <w:kern w:val="0"/>
      <w:sz w:val="21"/>
      <w:szCs w:val="24"/>
    </w:rPr>
  </w:style>
  <w:style w:type="paragraph" w:customStyle="1" w:styleId="2151">
    <w:name w:val="Char Char Char Char Char Char Char Char Char Char3"/>
    <w:basedOn w:val="1"/>
    <w:qFormat/>
    <w:uiPriority w:val="0"/>
    <w:pPr>
      <w:widowControl/>
      <w:autoSpaceDE/>
      <w:autoSpaceDN/>
    </w:pPr>
    <w:rPr>
      <w:sz w:val="24"/>
      <w:szCs w:val="21"/>
      <w:lang w:val="en-US" w:bidi="ar-SA"/>
    </w:rPr>
  </w:style>
  <w:style w:type="paragraph" w:customStyle="1" w:styleId="2152">
    <w:name w:val="Char Char Char Char Char Char Char Char Char Char Char Char Char1"/>
    <w:basedOn w:val="1"/>
    <w:qFormat/>
    <w:uiPriority w:val="0"/>
    <w:pPr>
      <w:autoSpaceDE/>
      <w:autoSpaceDN/>
      <w:adjustRightInd w:val="0"/>
      <w:spacing w:line="360" w:lineRule="auto"/>
      <w:jc w:val="both"/>
    </w:pPr>
    <w:rPr>
      <w:rFonts w:ascii="Times New Roman" w:hAnsi="Times New Roman" w:cs="Times New Roman"/>
      <w:sz w:val="24"/>
      <w:szCs w:val="24"/>
      <w:lang w:val="en-US" w:bidi="ar-SA"/>
    </w:rPr>
  </w:style>
  <w:style w:type="paragraph" w:customStyle="1" w:styleId="2153">
    <w:name w:val="样式 样式5 + 段前: 0.5 行 段后: 0.3 行1"/>
    <w:basedOn w:val="1176"/>
    <w:qFormat/>
    <w:uiPriority w:val="0"/>
    <w:pPr>
      <w:topLinePunct/>
      <w:adjustRightInd/>
      <w:snapToGrid/>
      <w:spacing w:before="200" w:beforeLines="20" w:after="200" w:afterLines="30" w:line="240" w:lineRule="auto"/>
      <w:ind w:firstLine="0"/>
      <w:jc w:val="center"/>
      <w:textAlignment w:val="auto"/>
    </w:pPr>
    <w:rPr>
      <w:rFonts w:hint="eastAsia" w:ascii="方正黑体简体" w:hAnsi="Arial" w:eastAsia="方正黑体简体"/>
      <w:snapToGrid w:val="0"/>
      <w:kern w:val="2"/>
      <w:szCs w:val="28"/>
    </w:rPr>
  </w:style>
  <w:style w:type="paragraph" w:customStyle="1" w:styleId="2154">
    <w:name w:val="样式 (中文) 方正黑体简体 居中"/>
    <w:basedOn w:val="1"/>
    <w:qFormat/>
    <w:uiPriority w:val="0"/>
    <w:pPr>
      <w:autoSpaceDE/>
      <w:autoSpaceDN/>
      <w:snapToGrid w:val="0"/>
      <w:spacing w:beforeLines="100" w:line="480" w:lineRule="exact"/>
      <w:jc w:val="center"/>
    </w:pPr>
    <w:rPr>
      <w:rFonts w:ascii="Times New Roman" w:hAnsi="Times New Roman" w:eastAsia="方正黑体简体"/>
      <w:sz w:val="24"/>
      <w:szCs w:val="20"/>
      <w:lang w:val="en-US" w:bidi="ar-SA"/>
    </w:rPr>
  </w:style>
  <w:style w:type="paragraph" w:customStyle="1" w:styleId="2155">
    <w:name w:val="xl179"/>
    <w:basedOn w:val="1"/>
    <w:qFormat/>
    <w:uiPriority w:val="0"/>
    <w:pPr>
      <w:widowControl/>
      <w:shd w:val="clear" w:color="auto" w:fill="FF8080"/>
      <w:autoSpaceDE/>
      <w:autoSpaceDN/>
      <w:spacing w:before="100" w:beforeAutospacing="1" w:after="100" w:afterAutospacing="1"/>
    </w:pPr>
    <w:rPr>
      <w:rFonts w:ascii="方正综艺简体" w:eastAsia="方正综艺简体"/>
      <w:color w:val="000000"/>
      <w:sz w:val="20"/>
      <w:szCs w:val="20"/>
      <w:lang w:val="en-US" w:bidi="ar-SA"/>
    </w:rPr>
  </w:style>
  <w:style w:type="paragraph" w:customStyle="1" w:styleId="2156">
    <w:name w:val="xl173"/>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157">
    <w:name w:val="样式 样式 标题 7 + 首行缩进:  2 字符1 + 首行缩进:  2 字符"/>
    <w:basedOn w:val="2158"/>
    <w:qFormat/>
    <w:uiPriority w:val="0"/>
    <w:pPr>
      <w:tabs>
        <w:tab w:val="left" w:pos="425"/>
      </w:tabs>
      <w:spacing w:before="100"/>
    </w:pPr>
  </w:style>
  <w:style w:type="paragraph" w:customStyle="1" w:styleId="2158">
    <w:name w:val="样式 标题 7 + 首行缩进:  2 字符1"/>
    <w:basedOn w:val="9"/>
    <w:qFormat/>
    <w:uiPriority w:val="0"/>
    <w:pPr>
      <w:keepLines/>
      <w:tabs>
        <w:tab w:val="left" w:pos="425"/>
        <w:tab w:val="clear" w:pos="360"/>
      </w:tabs>
      <w:snapToGrid w:val="0"/>
      <w:spacing w:before="60" w:after="64" w:line="360" w:lineRule="auto"/>
      <w:ind w:left="0" w:firstLine="562" w:firstLineChars="200"/>
    </w:pPr>
    <w:rPr>
      <w:rFonts w:ascii="宋体" w:hAnsi="宋体" w:cs="宋体"/>
      <w:color w:val="000000"/>
      <w:kern w:val="0"/>
      <w:szCs w:val="20"/>
    </w:rPr>
  </w:style>
  <w:style w:type="paragraph" w:customStyle="1" w:styleId="2159">
    <w:name w:val="xl165"/>
    <w:basedOn w:val="1"/>
    <w:qFormat/>
    <w:uiPriority w:val="0"/>
    <w:pPr>
      <w:widowControl/>
      <w:pBdr>
        <w:top w:val="single" w:color="auto" w:sz="4" w:space="0"/>
        <w:left w:val="single" w:color="auto" w:sz="4" w:space="0"/>
        <w:bottom w:val="single" w:color="auto" w:sz="4" w:space="0"/>
        <w:right w:val="single" w:color="auto" w:sz="4" w:space="0"/>
      </w:pBdr>
      <w:shd w:val="clear" w:color="auto" w:fill="FFFF00"/>
      <w:autoSpaceDE/>
      <w:autoSpaceDN/>
      <w:spacing w:before="100" w:beforeAutospacing="1" w:after="100" w:afterAutospacing="1"/>
      <w:jc w:val="center"/>
    </w:pPr>
    <w:rPr>
      <w:color w:val="000000"/>
      <w:sz w:val="20"/>
      <w:szCs w:val="20"/>
      <w:lang w:val="en-US" w:bidi="ar-SA"/>
    </w:rPr>
  </w:style>
  <w:style w:type="paragraph" w:customStyle="1" w:styleId="2160">
    <w:name w:val="xl161"/>
    <w:basedOn w:val="1"/>
    <w:qFormat/>
    <w:uiPriority w:val="0"/>
    <w:pPr>
      <w:widowControl/>
      <w:autoSpaceDE/>
      <w:autoSpaceDN/>
      <w:spacing w:before="100" w:beforeAutospacing="1" w:after="100" w:afterAutospacing="1"/>
      <w:jc w:val="center"/>
    </w:pPr>
    <w:rPr>
      <w:color w:val="000000"/>
      <w:sz w:val="20"/>
      <w:szCs w:val="20"/>
      <w:lang w:val="en-US" w:bidi="ar-SA"/>
    </w:rPr>
  </w:style>
  <w:style w:type="paragraph" w:customStyle="1" w:styleId="2161">
    <w:name w:val="xl312"/>
    <w:basedOn w:val="1"/>
    <w:uiPriority w:val="0"/>
    <w:pPr>
      <w:widowControl/>
      <w:pBdr>
        <w:top w:val="single" w:color="auto" w:sz="4" w:space="0"/>
        <w:left w:val="single" w:color="auto" w:sz="4" w:space="0"/>
      </w:pBdr>
      <w:shd w:val="clear" w:color="auto" w:fill="FFCC00"/>
      <w:autoSpaceDE/>
      <w:autoSpaceDN/>
      <w:spacing w:before="100" w:beforeAutospacing="1" w:after="100" w:afterAutospacing="1"/>
      <w:jc w:val="center"/>
    </w:pPr>
    <w:rPr>
      <w:rFonts w:ascii="方正综艺简体" w:eastAsia="方正综艺简体"/>
      <w:color w:val="000000"/>
      <w:sz w:val="20"/>
      <w:szCs w:val="20"/>
      <w:lang w:val="en-US" w:bidi="ar-SA"/>
    </w:rPr>
  </w:style>
  <w:style w:type="paragraph" w:customStyle="1" w:styleId="2162">
    <w:name w:val="图表标题 Char Char Char Char Char Char"/>
    <w:basedOn w:val="1"/>
    <w:next w:val="1"/>
    <w:qFormat/>
    <w:uiPriority w:val="0"/>
    <w:pPr>
      <w:autoSpaceDE/>
      <w:autoSpaceDN/>
      <w:adjustRightInd w:val="0"/>
      <w:snapToGrid w:val="0"/>
      <w:ind w:left="1120"/>
      <w:jc w:val="center"/>
    </w:pPr>
    <w:rPr>
      <w:rFonts w:ascii="黑体" w:hAnsi="Times New Roman" w:eastAsia="黑体" w:cs="Times New Roman"/>
      <w:kern w:val="2"/>
      <w:sz w:val="24"/>
      <w:szCs w:val="24"/>
      <w:lang w:val="en-US" w:bidi="ar-SA"/>
    </w:rPr>
  </w:style>
  <w:style w:type="paragraph" w:customStyle="1" w:styleId="2163">
    <w:name w:val="xl249"/>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164">
    <w:name w:val="xl259"/>
    <w:basedOn w:val="1"/>
    <w:qFormat/>
    <w:uiPriority w:val="0"/>
    <w:pPr>
      <w:widowControl/>
      <w:pBdr>
        <w:top w:val="single" w:color="auto" w:sz="4" w:space="0"/>
        <w:left w:val="single" w:color="auto" w:sz="4" w:space="0"/>
        <w:bottom w:val="single" w:color="auto" w:sz="4" w:space="0"/>
        <w:right w:val="single" w:color="auto" w:sz="4" w:space="0"/>
      </w:pBdr>
      <w:shd w:val="clear" w:color="auto" w:fill="FF8080"/>
      <w:autoSpaceDE/>
      <w:autoSpaceDN/>
      <w:spacing w:before="100" w:beforeAutospacing="1" w:after="100" w:afterAutospacing="1"/>
    </w:pPr>
    <w:rPr>
      <w:sz w:val="20"/>
      <w:szCs w:val="20"/>
      <w:lang w:val="en-US" w:bidi="ar-SA"/>
    </w:rPr>
  </w:style>
  <w:style w:type="paragraph" w:customStyle="1" w:styleId="2165">
    <w:name w:val="样式49"/>
    <w:basedOn w:val="1"/>
    <w:qFormat/>
    <w:uiPriority w:val="0"/>
    <w:pPr>
      <w:autoSpaceDE/>
      <w:autoSpaceDN/>
      <w:adjustRightInd w:val="0"/>
      <w:snapToGrid w:val="0"/>
      <w:spacing w:line="480" w:lineRule="exact"/>
      <w:ind w:left="-140" w:right="31"/>
      <w:jc w:val="center"/>
    </w:pPr>
    <w:rPr>
      <w:rFonts w:ascii="Times New Roman" w:hAnsi="Times New Roman" w:cs="Times New Roman"/>
      <w:snapToGrid w:val="0"/>
      <w:sz w:val="21"/>
      <w:szCs w:val="21"/>
      <w:lang w:val="en-US" w:bidi="ar-SA"/>
    </w:rPr>
  </w:style>
  <w:style w:type="paragraph" w:customStyle="1" w:styleId="2166">
    <w:name w:val="xl270"/>
    <w:basedOn w:val="1"/>
    <w:qFormat/>
    <w:uiPriority w:val="0"/>
    <w:pPr>
      <w:widowControl/>
      <w:pBdr>
        <w:top w:val="single" w:color="auto" w:sz="4" w:space="0"/>
        <w:left w:val="single" w:color="auto" w:sz="4" w:space="0"/>
        <w:bottom w:val="single" w:color="auto" w:sz="4" w:space="0"/>
        <w:right w:val="single" w:color="auto" w:sz="4" w:space="0"/>
      </w:pBdr>
      <w:shd w:val="clear" w:color="auto" w:fill="99CCFF"/>
      <w:autoSpaceDE/>
      <w:autoSpaceDN/>
      <w:spacing w:before="100" w:beforeAutospacing="1" w:after="100" w:afterAutospacing="1"/>
    </w:pPr>
    <w:rPr>
      <w:rFonts w:ascii="方正综艺简体" w:eastAsia="方正综艺简体"/>
      <w:color w:val="000000"/>
      <w:sz w:val="20"/>
      <w:szCs w:val="20"/>
      <w:lang w:val="en-US" w:bidi="ar-SA"/>
    </w:rPr>
  </w:style>
  <w:style w:type="paragraph" w:customStyle="1" w:styleId="2167">
    <w:name w:val="HTML 预设格式2"/>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color w:val="000000"/>
      <w:kern w:val="2"/>
      <w:sz w:val="24"/>
      <w:szCs w:val="24"/>
      <w:lang w:val="en-US" w:bidi="ar-SA"/>
    </w:rPr>
  </w:style>
  <w:style w:type="paragraph" w:customStyle="1" w:styleId="2168">
    <w:name w:val="Char111"/>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2169">
    <w:name w:val="单位名称"/>
    <w:qFormat/>
    <w:uiPriority w:val="0"/>
    <w:pPr>
      <w:spacing w:line="700" w:lineRule="exact"/>
      <w:jc w:val="center"/>
    </w:pPr>
    <w:rPr>
      <w:rFonts w:ascii="Arial" w:hAnsi="Arial" w:eastAsia="楷体_GB2312" w:cs="Arial"/>
      <w:bCs/>
      <w:kern w:val="2"/>
      <w:sz w:val="36"/>
      <w:szCs w:val="36"/>
      <w:lang w:val="en-US" w:eastAsia="zh-CN" w:bidi="ar-SA"/>
    </w:rPr>
  </w:style>
  <w:style w:type="paragraph" w:customStyle="1" w:styleId="2170">
    <w:name w:val="样式46"/>
    <w:basedOn w:val="1"/>
    <w:qFormat/>
    <w:uiPriority w:val="0"/>
    <w:pPr>
      <w:autoSpaceDE/>
      <w:autoSpaceDN/>
      <w:adjustRightInd w:val="0"/>
      <w:snapToGrid w:val="0"/>
      <w:spacing w:line="480" w:lineRule="exact"/>
      <w:ind w:firstLine="560" w:firstLineChars="200"/>
      <w:jc w:val="both"/>
    </w:pPr>
    <w:rPr>
      <w:rFonts w:ascii="Times New Roman" w:hAnsi="Times New Roman" w:cs="Times New Roman"/>
      <w:snapToGrid w:val="0"/>
      <w:sz w:val="28"/>
      <w:szCs w:val="24"/>
      <w:lang w:val="en-US" w:bidi="ar-SA"/>
    </w:rPr>
  </w:style>
  <w:style w:type="paragraph" w:customStyle="1" w:styleId="2171">
    <w:name w:val="xl174"/>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172">
    <w:name w:val="xl145"/>
    <w:basedOn w:val="1"/>
    <w:qFormat/>
    <w:uiPriority w:val="0"/>
    <w:pPr>
      <w:widowControl/>
      <w:pBdr>
        <w:left w:val="single" w:color="auto" w:sz="4" w:space="0"/>
        <w:bottom w:val="single" w:color="auto" w:sz="4" w:space="0"/>
        <w:right w:val="single" w:color="auto" w:sz="4" w:space="0"/>
      </w:pBdr>
      <w:autoSpaceDE/>
      <w:autoSpaceDN/>
      <w:spacing w:before="100" w:beforeAutospacing="1" w:after="100" w:afterAutospacing="1"/>
      <w:jc w:val="center"/>
    </w:pPr>
    <w:rPr>
      <w:lang w:val="en-US" w:bidi="ar-SA"/>
    </w:rPr>
  </w:style>
  <w:style w:type="paragraph" w:customStyle="1" w:styleId="2173">
    <w:name w:val="档案号内容"/>
    <w:basedOn w:val="2174"/>
    <w:qFormat/>
    <w:uiPriority w:val="0"/>
    <w:pPr>
      <w:spacing w:beforeLines="0"/>
    </w:pPr>
    <w:rPr>
      <w:rFonts w:eastAsia="宋体"/>
    </w:rPr>
  </w:style>
  <w:style w:type="paragraph" w:customStyle="1" w:styleId="2174">
    <w:name w:val="封面档案号"/>
    <w:basedOn w:val="2175"/>
    <w:qFormat/>
    <w:uiPriority w:val="0"/>
    <w:pPr>
      <w:spacing w:beforeLines="100" w:line="480" w:lineRule="exact"/>
    </w:pPr>
    <w:rPr>
      <w:sz w:val="32"/>
      <w:szCs w:val="32"/>
    </w:rPr>
  </w:style>
  <w:style w:type="paragraph" w:customStyle="1" w:styleId="2175">
    <w:name w:val="封面题目"/>
    <w:basedOn w:val="1"/>
    <w:qFormat/>
    <w:uiPriority w:val="0"/>
    <w:pPr>
      <w:autoSpaceDE/>
      <w:autoSpaceDN/>
      <w:spacing w:beforeLines="700" w:line="700" w:lineRule="exact"/>
      <w:jc w:val="center"/>
    </w:pPr>
    <w:rPr>
      <w:rFonts w:ascii="Times New Roman" w:hAnsi="Times New Roman" w:eastAsia="黑体" w:cs="Times New Roman"/>
      <w:kern w:val="2"/>
      <w:sz w:val="52"/>
      <w:szCs w:val="52"/>
      <w:lang w:val="en-US" w:bidi="ar-SA"/>
    </w:rPr>
  </w:style>
  <w:style w:type="paragraph" w:customStyle="1" w:styleId="2176">
    <w:name w:val="标题4+"/>
    <w:basedOn w:val="6"/>
    <w:qFormat/>
    <w:uiPriority w:val="0"/>
    <w:pPr>
      <w:adjustRightInd w:val="0"/>
      <w:snapToGrid w:val="0"/>
      <w:spacing w:before="120" w:after="120" w:line="600" w:lineRule="exact"/>
      <w:jc w:val="left"/>
    </w:pPr>
    <w:rPr>
      <w:rFonts w:ascii="Times New Roman" w:hAnsi="Times New Roman" w:eastAsia="黑体"/>
      <w:b w:val="0"/>
      <w:snapToGrid w:val="0"/>
      <w:kern w:val="0"/>
    </w:rPr>
  </w:style>
  <w:style w:type="paragraph" w:customStyle="1" w:styleId="2177">
    <w:name w:val="样式92"/>
    <w:basedOn w:val="2178"/>
    <w:qFormat/>
    <w:uiPriority w:val="0"/>
    <w:pPr>
      <w:spacing w:before="0" w:after="0" w:line="240" w:lineRule="auto"/>
      <w:ind w:firstLine="420" w:firstLineChars="150"/>
    </w:pPr>
    <w:rPr>
      <w:rFonts w:ascii="宋体" w:hAnsi="宋体" w:eastAsia="宋体"/>
      <w:color w:val="FF0000"/>
      <w:sz w:val="28"/>
      <w:szCs w:val="28"/>
    </w:rPr>
  </w:style>
  <w:style w:type="paragraph" w:customStyle="1" w:styleId="2178">
    <w:name w:val="标题2+"/>
    <w:basedOn w:val="4"/>
    <w:qFormat/>
    <w:uiPriority w:val="0"/>
    <w:pPr>
      <w:keepNext/>
      <w:keepLines/>
      <w:autoSpaceDE/>
      <w:autoSpaceDN/>
      <w:adjustRightInd w:val="0"/>
      <w:snapToGrid w:val="0"/>
      <w:spacing w:before="240" w:after="120" w:line="480" w:lineRule="exact"/>
      <w:ind w:left="0" w:firstLine="0"/>
    </w:pPr>
    <w:rPr>
      <w:rFonts w:ascii="Times New Roman" w:hAnsi="Times New Roman" w:eastAsia="黑体"/>
      <w:bCs/>
      <w:snapToGrid w:val="0"/>
      <w:sz w:val="32"/>
      <w:szCs w:val="20"/>
      <w:lang w:val="en-US" w:bidi="ar-SA"/>
    </w:rPr>
  </w:style>
  <w:style w:type="paragraph" w:customStyle="1" w:styleId="2179">
    <w:name w:val="样式 正文二级标题 + 首行缩进:  2 字符"/>
    <w:basedOn w:val="2180"/>
    <w:qFormat/>
    <w:uiPriority w:val="0"/>
    <w:pPr>
      <w:spacing w:line="480" w:lineRule="exact"/>
      <w:ind w:firstLine="0" w:firstLineChars="0"/>
      <w:jc w:val="center"/>
    </w:pPr>
    <w:rPr>
      <w:rFonts w:cs="宋体"/>
      <w:sz w:val="44"/>
      <w:szCs w:val="44"/>
    </w:rPr>
  </w:style>
  <w:style w:type="paragraph" w:customStyle="1" w:styleId="2180">
    <w:name w:val="正文二级标题"/>
    <w:basedOn w:val="1"/>
    <w:qFormat/>
    <w:uiPriority w:val="0"/>
    <w:pPr>
      <w:autoSpaceDE/>
      <w:autoSpaceDN/>
      <w:spacing w:before="240" w:after="120" w:line="240" w:lineRule="exact"/>
      <w:ind w:firstLine="200" w:firstLineChars="200"/>
      <w:jc w:val="both"/>
      <w:outlineLvl w:val="1"/>
    </w:pPr>
    <w:rPr>
      <w:rFonts w:ascii="Times New Roman" w:hAnsi="Times New Roman" w:eastAsia="黑体" w:cs="Times New Roman"/>
      <w:kern w:val="2"/>
      <w:sz w:val="32"/>
      <w:szCs w:val="24"/>
      <w:lang w:val="en-US" w:bidi="ar-SA"/>
    </w:rPr>
  </w:style>
  <w:style w:type="paragraph" w:customStyle="1" w:styleId="2181">
    <w:name w:val="3"/>
    <w:basedOn w:val="1"/>
    <w:next w:val="31"/>
    <w:qFormat/>
    <w:uiPriority w:val="0"/>
    <w:pPr>
      <w:autoSpaceDE/>
      <w:autoSpaceDN/>
      <w:jc w:val="both"/>
    </w:pPr>
    <w:rPr>
      <w:rFonts w:ascii="Times New Roman" w:hAnsi="Times New Roman" w:cs="Times New Roman"/>
      <w:kern w:val="2"/>
      <w:sz w:val="28"/>
      <w:szCs w:val="24"/>
      <w:lang w:val="en-US" w:bidi="ar-SA"/>
    </w:rPr>
  </w:style>
  <w:style w:type="paragraph" w:customStyle="1" w:styleId="2182">
    <w:name w:val="xl308"/>
    <w:basedOn w:val="1"/>
    <w:uiPriority w:val="0"/>
    <w:pPr>
      <w:widowControl/>
      <w:pBdr>
        <w:top w:val="single" w:color="auto" w:sz="4" w:space="0"/>
        <w:right w:val="single" w:color="auto" w:sz="4" w:space="0"/>
      </w:pBdr>
      <w:shd w:val="clear" w:color="auto" w:fill="FF8080"/>
      <w:autoSpaceDE/>
      <w:autoSpaceDN/>
      <w:spacing w:before="100" w:beforeAutospacing="1" w:after="100" w:afterAutospacing="1"/>
      <w:jc w:val="center"/>
    </w:pPr>
    <w:rPr>
      <w:rFonts w:ascii="方正综艺简体" w:eastAsia="方正综艺简体"/>
      <w:sz w:val="20"/>
      <w:szCs w:val="20"/>
      <w:lang w:val="en-US" w:bidi="ar-SA"/>
    </w:rPr>
  </w:style>
  <w:style w:type="paragraph" w:customStyle="1" w:styleId="2183">
    <w:name w:val="xl129"/>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b/>
      <w:bCs/>
      <w:sz w:val="24"/>
      <w:szCs w:val="24"/>
      <w:lang w:val="en-US" w:bidi="ar-SA"/>
    </w:rPr>
  </w:style>
  <w:style w:type="paragraph" w:customStyle="1" w:styleId="2184">
    <w:name w:val="文字内容"/>
    <w:basedOn w:val="31"/>
    <w:qFormat/>
    <w:uiPriority w:val="0"/>
    <w:pPr>
      <w:widowControl/>
      <w:autoSpaceDE/>
      <w:autoSpaceDN/>
      <w:adjustRightInd w:val="0"/>
      <w:snapToGrid w:val="0"/>
      <w:spacing w:line="400" w:lineRule="exact"/>
      <w:ind w:firstLine="200" w:firstLineChars="200"/>
      <w:jc w:val="both"/>
    </w:pPr>
    <w:rPr>
      <w:rFonts w:ascii="Arial" w:hAnsi="Arial"/>
      <w:color w:val="000000"/>
      <w:kern w:val="24"/>
      <w:sz w:val="24"/>
      <w:szCs w:val="24"/>
      <w:lang w:val="en-US" w:bidi="ar-SA"/>
    </w:rPr>
  </w:style>
  <w:style w:type="paragraph" w:customStyle="1" w:styleId="2185">
    <w:name w:val="Char Char1 Char Char Char Char Char Char"/>
    <w:basedOn w:val="1"/>
    <w:qFormat/>
    <w:uiPriority w:val="0"/>
    <w:pPr>
      <w:widowControl/>
      <w:autoSpaceDE/>
      <w:autoSpaceDN/>
      <w:spacing w:after="160" w:line="240" w:lineRule="exact"/>
    </w:pPr>
    <w:rPr>
      <w:rFonts w:ascii="Verdana" w:hAnsi="Verdana" w:cs="Times New Roman"/>
      <w:b/>
      <w:sz w:val="24"/>
      <w:szCs w:val="20"/>
      <w:lang w:val="en-US" w:eastAsia="en-US" w:bidi="ar-SA"/>
    </w:rPr>
  </w:style>
  <w:style w:type="paragraph" w:customStyle="1" w:styleId="2186">
    <w:name w:val="xl271"/>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187">
    <w:name w:val="xl2139"/>
    <w:basedOn w:val="1"/>
    <w:qFormat/>
    <w:uiPriority w:val="0"/>
    <w:pPr>
      <w:widowControl/>
      <w:pBdr>
        <w:top w:val="single" w:color="auto" w:sz="4" w:space="0"/>
        <w:left w:val="single" w:color="auto" w:sz="4" w:space="0"/>
        <w:bottom w:val="single" w:color="auto" w:sz="4" w:space="0"/>
        <w:right w:val="single" w:color="auto" w:sz="4" w:space="0"/>
      </w:pBdr>
      <w:shd w:val="clear" w:color="auto" w:fill="FFFF00"/>
      <w:autoSpaceDE/>
      <w:autoSpaceDN/>
      <w:spacing w:before="100" w:beforeAutospacing="1" w:after="100" w:afterAutospacing="1"/>
    </w:pPr>
    <w:rPr>
      <w:b/>
      <w:bCs/>
      <w:lang w:val="en-US" w:bidi="ar-SA"/>
    </w:rPr>
  </w:style>
  <w:style w:type="paragraph" w:customStyle="1" w:styleId="2188">
    <w:name w:val="样式36"/>
    <w:basedOn w:val="1"/>
    <w:qFormat/>
    <w:uiPriority w:val="0"/>
    <w:pPr>
      <w:autoSpaceDE/>
      <w:autoSpaceDN/>
      <w:adjustRightInd w:val="0"/>
      <w:snapToGrid w:val="0"/>
      <w:spacing w:line="480" w:lineRule="exact"/>
      <w:ind w:firstLine="560" w:firstLineChars="200"/>
      <w:jc w:val="both"/>
    </w:pPr>
    <w:rPr>
      <w:rFonts w:ascii="Times New Roman" w:hAnsi="Times New Roman" w:cs="Times New Roman"/>
      <w:sz w:val="28"/>
      <w:szCs w:val="24"/>
      <w:lang w:val="en-US" w:bidi="ar-SA"/>
    </w:rPr>
  </w:style>
  <w:style w:type="paragraph" w:customStyle="1" w:styleId="2189">
    <w:name w:val="xl144"/>
    <w:basedOn w:val="1"/>
    <w:uiPriority w:val="0"/>
    <w:pPr>
      <w:widowControl/>
      <w:pBdr>
        <w:top w:val="single" w:color="auto" w:sz="4" w:space="0"/>
        <w:left w:val="single" w:color="auto" w:sz="4" w:space="0"/>
        <w:right w:val="single" w:color="auto" w:sz="4" w:space="0"/>
      </w:pBdr>
      <w:autoSpaceDE/>
      <w:autoSpaceDN/>
      <w:spacing w:before="100" w:beforeAutospacing="1" w:after="100" w:afterAutospacing="1"/>
      <w:jc w:val="center"/>
    </w:pPr>
    <w:rPr>
      <w:lang w:val="en-US" w:bidi="ar-SA"/>
    </w:rPr>
  </w:style>
  <w:style w:type="paragraph" w:customStyle="1" w:styleId="2190">
    <w:name w:val="样式 居中 行距: 固定值 22 磅"/>
    <w:basedOn w:val="1"/>
    <w:qFormat/>
    <w:uiPriority w:val="0"/>
    <w:pPr>
      <w:autoSpaceDE/>
      <w:autoSpaceDN/>
      <w:spacing w:line="480" w:lineRule="exact"/>
      <w:jc w:val="center"/>
    </w:pPr>
    <w:rPr>
      <w:rFonts w:ascii="Times New Roman" w:hAnsi="Times New Roman"/>
      <w:kern w:val="2"/>
      <w:sz w:val="24"/>
      <w:szCs w:val="20"/>
      <w:lang w:val="en-US" w:bidi="ar-SA"/>
    </w:rPr>
  </w:style>
  <w:style w:type="paragraph" w:customStyle="1" w:styleId="2191">
    <w:name w:val="xl113"/>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color w:val="000000"/>
      <w:sz w:val="20"/>
      <w:szCs w:val="20"/>
      <w:lang w:val="en-US" w:bidi="ar-SA"/>
    </w:rPr>
  </w:style>
  <w:style w:type="paragraph" w:customStyle="1" w:styleId="2192">
    <w:name w:val="xl217"/>
    <w:basedOn w:val="1"/>
    <w:qFormat/>
    <w:uiPriority w:val="0"/>
    <w:pPr>
      <w:widowControl/>
      <w:pBdr>
        <w:top w:val="single" w:color="auto" w:sz="4" w:space="0"/>
        <w:left w:val="single" w:color="auto" w:sz="4" w:space="0"/>
        <w:bottom w:val="single" w:color="auto" w:sz="4" w:space="0"/>
        <w:right w:val="single" w:color="auto" w:sz="4" w:space="0"/>
      </w:pBdr>
      <w:shd w:val="clear" w:color="auto" w:fill="FFFF00"/>
      <w:autoSpaceDE/>
      <w:autoSpaceDN/>
      <w:spacing w:before="100" w:beforeAutospacing="1" w:after="100" w:afterAutospacing="1"/>
    </w:pPr>
    <w:rPr>
      <w:color w:val="000000"/>
      <w:sz w:val="20"/>
      <w:szCs w:val="20"/>
      <w:lang w:val="en-US" w:bidi="ar-SA"/>
    </w:rPr>
  </w:style>
  <w:style w:type="paragraph" w:customStyle="1" w:styleId="2193">
    <w:name w:val="xl281"/>
    <w:basedOn w:val="1"/>
    <w:qFormat/>
    <w:uiPriority w:val="0"/>
    <w:pPr>
      <w:widowControl/>
      <w:pBdr>
        <w:top w:val="single" w:color="auto" w:sz="4" w:space="0"/>
        <w:left w:val="single" w:color="auto" w:sz="4" w:space="0"/>
        <w:bottom w:val="single" w:color="auto" w:sz="4" w:space="0"/>
        <w:right w:val="single" w:color="auto" w:sz="4" w:space="0"/>
      </w:pBdr>
      <w:shd w:val="clear" w:color="auto" w:fill="99CC00"/>
      <w:autoSpaceDE/>
      <w:autoSpaceDN/>
      <w:spacing w:before="100" w:beforeAutospacing="1" w:after="100" w:afterAutospacing="1"/>
      <w:jc w:val="center"/>
    </w:pPr>
    <w:rPr>
      <w:rFonts w:ascii="方正综艺简体" w:eastAsia="方正综艺简体"/>
      <w:color w:val="000000"/>
      <w:sz w:val="20"/>
      <w:szCs w:val="20"/>
      <w:lang w:val="en-US" w:bidi="ar-SA"/>
    </w:rPr>
  </w:style>
  <w:style w:type="paragraph" w:customStyle="1" w:styleId="2194">
    <w:name w:val="样式 标题3 + 段前: 0.5 行 段后: 0.5 行"/>
    <w:basedOn w:val="1"/>
    <w:qFormat/>
    <w:uiPriority w:val="0"/>
    <w:pPr>
      <w:keepNext/>
      <w:keepLines/>
      <w:autoSpaceDE/>
      <w:autoSpaceDN/>
      <w:adjustRightInd w:val="0"/>
      <w:snapToGrid w:val="0"/>
      <w:spacing w:beforeLines="50" w:afterLines="50" w:line="480" w:lineRule="exact"/>
      <w:jc w:val="both"/>
      <w:outlineLvl w:val="2"/>
    </w:pPr>
    <w:rPr>
      <w:rFonts w:ascii="Times New Roman" w:hAnsi="Times New Roman" w:eastAsia="黑体"/>
      <w:kern w:val="2"/>
      <w:sz w:val="28"/>
      <w:szCs w:val="20"/>
      <w:lang w:val="en-US" w:bidi="ar-SA"/>
    </w:rPr>
  </w:style>
  <w:style w:type="paragraph" w:customStyle="1" w:styleId="2195">
    <w:name w:val="xl2132"/>
    <w:basedOn w:val="1"/>
    <w:qFormat/>
    <w:uiPriority w:val="0"/>
    <w:pPr>
      <w:widowControl/>
      <w:pBdr>
        <w:top w:val="single" w:color="auto" w:sz="4" w:space="0"/>
        <w:left w:val="single" w:color="auto" w:sz="4" w:space="0"/>
        <w:bottom w:val="single" w:color="auto" w:sz="4" w:space="0"/>
        <w:right w:val="single" w:color="auto" w:sz="4" w:space="0"/>
      </w:pBdr>
      <w:shd w:val="clear" w:color="auto" w:fill="FFFF00"/>
      <w:autoSpaceDE/>
      <w:autoSpaceDN/>
      <w:spacing w:before="100" w:beforeAutospacing="1" w:after="100" w:afterAutospacing="1"/>
      <w:jc w:val="center"/>
    </w:pPr>
    <w:rPr>
      <w:rFonts w:ascii="Times New Roman" w:hAnsi="Times New Roman" w:cs="Times New Roman"/>
      <w:b/>
      <w:bCs/>
      <w:sz w:val="21"/>
      <w:szCs w:val="21"/>
      <w:lang w:val="en-US" w:bidi="ar-SA"/>
    </w:rPr>
  </w:style>
  <w:style w:type="paragraph" w:customStyle="1" w:styleId="2196">
    <w:name w:val="样式32"/>
    <w:basedOn w:val="1"/>
    <w:qFormat/>
    <w:uiPriority w:val="0"/>
    <w:pPr>
      <w:autoSpaceDE/>
      <w:autoSpaceDN/>
      <w:adjustRightInd w:val="0"/>
      <w:snapToGrid w:val="0"/>
      <w:spacing w:line="480" w:lineRule="exact"/>
      <w:ind w:firstLine="1680" w:firstLineChars="600"/>
      <w:jc w:val="both"/>
    </w:pPr>
    <w:rPr>
      <w:rFonts w:ascii="Times New Roman" w:hAnsi="Times New Roman" w:cs="Times New Roman"/>
      <w:snapToGrid w:val="0"/>
      <w:sz w:val="28"/>
      <w:szCs w:val="28"/>
      <w:lang w:val="en-US" w:bidi="ar-SA"/>
    </w:rPr>
  </w:style>
  <w:style w:type="paragraph" w:customStyle="1" w:styleId="2197">
    <w:name w:val="寄信人地址1"/>
    <w:basedOn w:val="1"/>
    <w:qFormat/>
    <w:uiPriority w:val="0"/>
    <w:pPr>
      <w:autoSpaceDE/>
      <w:autoSpaceDN/>
      <w:snapToGrid w:val="0"/>
      <w:jc w:val="both"/>
    </w:pPr>
    <w:rPr>
      <w:rFonts w:ascii="Arial" w:hAnsi="Arial" w:cs="Arial"/>
      <w:kern w:val="2"/>
      <w:sz w:val="21"/>
      <w:szCs w:val="20"/>
      <w:lang w:val="en-US" w:bidi="ar-SA"/>
    </w:rPr>
  </w:style>
  <w:style w:type="paragraph" w:customStyle="1" w:styleId="2198">
    <w:name w:val="框图"/>
    <w:basedOn w:val="1"/>
    <w:qFormat/>
    <w:uiPriority w:val="0"/>
    <w:pPr>
      <w:autoSpaceDE/>
      <w:autoSpaceDN/>
      <w:jc w:val="center"/>
    </w:pPr>
    <w:rPr>
      <w:rFonts w:ascii="Times New Roman" w:hAnsi="Times New Roman" w:cs="Times New Roman"/>
      <w:kern w:val="2"/>
      <w:sz w:val="18"/>
      <w:szCs w:val="24"/>
      <w:lang w:val="en-US" w:bidi="ar-SA"/>
    </w:rPr>
  </w:style>
  <w:style w:type="paragraph" w:customStyle="1" w:styleId="2199">
    <w:name w:val="正文文本缩进13"/>
    <w:basedOn w:val="1"/>
    <w:qFormat/>
    <w:uiPriority w:val="0"/>
    <w:pPr>
      <w:autoSpaceDE/>
      <w:autoSpaceDN/>
      <w:adjustRightInd w:val="0"/>
      <w:spacing w:line="360" w:lineRule="atLeast"/>
      <w:ind w:left="280" w:firstLine="560"/>
      <w:textAlignment w:val="baseline"/>
    </w:pPr>
    <w:rPr>
      <w:rFonts w:ascii="Times New Roman" w:hAnsi="Times New Roman" w:cs="Times New Roman"/>
      <w:sz w:val="24"/>
      <w:szCs w:val="24"/>
      <w:lang w:val="en-US" w:bidi="ar-SA"/>
    </w:rPr>
  </w:style>
  <w:style w:type="paragraph" w:customStyle="1" w:styleId="2200">
    <w:name w:val="样式84"/>
    <w:basedOn w:val="1"/>
    <w:qFormat/>
    <w:uiPriority w:val="0"/>
    <w:pPr>
      <w:autoSpaceDE/>
      <w:autoSpaceDN/>
      <w:adjustRightInd w:val="0"/>
      <w:snapToGrid w:val="0"/>
      <w:spacing w:line="480" w:lineRule="exact"/>
      <w:ind w:firstLine="560" w:firstLineChars="200"/>
      <w:jc w:val="both"/>
    </w:pPr>
    <w:rPr>
      <w:rFonts w:ascii="Times New Roman" w:hAnsi="Times New Roman" w:cs="Times New Roman"/>
      <w:snapToGrid w:val="0"/>
      <w:sz w:val="28"/>
      <w:szCs w:val="24"/>
      <w:lang w:val="en-US" w:bidi="ar-SA"/>
    </w:rPr>
  </w:style>
  <w:style w:type="paragraph" w:customStyle="1" w:styleId="2201">
    <w:name w:val="样式86"/>
    <w:basedOn w:val="1"/>
    <w:qFormat/>
    <w:uiPriority w:val="0"/>
    <w:pPr>
      <w:autoSpaceDE/>
      <w:autoSpaceDN/>
      <w:adjustRightInd w:val="0"/>
      <w:snapToGrid w:val="0"/>
      <w:spacing w:line="480" w:lineRule="exact"/>
      <w:jc w:val="both"/>
    </w:pPr>
    <w:rPr>
      <w:rFonts w:ascii="Times New Roman" w:hAnsi="Times New Roman" w:cs="Times New Roman"/>
      <w:snapToGrid w:val="0"/>
      <w:color w:val="000000"/>
      <w:sz w:val="28"/>
      <w:szCs w:val="21"/>
      <w:lang w:val="en-US" w:bidi="ar-SA"/>
    </w:rPr>
  </w:style>
  <w:style w:type="paragraph" w:customStyle="1" w:styleId="2202">
    <w:name w:val="批注主题1"/>
    <w:basedOn w:val="26"/>
    <w:next w:val="26"/>
    <w:qFormat/>
    <w:uiPriority w:val="0"/>
    <w:pPr>
      <w:autoSpaceDE/>
      <w:autoSpaceDN/>
    </w:pPr>
    <w:rPr>
      <w:rFonts w:ascii="Times New Roman" w:hAnsi="Times New Roman" w:cs="Times New Roman"/>
      <w:b/>
      <w:bCs/>
      <w:kern w:val="2"/>
      <w:sz w:val="24"/>
      <w:szCs w:val="20"/>
      <w:lang w:val="en-US" w:bidi="ar-SA"/>
    </w:rPr>
  </w:style>
  <w:style w:type="paragraph" w:customStyle="1" w:styleId="2203">
    <w:name w:val="样式87"/>
    <w:basedOn w:val="2201"/>
    <w:qFormat/>
    <w:uiPriority w:val="0"/>
    <w:pPr>
      <w:ind w:firstLine="560" w:firstLineChars="200"/>
    </w:pPr>
    <w:rPr>
      <w:rFonts w:ascii="宋体" w:hAnsi="宋体" w:cs="宋体"/>
      <w:szCs w:val="28"/>
    </w:rPr>
  </w:style>
  <w:style w:type="paragraph" w:customStyle="1" w:styleId="2204">
    <w:name w:val="xl199"/>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205">
    <w:name w:val="xl120"/>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b/>
      <w:bCs/>
      <w:color w:val="FF0000"/>
      <w:sz w:val="21"/>
      <w:szCs w:val="21"/>
      <w:lang w:val="en-US" w:bidi="ar-SA"/>
    </w:rPr>
  </w:style>
  <w:style w:type="paragraph" w:customStyle="1" w:styleId="2206">
    <w:name w:val="xl306"/>
    <w:basedOn w:val="1"/>
    <w:qFormat/>
    <w:uiPriority w:val="0"/>
    <w:pPr>
      <w:widowControl/>
      <w:pBdr>
        <w:left w:val="single" w:color="auto" w:sz="4" w:space="0"/>
        <w:bottom w:val="single" w:color="auto" w:sz="4" w:space="0"/>
        <w:right w:val="single" w:color="auto" w:sz="4" w:space="0"/>
      </w:pBdr>
      <w:shd w:val="clear" w:color="auto" w:fill="FF8080"/>
      <w:autoSpaceDE/>
      <w:autoSpaceDN/>
      <w:spacing w:before="100" w:beforeAutospacing="1" w:after="100" w:afterAutospacing="1"/>
      <w:jc w:val="center"/>
    </w:pPr>
    <w:rPr>
      <w:rFonts w:ascii="方正综艺简体" w:eastAsia="方正综艺简体"/>
      <w:sz w:val="20"/>
      <w:szCs w:val="20"/>
      <w:lang w:val="en-US" w:bidi="ar-SA"/>
    </w:rPr>
  </w:style>
  <w:style w:type="paragraph" w:customStyle="1" w:styleId="2207">
    <w:name w:val="xl115"/>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rFonts w:ascii="Calibri" w:hAnsi="Calibri"/>
      <w:b/>
      <w:bCs/>
      <w:sz w:val="21"/>
      <w:szCs w:val="21"/>
      <w:lang w:val="en-US" w:bidi="ar-SA"/>
    </w:rPr>
  </w:style>
  <w:style w:type="paragraph" w:customStyle="1" w:styleId="2208">
    <w:name w:val="xl136"/>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b/>
      <w:bCs/>
      <w:color w:val="FF0000"/>
      <w:lang w:val="en-US" w:bidi="ar-SA"/>
    </w:rPr>
  </w:style>
  <w:style w:type="paragraph" w:customStyle="1" w:styleId="2209">
    <w:name w:val="样式 (符号) 宋体 右"/>
    <w:basedOn w:val="1"/>
    <w:qFormat/>
    <w:uiPriority w:val="0"/>
    <w:pPr>
      <w:autoSpaceDE/>
      <w:autoSpaceDN/>
      <w:adjustRightInd w:val="0"/>
      <w:snapToGrid w:val="0"/>
      <w:spacing w:line="500" w:lineRule="exact"/>
      <w:ind w:firstLine="200" w:firstLineChars="200"/>
      <w:jc w:val="right"/>
    </w:pPr>
    <w:rPr>
      <w:rFonts w:ascii="Times New Roman"/>
      <w:sz w:val="28"/>
      <w:szCs w:val="20"/>
      <w:lang w:val="en-US" w:bidi="ar-SA"/>
    </w:rPr>
  </w:style>
  <w:style w:type="paragraph" w:customStyle="1" w:styleId="2210">
    <w:name w:val="xl2131"/>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4"/>
      <w:szCs w:val="24"/>
      <w:lang w:val="en-US" w:bidi="ar-SA"/>
    </w:rPr>
  </w:style>
  <w:style w:type="paragraph" w:customStyle="1" w:styleId="2211">
    <w:name w:val="xl25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pPr>
    <w:rPr>
      <w:sz w:val="20"/>
      <w:szCs w:val="20"/>
      <w:lang w:val="en-US" w:bidi="ar-SA"/>
    </w:rPr>
  </w:style>
  <w:style w:type="paragraph" w:customStyle="1" w:styleId="2212">
    <w:name w:val="样式30"/>
    <w:basedOn w:val="1"/>
    <w:qFormat/>
    <w:uiPriority w:val="0"/>
    <w:pPr>
      <w:autoSpaceDE/>
      <w:autoSpaceDN/>
      <w:adjustRightInd w:val="0"/>
      <w:snapToGrid w:val="0"/>
      <w:spacing w:line="480" w:lineRule="exact"/>
      <w:ind w:firstLine="560" w:firstLineChars="200"/>
      <w:jc w:val="center"/>
    </w:pPr>
    <w:rPr>
      <w:rFonts w:ascii="Times New Roman" w:hAnsi="Times New Roman" w:cs="Times New Roman"/>
      <w:snapToGrid w:val="0"/>
      <w:sz w:val="28"/>
      <w:szCs w:val="24"/>
      <w:lang w:val="en-US" w:bidi="ar-SA"/>
    </w:rPr>
  </w:style>
  <w:style w:type="paragraph" w:customStyle="1" w:styleId="2213">
    <w:name w:val="普通(网站)2"/>
    <w:basedOn w:val="1"/>
    <w:qFormat/>
    <w:uiPriority w:val="0"/>
    <w:pPr>
      <w:widowControl/>
      <w:autoSpaceDE/>
      <w:autoSpaceDN/>
      <w:spacing w:before="100" w:beforeAutospacing="1" w:after="100" w:afterAutospacing="1"/>
    </w:pPr>
    <w:rPr>
      <w:sz w:val="24"/>
      <w:szCs w:val="24"/>
      <w:lang w:val="en-US" w:bidi="ar-SA"/>
    </w:rPr>
  </w:style>
  <w:style w:type="paragraph" w:customStyle="1" w:styleId="2214">
    <w:name w:val="p16"/>
    <w:basedOn w:val="1"/>
    <w:qFormat/>
    <w:uiPriority w:val="0"/>
    <w:pPr>
      <w:widowControl/>
      <w:autoSpaceDE/>
      <w:autoSpaceDN/>
      <w:spacing w:before="100" w:beforeAutospacing="1" w:after="100" w:afterAutospacing="1"/>
    </w:pPr>
    <w:rPr>
      <w:sz w:val="24"/>
      <w:szCs w:val="24"/>
      <w:lang w:val="en-US" w:bidi="ar-SA"/>
    </w:rPr>
  </w:style>
  <w:style w:type="paragraph" w:customStyle="1" w:styleId="2215">
    <w:name w:val="xl304"/>
    <w:basedOn w:val="1"/>
    <w:uiPriority w:val="0"/>
    <w:pPr>
      <w:widowControl/>
      <w:pBdr>
        <w:top w:val="single" w:color="auto" w:sz="4" w:space="0"/>
        <w:left w:val="single" w:color="auto" w:sz="4" w:space="0"/>
      </w:pBdr>
      <w:shd w:val="clear" w:color="auto" w:fill="FF8080"/>
      <w:autoSpaceDE/>
      <w:autoSpaceDN/>
      <w:spacing w:before="100" w:beforeAutospacing="1" w:after="100" w:afterAutospacing="1"/>
      <w:jc w:val="center"/>
    </w:pPr>
    <w:rPr>
      <w:rFonts w:ascii="方正综艺简体" w:eastAsia="方正综艺简体"/>
      <w:sz w:val="20"/>
      <w:szCs w:val="20"/>
      <w:lang w:val="en-US" w:bidi="ar-SA"/>
    </w:rPr>
  </w:style>
  <w:style w:type="paragraph" w:customStyle="1" w:styleId="2216">
    <w:name w:val="Char Char2 Char Char Char1 Char Char Char Char Char Char Char"/>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2217">
    <w:name w:val="批注主题2"/>
    <w:basedOn w:val="26"/>
    <w:next w:val="26"/>
    <w:qFormat/>
    <w:uiPriority w:val="0"/>
    <w:pPr>
      <w:autoSpaceDE/>
      <w:autoSpaceDN/>
      <w:adjustRightInd w:val="0"/>
      <w:snapToGrid w:val="0"/>
      <w:spacing w:line="480" w:lineRule="exact"/>
    </w:pPr>
    <w:rPr>
      <w:rFonts w:ascii="Times New Roman" w:hAnsi="Times New Roman" w:cs="Times New Roman"/>
      <w:b/>
      <w:bCs/>
      <w:kern w:val="2"/>
      <w:sz w:val="24"/>
      <w:szCs w:val="24"/>
      <w:lang w:val="en-US" w:bidi="ar-SA"/>
    </w:rPr>
  </w:style>
  <w:style w:type="paragraph" w:customStyle="1" w:styleId="2218">
    <w:name w:val="正文缩进5"/>
    <w:basedOn w:val="1"/>
    <w:qFormat/>
    <w:uiPriority w:val="0"/>
    <w:pPr>
      <w:widowControl/>
      <w:autoSpaceDE/>
      <w:autoSpaceDN/>
      <w:spacing w:line="360" w:lineRule="exact"/>
      <w:ind w:firstLine="510"/>
    </w:pPr>
    <w:rPr>
      <w:sz w:val="24"/>
      <w:szCs w:val="20"/>
      <w:lang w:val="en-US" w:bidi="ar-SA"/>
    </w:rPr>
  </w:style>
  <w:style w:type="paragraph" w:customStyle="1" w:styleId="2219">
    <w:name w:val="样式41"/>
    <w:basedOn w:val="105"/>
    <w:qFormat/>
    <w:uiPriority w:val="0"/>
    <w:pPr>
      <w:tabs>
        <w:tab w:val="clear" w:pos="3480"/>
      </w:tabs>
      <w:autoSpaceDE/>
      <w:autoSpaceDN/>
      <w:adjustRightInd w:val="0"/>
      <w:snapToGrid w:val="0"/>
      <w:spacing w:beforeLines="0" w:line="300" w:lineRule="exact"/>
      <w:ind w:left="-140" w:leftChars="-50" w:right="-140" w:rightChars="-50"/>
    </w:pPr>
    <w:rPr>
      <w:rFonts w:ascii="Times New Roman" w:hAnsi="Times New Roman" w:eastAsia="宋体" w:cs="Times New Roman"/>
      <w:color w:val="000000"/>
      <w:szCs w:val="28"/>
      <w:lang w:val="en-US" w:bidi="ar-SA"/>
    </w:rPr>
  </w:style>
  <w:style w:type="paragraph" w:customStyle="1" w:styleId="2220">
    <w:name w:val="xl170"/>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221">
    <w:name w:val="正文－表格两端对齐"/>
    <w:basedOn w:val="1"/>
    <w:qFormat/>
    <w:uiPriority w:val="0"/>
    <w:pPr>
      <w:autoSpaceDE/>
      <w:autoSpaceDN/>
      <w:adjustRightInd w:val="0"/>
      <w:snapToGrid w:val="0"/>
      <w:jc w:val="both"/>
    </w:pPr>
    <w:rPr>
      <w:rFonts w:ascii="Times New Roman" w:hAnsi="Times New Roman" w:cs="Times New Roman"/>
      <w:kern w:val="2"/>
      <w:sz w:val="21"/>
      <w:szCs w:val="24"/>
      <w:lang w:val="en-US" w:bidi="ar-SA"/>
    </w:rPr>
  </w:style>
  <w:style w:type="paragraph" w:customStyle="1" w:styleId="2222">
    <w:name w:val="引文目录1"/>
    <w:basedOn w:val="1"/>
    <w:next w:val="1"/>
    <w:qFormat/>
    <w:uiPriority w:val="0"/>
    <w:pPr>
      <w:autoSpaceDE/>
      <w:autoSpaceDN/>
      <w:spacing w:line="480" w:lineRule="exact"/>
      <w:ind w:left="420" w:leftChars="200"/>
      <w:jc w:val="both"/>
    </w:pPr>
    <w:rPr>
      <w:rFonts w:ascii="Times New Roman" w:hAnsi="Times New Roman" w:cs="Times New Roman"/>
      <w:kern w:val="2"/>
      <w:sz w:val="24"/>
      <w:szCs w:val="24"/>
      <w:lang w:val="en-US" w:bidi="ar-SA"/>
    </w:rPr>
  </w:style>
  <w:style w:type="paragraph" w:customStyle="1" w:styleId="2223">
    <w:name w:val="0L表"/>
    <w:basedOn w:val="1"/>
    <w:qFormat/>
    <w:uiPriority w:val="0"/>
    <w:pPr>
      <w:autoSpaceDE/>
      <w:autoSpaceDN/>
      <w:adjustRightInd w:val="0"/>
      <w:spacing w:line="360" w:lineRule="auto"/>
      <w:jc w:val="center"/>
      <w:textAlignment w:val="baseline"/>
    </w:pPr>
    <w:rPr>
      <w:rFonts w:cs="Times New Roman"/>
      <w:sz w:val="24"/>
      <w:szCs w:val="24"/>
      <w:lang w:val="en-US" w:bidi="ar-SA"/>
    </w:rPr>
  </w:style>
  <w:style w:type="paragraph" w:customStyle="1" w:styleId="2224">
    <w:name w:val="正文（首行缩进两字）"/>
    <w:basedOn w:val="1"/>
    <w:qFormat/>
    <w:uiPriority w:val="0"/>
    <w:pPr>
      <w:autoSpaceDE/>
      <w:autoSpaceDN/>
      <w:adjustRightInd w:val="0"/>
      <w:snapToGrid w:val="0"/>
      <w:spacing w:line="480" w:lineRule="atLeast"/>
      <w:ind w:firstLine="420"/>
      <w:jc w:val="both"/>
    </w:pPr>
    <w:rPr>
      <w:rFonts w:ascii="Times New Roman" w:hAnsi="Times New Roman" w:cs="Times New Roman"/>
      <w:kern w:val="2"/>
      <w:sz w:val="28"/>
      <w:szCs w:val="20"/>
      <w:lang w:val="en-US" w:bidi="ar-SA"/>
    </w:rPr>
  </w:style>
  <w:style w:type="paragraph" w:customStyle="1" w:styleId="2225">
    <w:name w:val="1"/>
    <w:basedOn w:val="1"/>
    <w:next w:val="73"/>
    <w:qFormat/>
    <w:uiPriority w:val="0"/>
    <w:pPr>
      <w:widowControl/>
      <w:autoSpaceDE/>
      <w:autoSpaceDN/>
      <w:spacing w:before="100" w:beforeAutospacing="1" w:after="100" w:afterAutospacing="1"/>
    </w:pPr>
    <w:rPr>
      <w:rFonts w:cs="Times New Roman"/>
      <w:sz w:val="24"/>
      <w:szCs w:val="24"/>
      <w:lang w:val="en-US" w:bidi="ar-SA"/>
    </w:rPr>
  </w:style>
  <w:style w:type="paragraph" w:customStyle="1" w:styleId="2226">
    <w:name w:val="xl167"/>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227">
    <w:name w:val="签署页"/>
    <w:basedOn w:val="2169"/>
    <w:qFormat/>
    <w:uiPriority w:val="0"/>
    <w:pPr>
      <w:spacing w:line="900" w:lineRule="exact"/>
      <w:ind w:left="500" w:leftChars="500"/>
      <w:jc w:val="left"/>
    </w:pPr>
    <w:rPr>
      <w:rFonts w:eastAsia="黑体" w:cs="Times New Roman"/>
      <w:sz w:val="32"/>
    </w:rPr>
  </w:style>
  <w:style w:type="paragraph" w:customStyle="1" w:styleId="2228">
    <w:name w:val="寄信人地址11"/>
    <w:basedOn w:val="1"/>
    <w:qFormat/>
    <w:uiPriority w:val="0"/>
    <w:pPr>
      <w:autoSpaceDE/>
      <w:autoSpaceDN/>
      <w:snapToGrid w:val="0"/>
      <w:jc w:val="both"/>
    </w:pPr>
    <w:rPr>
      <w:rFonts w:ascii="Arial" w:hAnsi="Arial" w:cs="Arial"/>
      <w:kern w:val="2"/>
      <w:sz w:val="21"/>
      <w:szCs w:val="20"/>
      <w:lang w:val="en-US" w:bidi="ar-SA"/>
    </w:rPr>
  </w:style>
  <w:style w:type="paragraph" w:customStyle="1" w:styleId="2229">
    <w:name w:val="xl114"/>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bottom"/>
    </w:pPr>
    <w:rPr>
      <w:color w:val="000000"/>
      <w:sz w:val="20"/>
      <w:szCs w:val="20"/>
      <w:lang w:val="en-US" w:bidi="ar-SA"/>
    </w:rPr>
  </w:style>
  <w:style w:type="paragraph" w:customStyle="1" w:styleId="2230">
    <w:name w:val="样式82"/>
    <w:basedOn w:val="2231"/>
    <w:qFormat/>
    <w:uiPriority w:val="0"/>
    <w:pPr>
      <w:keepNext w:val="0"/>
      <w:keepLines w:val="0"/>
      <w:widowControl/>
      <w:spacing w:line="480" w:lineRule="exact"/>
      <w:ind w:firstLine="450" w:firstLineChars="150"/>
    </w:pPr>
    <w:rPr>
      <w:rFonts w:hAnsi="宋体"/>
      <w:color w:val="000000"/>
      <w:sz w:val="28"/>
      <w:szCs w:val="28"/>
    </w:rPr>
  </w:style>
  <w:style w:type="paragraph" w:customStyle="1" w:styleId="2231">
    <w:name w:val="标题3+"/>
    <w:basedOn w:val="5"/>
    <w:qFormat/>
    <w:uiPriority w:val="0"/>
    <w:pPr>
      <w:keepNext/>
      <w:keepLines/>
      <w:autoSpaceDE/>
      <w:autoSpaceDN/>
      <w:adjustRightInd w:val="0"/>
      <w:snapToGrid w:val="0"/>
      <w:spacing w:before="120" w:after="120" w:line="600" w:lineRule="exact"/>
      <w:ind w:left="0" w:firstLine="0"/>
      <w:jc w:val="both"/>
    </w:pPr>
    <w:rPr>
      <w:rFonts w:ascii="Times New Roman" w:hAnsi="Times New Roman" w:eastAsia="黑体" w:cs="Times New Roman"/>
      <w:b w:val="0"/>
      <w:bCs w:val="0"/>
      <w:snapToGrid w:val="0"/>
      <w:sz w:val="30"/>
      <w:szCs w:val="32"/>
      <w:lang w:val="en-US" w:bidi="ar-SA"/>
    </w:rPr>
  </w:style>
  <w:style w:type="paragraph" w:customStyle="1" w:styleId="2232">
    <w:name w:val="引文目录标题1"/>
    <w:basedOn w:val="1"/>
    <w:next w:val="1"/>
    <w:qFormat/>
    <w:uiPriority w:val="0"/>
    <w:pPr>
      <w:autoSpaceDE/>
      <w:autoSpaceDN/>
      <w:spacing w:before="120" w:line="480" w:lineRule="exact"/>
      <w:jc w:val="both"/>
    </w:pPr>
    <w:rPr>
      <w:rFonts w:ascii="Arial" w:hAnsi="Arial" w:cs="Arial"/>
      <w:kern w:val="2"/>
      <w:sz w:val="24"/>
      <w:szCs w:val="24"/>
      <w:lang w:val="en-US" w:bidi="ar-SA"/>
    </w:rPr>
  </w:style>
  <w:style w:type="paragraph" w:customStyle="1" w:styleId="2233">
    <w:name w:val="xl158"/>
    <w:basedOn w:val="1"/>
    <w:qFormat/>
    <w:uiPriority w:val="0"/>
    <w:pPr>
      <w:widowControl/>
      <w:autoSpaceDE/>
      <w:autoSpaceDN/>
      <w:spacing w:before="100" w:beforeAutospacing="1" w:after="100" w:afterAutospacing="1"/>
    </w:pPr>
    <w:rPr>
      <w:color w:val="000000"/>
      <w:sz w:val="20"/>
      <w:szCs w:val="20"/>
      <w:lang w:val="en-US" w:bidi="ar-SA"/>
    </w:rPr>
  </w:style>
  <w:style w:type="paragraph" w:customStyle="1" w:styleId="2234">
    <w:name w:val="样式57"/>
    <w:basedOn w:val="2235"/>
    <w:qFormat/>
    <w:uiPriority w:val="0"/>
    <w:pPr>
      <w:spacing w:line="500" w:lineRule="exact"/>
      <w:ind w:firstLine="560"/>
    </w:pPr>
    <w:rPr>
      <w:b w:val="0"/>
    </w:rPr>
  </w:style>
  <w:style w:type="paragraph" w:customStyle="1" w:styleId="2235">
    <w:name w:val="样式55"/>
    <w:basedOn w:val="20"/>
    <w:qFormat/>
    <w:uiPriority w:val="0"/>
    <w:pPr>
      <w:autoSpaceDE/>
      <w:autoSpaceDN/>
      <w:spacing w:line="360" w:lineRule="auto"/>
      <w:ind w:firstLine="562" w:firstLineChars="200"/>
      <w:jc w:val="both"/>
    </w:pPr>
    <w:rPr>
      <w:rFonts w:cs="Times New Roman"/>
      <w:b/>
      <w:kern w:val="2"/>
      <w:sz w:val="28"/>
      <w:szCs w:val="28"/>
      <w:lang w:val="en-US" w:bidi="ar-SA"/>
    </w:rPr>
  </w:style>
  <w:style w:type="paragraph" w:customStyle="1" w:styleId="2236">
    <w:name w:val="宏文本1"/>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Times New Roman" w:cs="Courier New"/>
      <w:kern w:val="2"/>
      <w:sz w:val="24"/>
      <w:szCs w:val="24"/>
      <w:lang w:val="en-US" w:eastAsia="zh-CN" w:bidi="ar-SA"/>
    </w:rPr>
  </w:style>
  <w:style w:type="paragraph" w:customStyle="1" w:styleId="2237">
    <w:name w:val="正文6"/>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2238">
    <w:name w:val="xl260"/>
    <w:basedOn w:val="1"/>
    <w:qFormat/>
    <w:uiPriority w:val="0"/>
    <w:pPr>
      <w:widowControl/>
      <w:pBdr>
        <w:top w:val="single" w:color="auto" w:sz="4" w:space="0"/>
        <w:left w:val="single" w:color="auto" w:sz="4" w:space="0"/>
        <w:bottom w:val="single" w:color="auto" w:sz="4" w:space="0"/>
        <w:right w:val="single" w:color="auto" w:sz="4" w:space="0"/>
      </w:pBdr>
      <w:shd w:val="clear" w:color="auto" w:fill="FF8080"/>
      <w:autoSpaceDE/>
      <w:autoSpaceDN/>
      <w:spacing w:before="100" w:beforeAutospacing="1" w:after="100" w:afterAutospacing="1"/>
    </w:pPr>
    <w:rPr>
      <w:sz w:val="20"/>
      <w:szCs w:val="20"/>
      <w:lang w:val="en-US" w:bidi="ar-SA"/>
    </w:rPr>
  </w:style>
  <w:style w:type="paragraph" w:customStyle="1" w:styleId="2239">
    <w:name w:val="Char Char1 Char Char Char Char Char Char Char Char Char Char Char Char Char Char Char Char Char Char"/>
    <w:basedOn w:val="1"/>
    <w:qFormat/>
    <w:uiPriority w:val="0"/>
    <w:pPr>
      <w:autoSpaceDE/>
      <w:autoSpaceDN/>
      <w:adjustRightInd w:val="0"/>
      <w:spacing w:line="360" w:lineRule="auto"/>
      <w:jc w:val="both"/>
      <w:textAlignment w:val="baseline"/>
    </w:pPr>
    <w:rPr>
      <w:rFonts w:ascii="Times New Roman" w:hAnsi="Times New Roman" w:cs="Times New Roman"/>
      <w:sz w:val="24"/>
      <w:szCs w:val="24"/>
      <w:lang w:val="en-US" w:bidi="ar-SA"/>
    </w:rPr>
  </w:style>
  <w:style w:type="paragraph" w:customStyle="1" w:styleId="2240">
    <w:name w:val="项目号"/>
    <w:basedOn w:val="1"/>
    <w:qFormat/>
    <w:uiPriority w:val="0"/>
    <w:pPr>
      <w:autoSpaceDE/>
      <w:autoSpaceDN/>
      <w:spacing w:afterLines="50" w:line="480" w:lineRule="exact"/>
      <w:ind w:firstLine="560" w:firstLineChars="200"/>
      <w:jc w:val="both"/>
    </w:pPr>
    <w:rPr>
      <w:rFonts w:cs="Times New Roman"/>
      <w:sz w:val="28"/>
      <w:szCs w:val="28"/>
      <w:lang w:val="en-US" w:bidi="ar-SA"/>
    </w:rPr>
  </w:style>
  <w:style w:type="paragraph" w:customStyle="1" w:styleId="2241">
    <w:name w:val="样式80"/>
    <w:basedOn w:val="1213"/>
    <w:qFormat/>
    <w:uiPriority w:val="0"/>
    <w:pPr>
      <w:adjustRightInd w:val="0"/>
      <w:spacing w:line="480" w:lineRule="exact"/>
      <w:ind w:firstLine="420"/>
      <w:jc w:val="center"/>
      <w:textAlignment w:val="baseline"/>
    </w:pPr>
    <w:rPr>
      <w:rFonts w:ascii="Times New Roman" w:hAnsi="Times New Roman" w:eastAsia="宋体" w:cs="Times New Roman"/>
      <w:snapToGrid w:val="0"/>
      <w:color w:val="000000"/>
      <w:kern w:val="0"/>
      <w:sz w:val="21"/>
      <w:szCs w:val="21"/>
    </w:rPr>
  </w:style>
  <w:style w:type="paragraph" w:customStyle="1" w:styleId="2242">
    <w:name w:val="样式 非加粗 行距: 固定值 22 磅"/>
    <w:basedOn w:val="1"/>
    <w:uiPriority w:val="0"/>
    <w:pPr>
      <w:autoSpaceDE/>
      <w:autoSpaceDN/>
      <w:spacing w:line="360" w:lineRule="auto"/>
      <w:ind w:firstLine="544" w:firstLineChars="200"/>
      <w:jc w:val="both"/>
    </w:pPr>
    <w:rPr>
      <w:rFonts w:cs="Times New Roman"/>
      <w:color w:val="000000"/>
      <w:spacing w:val="-4"/>
      <w:kern w:val="2"/>
      <w:sz w:val="28"/>
      <w:szCs w:val="28"/>
      <w:lang w:val="en-US" w:bidi="ar-SA"/>
    </w:rPr>
  </w:style>
  <w:style w:type="paragraph" w:customStyle="1" w:styleId="2243">
    <w:name w:val="参考文献、索引标题"/>
    <w:basedOn w:val="1"/>
    <w:next w:val="1"/>
    <w:qFormat/>
    <w:uiPriority w:val="0"/>
    <w:pPr>
      <w:widowControl/>
      <w:shd w:val="clear" w:color="FFFFFF" w:fill="FFFFFF"/>
      <w:autoSpaceDE/>
      <w:autoSpaceDN/>
      <w:spacing w:before="640" w:after="200"/>
      <w:jc w:val="center"/>
      <w:outlineLvl w:val="0"/>
    </w:pPr>
    <w:rPr>
      <w:rFonts w:ascii="黑体" w:hAnsi="Times New Roman" w:eastAsia="黑体" w:cs="Times New Roman"/>
      <w:sz w:val="21"/>
      <w:szCs w:val="20"/>
      <w:lang w:val="en-US" w:bidi="ar-SA"/>
    </w:rPr>
  </w:style>
  <w:style w:type="paragraph" w:customStyle="1" w:styleId="2244">
    <w:name w:val="Char1 Char Char Char3"/>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2245">
    <w:name w:val="xl311"/>
    <w:basedOn w:val="1"/>
    <w:qFormat/>
    <w:uiPriority w:val="0"/>
    <w:pPr>
      <w:widowControl/>
      <w:pBdr>
        <w:bottom w:val="single" w:color="auto" w:sz="4" w:space="0"/>
        <w:right w:val="single" w:color="auto" w:sz="4" w:space="0"/>
      </w:pBdr>
      <w:shd w:val="clear" w:color="auto" w:fill="FF8080"/>
      <w:autoSpaceDE/>
      <w:autoSpaceDN/>
      <w:spacing w:before="100" w:beforeAutospacing="1" w:after="100" w:afterAutospacing="1"/>
      <w:jc w:val="center"/>
    </w:pPr>
    <w:rPr>
      <w:rFonts w:ascii="方正综艺简体" w:eastAsia="方正综艺简体"/>
      <w:sz w:val="20"/>
      <w:szCs w:val="20"/>
      <w:lang w:val="en-US" w:bidi="ar-SA"/>
    </w:rPr>
  </w:style>
  <w:style w:type="paragraph" w:customStyle="1" w:styleId="2246">
    <w:name w:val="样式 样式 (符号) 宋体 右 + 首行缩进:  2 字符"/>
    <w:basedOn w:val="2209"/>
    <w:qFormat/>
    <w:uiPriority w:val="0"/>
    <w:pPr>
      <w:ind w:firstLine="560"/>
      <w:jc w:val="both"/>
    </w:pPr>
  </w:style>
  <w:style w:type="paragraph" w:customStyle="1" w:styleId="2247">
    <w:name w:val="样式81"/>
    <w:basedOn w:val="1213"/>
    <w:qFormat/>
    <w:uiPriority w:val="0"/>
    <w:pPr>
      <w:adjustRightInd w:val="0"/>
      <w:spacing w:line="480" w:lineRule="exact"/>
      <w:ind w:firstLine="560"/>
      <w:textAlignment w:val="baseline"/>
    </w:pPr>
    <w:rPr>
      <w:rFonts w:ascii="Times New Roman" w:hAnsi="Times New Roman" w:eastAsia="宋体" w:cs="Times New Roman"/>
      <w:snapToGrid w:val="0"/>
      <w:color w:val="000000"/>
      <w:kern w:val="0"/>
      <w:sz w:val="28"/>
    </w:rPr>
  </w:style>
  <w:style w:type="paragraph" w:customStyle="1" w:styleId="2248">
    <w:name w:val="_Style 77"/>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2249">
    <w:name w:val="索引 51"/>
    <w:basedOn w:val="1"/>
    <w:next w:val="1"/>
    <w:qFormat/>
    <w:uiPriority w:val="0"/>
    <w:pPr>
      <w:autoSpaceDE/>
      <w:autoSpaceDN/>
      <w:spacing w:line="480" w:lineRule="exact"/>
      <w:ind w:left="800" w:leftChars="800"/>
      <w:jc w:val="both"/>
    </w:pPr>
    <w:rPr>
      <w:rFonts w:ascii="Times New Roman" w:hAnsi="Times New Roman" w:cs="Times New Roman"/>
      <w:kern w:val="2"/>
      <w:sz w:val="24"/>
      <w:szCs w:val="24"/>
      <w:lang w:val="en-US" w:bidi="ar-SA"/>
    </w:rPr>
  </w:style>
  <w:style w:type="paragraph" w:customStyle="1" w:styleId="2250">
    <w:name w:val="索引 21"/>
    <w:basedOn w:val="1"/>
    <w:next w:val="1"/>
    <w:qFormat/>
    <w:uiPriority w:val="0"/>
    <w:pPr>
      <w:autoSpaceDE/>
      <w:autoSpaceDN/>
      <w:spacing w:line="480" w:lineRule="exact"/>
      <w:ind w:left="200" w:leftChars="200"/>
      <w:jc w:val="both"/>
    </w:pPr>
    <w:rPr>
      <w:rFonts w:ascii="Times New Roman" w:hAnsi="Times New Roman" w:cs="Times New Roman"/>
      <w:kern w:val="2"/>
      <w:sz w:val="24"/>
      <w:szCs w:val="24"/>
      <w:lang w:val="en-US" w:bidi="ar-SA"/>
    </w:rPr>
  </w:style>
  <w:style w:type="paragraph" w:customStyle="1" w:styleId="2251">
    <w:name w:val="xl258"/>
    <w:basedOn w:val="1"/>
    <w:qFormat/>
    <w:uiPriority w:val="0"/>
    <w:pPr>
      <w:widowControl/>
      <w:pBdr>
        <w:top w:val="single" w:color="auto" w:sz="4" w:space="0"/>
        <w:left w:val="single" w:color="auto" w:sz="4" w:space="0"/>
        <w:bottom w:val="single" w:color="auto" w:sz="4" w:space="0"/>
        <w:right w:val="single" w:color="auto" w:sz="4" w:space="0"/>
      </w:pBdr>
      <w:shd w:val="clear" w:color="auto" w:fill="FF8080"/>
      <w:autoSpaceDE/>
      <w:autoSpaceDN/>
      <w:spacing w:before="100" w:beforeAutospacing="1" w:after="100" w:afterAutospacing="1"/>
    </w:pPr>
    <w:rPr>
      <w:sz w:val="20"/>
      <w:szCs w:val="20"/>
      <w:lang w:val="en-US" w:bidi="ar-SA"/>
    </w:rPr>
  </w:style>
  <w:style w:type="paragraph" w:customStyle="1" w:styleId="2252">
    <w:name w:val="表格内的文字"/>
    <w:basedOn w:val="1213"/>
    <w:qFormat/>
    <w:uiPriority w:val="0"/>
    <w:pPr>
      <w:adjustRightInd w:val="0"/>
      <w:spacing w:line="360" w:lineRule="exact"/>
      <w:ind w:firstLine="0" w:firstLineChars="0"/>
      <w:jc w:val="center"/>
      <w:textAlignment w:val="baseline"/>
    </w:pPr>
    <w:rPr>
      <w:rFonts w:ascii="Times New Roman" w:hAnsi="Times New Roman" w:eastAsia="宋体" w:cs="Times New Roman"/>
      <w:kern w:val="0"/>
      <w:sz w:val="21"/>
      <w:szCs w:val="21"/>
    </w:rPr>
  </w:style>
  <w:style w:type="paragraph" w:customStyle="1" w:styleId="2253">
    <w:name w:val="样式 标题 2 + (符号) 宋体 四号 两端对齐 段前: 10 磅 段后: 10 磅"/>
    <w:basedOn w:val="4"/>
    <w:qFormat/>
    <w:uiPriority w:val="0"/>
    <w:pPr>
      <w:keepNext/>
      <w:autoSpaceDE/>
      <w:autoSpaceDN/>
      <w:adjustRightInd w:val="0"/>
      <w:snapToGrid w:val="0"/>
      <w:spacing w:before="200" w:after="200" w:line="600" w:lineRule="exact"/>
      <w:ind w:left="0" w:firstLine="0"/>
      <w:jc w:val="both"/>
    </w:pPr>
    <w:rPr>
      <w:rFonts w:ascii="Times New Roman" w:eastAsia="黑体"/>
      <w:b/>
      <w:bCs/>
      <w:kern w:val="2"/>
      <w:szCs w:val="20"/>
      <w:lang w:val="en-US" w:bidi="ar-SA"/>
    </w:rPr>
  </w:style>
  <w:style w:type="paragraph" w:customStyle="1" w:styleId="2254">
    <w:name w:val="xl215"/>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255">
    <w:name w:val="reader-word-layer reader-word-s4-3"/>
    <w:basedOn w:val="1"/>
    <w:qFormat/>
    <w:uiPriority w:val="0"/>
    <w:pPr>
      <w:widowControl/>
      <w:autoSpaceDE/>
      <w:autoSpaceDN/>
      <w:spacing w:before="100" w:beforeAutospacing="1" w:after="100" w:afterAutospacing="1"/>
    </w:pPr>
    <w:rPr>
      <w:sz w:val="24"/>
      <w:szCs w:val="24"/>
      <w:lang w:val="en-US" w:bidi="ar-SA"/>
    </w:rPr>
  </w:style>
  <w:style w:type="paragraph" w:customStyle="1" w:styleId="2256">
    <w:name w:val="xl135"/>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4"/>
      <w:szCs w:val="24"/>
      <w:lang w:val="en-US" w:bidi="ar-SA"/>
    </w:rPr>
  </w:style>
  <w:style w:type="paragraph" w:customStyle="1" w:styleId="2257">
    <w:name w:val="文档结构图2"/>
    <w:basedOn w:val="1"/>
    <w:uiPriority w:val="0"/>
    <w:pPr>
      <w:autoSpaceDE/>
      <w:autoSpaceDN/>
      <w:jc w:val="both"/>
    </w:pPr>
    <w:rPr>
      <w:rFonts w:hAnsi="Times New Roman" w:cs="Times New Roman"/>
      <w:kern w:val="2"/>
      <w:sz w:val="18"/>
      <w:szCs w:val="18"/>
      <w:lang w:val="en-US" w:bidi="ar-SA"/>
    </w:rPr>
  </w:style>
  <w:style w:type="paragraph" w:customStyle="1" w:styleId="2258">
    <w:name w:val="xl223"/>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sz w:val="20"/>
      <w:szCs w:val="20"/>
      <w:lang w:val="en-US" w:bidi="ar-SA"/>
    </w:rPr>
  </w:style>
  <w:style w:type="paragraph" w:customStyle="1" w:styleId="2259">
    <w:name w:val="xl291"/>
    <w:basedOn w:val="1"/>
    <w:qFormat/>
    <w:uiPriority w:val="0"/>
    <w:pPr>
      <w:widowControl/>
      <w:pBdr>
        <w:top w:val="single" w:color="auto" w:sz="4" w:space="0"/>
        <w:left w:val="single" w:color="auto" w:sz="4" w:space="0"/>
        <w:right w:val="single" w:color="auto" w:sz="4" w:space="0"/>
      </w:pBdr>
      <w:shd w:val="clear" w:color="auto" w:fill="FF8080"/>
      <w:autoSpaceDE/>
      <w:autoSpaceDN/>
      <w:spacing w:before="100" w:beforeAutospacing="1" w:after="100" w:afterAutospacing="1"/>
      <w:jc w:val="center"/>
    </w:pPr>
    <w:rPr>
      <w:rFonts w:ascii="方正综艺简体" w:eastAsia="方正综艺简体"/>
      <w:color w:val="000000"/>
      <w:sz w:val="20"/>
      <w:szCs w:val="20"/>
      <w:lang w:val="en-US" w:bidi="ar-SA"/>
    </w:rPr>
  </w:style>
  <w:style w:type="paragraph" w:customStyle="1" w:styleId="2260">
    <w:name w:val="xl218"/>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sz w:val="20"/>
      <w:szCs w:val="20"/>
      <w:lang w:val="en-US" w:bidi="ar-SA"/>
    </w:rPr>
  </w:style>
  <w:style w:type="paragraph" w:customStyle="1" w:styleId="2261">
    <w:name w:val="xl284"/>
    <w:basedOn w:val="1"/>
    <w:qFormat/>
    <w:uiPriority w:val="0"/>
    <w:pPr>
      <w:widowControl/>
      <w:pBdr>
        <w:left w:val="single" w:color="auto" w:sz="4" w:space="0"/>
        <w:bottom w:val="single" w:color="auto" w:sz="4" w:space="0"/>
        <w:right w:val="single" w:color="auto" w:sz="4" w:space="0"/>
      </w:pBdr>
      <w:shd w:val="clear" w:color="auto" w:fill="FF8080"/>
      <w:autoSpaceDE/>
      <w:autoSpaceDN/>
      <w:spacing w:before="100" w:beforeAutospacing="1" w:after="100" w:afterAutospacing="1"/>
      <w:jc w:val="center"/>
    </w:pPr>
    <w:rPr>
      <w:rFonts w:ascii="方正综艺简体" w:eastAsia="方正综艺简体"/>
      <w:sz w:val="20"/>
      <w:szCs w:val="20"/>
      <w:lang w:val="en-US" w:bidi="ar-SA"/>
    </w:rPr>
  </w:style>
  <w:style w:type="paragraph" w:customStyle="1" w:styleId="2262">
    <w:name w:val="目录目次"/>
    <w:basedOn w:val="2227"/>
    <w:qFormat/>
    <w:uiPriority w:val="0"/>
    <w:pPr>
      <w:spacing w:beforeLines="100" w:afterLines="100" w:line="480" w:lineRule="exact"/>
      <w:ind w:left="0" w:leftChars="0"/>
      <w:jc w:val="center"/>
    </w:pPr>
  </w:style>
  <w:style w:type="paragraph" w:customStyle="1" w:styleId="2263">
    <w:name w:val="时间"/>
    <w:qFormat/>
    <w:uiPriority w:val="0"/>
    <w:pPr>
      <w:spacing w:before="240" w:line="480" w:lineRule="exact"/>
      <w:jc w:val="center"/>
    </w:pPr>
    <w:rPr>
      <w:rFonts w:ascii="Times New Roman" w:hAnsi="Times New Roman" w:eastAsia="楷体_GB2312" w:cs="Arial"/>
      <w:bCs/>
      <w:kern w:val="2"/>
      <w:sz w:val="36"/>
      <w:szCs w:val="36"/>
      <w:lang w:val="en-US" w:eastAsia="zh-CN" w:bidi="ar-SA"/>
    </w:rPr>
  </w:style>
  <w:style w:type="paragraph" w:customStyle="1" w:styleId="2264">
    <w:name w:val="样式29"/>
    <w:basedOn w:val="1"/>
    <w:qFormat/>
    <w:uiPriority w:val="0"/>
    <w:pPr>
      <w:autoSpaceDE/>
      <w:autoSpaceDN/>
      <w:adjustRightInd w:val="0"/>
      <w:snapToGrid w:val="0"/>
      <w:spacing w:line="480" w:lineRule="exact"/>
      <w:ind w:firstLine="560" w:firstLineChars="200"/>
      <w:jc w:val="center"/>
    </w:pPr>
    <w:rPr>
      <w:rFonts w:ascii="Times New Roman" w:hAnsi="Times New Roman" w:cs="Times New Roman"/>
      <w:snapToGrid w:val="0"/>
      <w:sz w:val="28"/>
      <w:szCs w:val="28"/>
      <w:lang w:val="en-US" w:bidi="ar-SA"/>
    </w:rPr>
  </w:style>
  <w:style w:type="paragraph" w:customStyle="1" w:styleId="2265">
    <w:name w:val="xl213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autoSpaceDE/>
      <w:autoSpaceDN/>
      <w:spacing w:before="100" w:beforeAutospacing="1" w:after="100" w:afterAutospacing="1"/>
    </w:pPr>
    <w:rPr>
      <w:sz w:val="24"/>
      <w:szCs w:val="24"/>
      <w:lang w:val="en-US" w:bidi="ar-SA"/>
    </w:rPr>
  </w:style>
  <w:style w:type="paragraph" w:customStyle="1" w:styleId="2266">
    <w:name w:val="正文文本 24"/>
    <w:basedOn w:val="1"/>
    <w:qFormat/>
    <w:uiPriority w:val="0"/>
    <w:pPr>
      <w:autoSpaceDE/>
      <w:autoSpaceDN/>
      <w:adjustRightInd w:val="0"/>
      <w:jc w:val="center"/>
      <w:textAlignment w:val="baseline"/>
    </w:pPr>
    <w:rPr>
      <w:rFonts w:ascii="Arial" w:hAnsi="Arial" w:eastAsia="Arial" w:cs="Times New Roman"/>
      <w:kern w:val="2"/>
      <w:sz w:val="21"/>
      <w:szCs w:val="20"/>
      <w:lang w:val="en-US" w:bidi="ar-SA"/>
    </w:rPr>
  </w:style>
  <w:style w:type="paragraph" w:customStyle="1" w:styleId="2267">
    <w:name w:val="正文－首行缩进2字符"/>
    <w:basedOn w:val="1"/>
    <w:uiPriority w:val="0"/>
    <w:pPr>
      <w:autoSpaceDE/>
      <w:autoSpaceDN/>
      <w:adjustRightInd w:val="0"/>
      <w:snapToGrid w:val="0"/>
      <w:spacing w:line="480" w:lineRule="exact"/>
      <w:ind w:firstLine="560" w:firstLineChars="200"/>
      <w:jc w:val="both"/>
    </w:pPr>
    <w:rPr>
      <w:rFonts w:ascii="Times New Roman" w:hAnsi="Times New Roman" w:cs="Times New Roman"/>
      <w:kern w:val="2"/>
      <w:sz w:val="24"/>
      <w:szCs w:val="24"/>
      <w:lang w:val="en-US" w:bidi="ar-SA"/>
    </w:rPr>
  </w:style>
  <w:style w:type="paragraph" w:customStyle="1" w:styleId="2268">
    <w:name w:val="签署及档案号"/>
    <w:basedOn w:val="1"/>
    <w:next w:val="1"/>
    <w:qFormat/>
    <w:uiPriority w:val="0"/>
    <w:pPr>
      <w:autoSpaceDE/>
      <w:autoSpaceDN/>
      <w:adjustRightInd w:val="0"/>
      <w:snapToGrid w:val="0"/>
      <w:spacing w:line="480" w:lineRule="exact"/>
      <w:jc w:val="center"/>
    </w:pPr>
    <w:rPr>
      <w:rFonts w:ascii="Times New Roman" w:hAnsi="Times New Roman" w:cs="Times New Roman"/>
      <w:sz w:val="21"/>
      <w:szCs w:val="21"/>
      <w:lang w:val="en-US" w:bidi="ar-SA"/>
    </w:rPr>
  </w:style>
  <w:style w:type="paragraph" w:customStyle="1" w:styleId="2269">
    <w:name w:val="xl214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autoSpaceDE/>
      <w:autoSpaceDN/>
      <w:spacing w:before="100" w:beforeAutospacing="1" w:after="100" w:afterAutospacing="1"/>
      <w:jc w:val="center"/>
    </w:pPr>
    <w:rPr>
      <w:b/>
      <w:bCs/>
      <w:sz w:val="24"/>
      <w:szCs w:val="24"/>
      <w:lang w:val="en-US" w:bidi="ar-SA"/>
    </w:rPr>
  </w:style>
  <w:style w:type="paragraph" w:customStyle="1" w:styleId="2270">
    <w:name w:val="Char Char Char Char Char Char Char Char2"/>
    <w:basedOn w:val="1"/>
    <w:qFormat/>
    <w:uiPriority w:val="0"/>
    <w:pPr>
      <w:widowControl/>
      <w:autoSpaceDE/>
      <w:autoSpaceDN/>
      <w:spacing w:after="160" w:line="240" w:lineRule="exact"/>
    </w:pPr>
    <w:rPr>
      <w:rFonts w:ascii="Verdana" w:hAnsi="Verdana" w:cs="Times New Roman"/>
      <w:sz w:val="20"/>
      <w:szCs w:val="20"/>
      <w:lang w:val="en-US" w:eastAsia="en-US" w:bidi="ar-SA"/>
    </w:rPr>
  </w:style>
  <w:style w:type="paragraph" w:customStyle="1" w:styleId="2271">
    <w:name w:val="文本块1"/>
    <w:basedOn w:val="1"/>
    <w:qFormat/>
    <w:uiPriority w:val="0"/>
    <w:pPr>
      <w:autoSpaceDE/>
      <w:autoSpaceDN/>
      <w:ind w:left="144" w:right="90" w:firstLine="645"/>
      <w:jc w:val="both"/>
    </w:pPr>
    <w:rPr>
      <w:rFonts w:ascii="Times New Roman" w:hAnsi="Times New Roman" w:eastAsia="楷体_GB2312" w:cs="Times New Roman"/>
      <w:kern w:val="2"/>
      <w:sz w:val="24"/>
      <w:szCs w:val="20"/>
      <w:lang w:val="en-US" w:bidi="ar-SA"/>
    </w:rPr>
  </w:style>
  <w:style w:type="paragraph" w:customStyle="1" w:styleId="2272">
    <w:name w:val="xl309"/>
    <w:basedOn w:val="1"/>
    <w:qFormat/>
    <w:uiPriority w:val="0"/>
    <w:pPr>
      <w:widowControl/>
      <w:pBdr>
        <w:left w:val="single" w:color="auto" w:sz="4" w:space="0"/>
        <w:bottom w:val="single" w:color="auto" w:sz="4" w:space="0"/>
      </w:pBdr>
      <w:shd w:val="clear" w:color="auto" w:fill="FF8080"/>
      <w:autoSpaceDE/>
      <w:autoSpaceDN/>
      <w:spacing w:before="100" w:beforeAutospacing="1" w:after="100" w:afterAutospacing="1"/>
      <w:jc w:val="center"/>
    </w:pPr>
    <w:rPr>
      <w:rFonts w:ascii="方正综艺简体" w:eastAsia="方正综艺简体"/>
      <w:sz w:val="20"/>
      <w:szCs w:val="20"/>
      <w:lang w:val="en-US" w:bidi="ar-SA"/>
    </w:rPr>
  </w:style>
  <w:style w:type="paragraph" w:customStyle="1" w:styleId="2273">
    <w:name w:val="样式26"/>
    <w:basedOn w:val="1"/>
    <w:qFormat/>
    <w:uiPriority w:val="0"/>
    <w:pPr>
      <w:autoSpaceDE/>
      <w:autoSpaceDN/>
      <w:adjustRightInd w:val="0"/>
      <w:snapToGrid w:val="0"/>
      <w:spacing w:line="480" w:lineRule="exact"/>
      <w:ind w:firstLine="700" w:firstLineChars="250"/>
      <w:jc w:val="both"/>
    </w:pPr>
    <w:rPr>
      <w:rFonts w:ascii="Times New Roman" w:hAnsi="Times New Roman" w:cs="Times New Roman"/>
      <w:snapToGrid w:val="0"/>
      <w:sz w:val="28"/>
      <w:szCs w:val="28"/>
      <w:lang w:val="en-US" w:bidi="ar-SA"/>
    </w:rPr>
  </w:style>
  <w:style w:type="paragraph" w:customStyle="1" w:styleId="2274">
    <w:name w:val="样式78"/>
    <w:basedOn w:val="1"/>
    <w:qFormat/>
    <w:uiPriority w:val="0"/>
    <w:pPr>
      <w:autoSpaceDE/>
      <w:autoSpaceDN/>
      <w:adjustRightInd w:val="0"/>
      <w:snapToGrid w:val="0"/>
      <w:spacing w:line="500" w:lineRule="exact"/>
      <w:ind w:firstLine="480" w:firstLineChars="200"/>
      <w:jc w:val="both"/>
    </w:pPr>
    <w:rPr>
      <w:rFonts w:ascii="Times New Roman" w:hAnsi="Times New Roman" w:cs="Times New Roman"/>
      <w:snapToGrid w:val="0"/>
      <w:sz w:val="24"/>
      <w:szCs w:val="24"/>
      <w:lang w:val="en-US" w:bidi="ar-SA"/>
    </w:rPr>
  </w:style>
  <w:style w:type="paragraph" w:customStyle="1" w:styleId="2275">
    <w:name w:val="列表 21"/>
    <w:basedOn w:val="1"/>
    <w:qFormat/>
    <w:uiPriority w:val="0"/>
    <w:pPr>
      <w:autoSpaceDE/>
      <w:autoSpaceDN/>
      <w:spacing w:line="480" w:lineRule="exact"/>
      <w:ind w:left="840" w:hanging="420"/>
      <w:jc w:val="both"/>
    </w:pPr>
    <w:rPr>
      <w:rFonts w:ascii="Times New Roman" w:hAnsi="Times New Roman" w:cs="Times New Roman"/>
      <w:kern w:val="2"/>
      <w:sz w:val="24"/>
      <w:szCs w:val="20"/>
      <w:lang w:val="en-US" w:bidi="ar-SA"/>
    </w:rPr>
  </w:style>
  <w:style w:type="paragraph" w:customStyle="1" w:styleId="2276">
    <w:name w:val="lxb正文 Char Char Char"/>
    <w:basedOn w:val="1"/>
    <w:next w:val="46"/>
    <w:qFormat/>
    <w:uiPriority w:val="0"/>
    <w:pPr>
      <w:autoSpaceDE/>
      <w:autoSpaceDN/>
      <w:spacing w:line="360" w:lineRule="auto"/>
      <w:ind w:firstLine="480" w:firstLineChars="200"/>
      <w:jc w:val="both"/>
    </w:pPr>
    <w:rPr>
      <w:rFonts w:ascii="Times New Roman" w:hAnsi="Times New Roman" w:cs="Times New Roman"/>
      <w:sz w:val="24"/>
      <w:szCs w:val="24"/>
      <w:lang w:val="en-US" w:bidi="ar-SA"/>
    </w:rPr>
  </w:style>
  <w:style w:type="paragraph" w:customStyle="1" w:styleId="2277">
    <w:name w:val="样式54"/>
    <w:basedOn w:val="1"/>
    <w:qFormat/>
    <w:uiPriority w:val="0"/>
    <w:pPr>
      <w:autoSpaceDE/>
      <w:autoSpaceDN/>
      <w:adjustRightInd w:val="0"/>
      <w:snapToGrid w:val="0"/>
      <w:spacing w:line="480" w:lineRule="exact"/>
      <w:ind w:firstLine="538" w:firstLineChars="192"/>
      <w:jc w:val="both"/>
    </w:pPr>
    <w:rPr>
      <w:rFonts w:ascii="Times New Roman" w:hAnsi="Times New Roman" w:cs="Times New Roman"/>
      <w:snapToGrid w:val="0"/>
      <w:sz w:val="28"/>
      <w:szCs w:val="24"/>
      <w:lang w:val="en-US" w:bidi="ar-SA"/>
    </w:rPr>
  </w:style>
  <w:style w:type="paragraph" w:customStyle="1" w:styleId="2278">
    <w:name w:val="索引 41"/>
    <w:basedOn w:val="1"/>
    <w:next w:val="1"/>
    <w:qFormat/>
    <w:uiPriority w:val="0"/>
    <w:pPr>
      <w:autoSpaceDE/>
      <w:autoSpaceDN/>
      <w:spacing w:line="480" w:lineRule="exact"/>
      <w:ind w:left="600" w:leftChars="600"/>
      <w:jc w:val="both"/>
    </w:pPr>
    <w:rPr>
      <w:rFonts w:ascii="Times New Roman" w:hAnsi="Times New Roman" w:cs="Times New Roman"/>
      <w:kern w:val="2"/>
      <w:sz w:val="24"/>
      <w:szCs w:val="24"/>
      <w:lang w:val="en-US" w:bidi="ar-SA"/>
    </w:rPr>
  </w:style>
  <w:style w:type="paragraph" w:customStyle="1" w:styleId="2279">
    <w:name w:val="Знак Знак1"/>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2280">
    <w:name w:val="表中正文"/>
    <w:basedOn w:val="1"/>
    <w:qFormat/>
    <w:uiPriority w:val="0"/>
    <w:pPr>
      <w:autoSpaceDE/>
      <w:autoSpaceDN/>
      <w:spacing w:before="60" w:after="60" w:line="240" w:lineRule="exact"/>
      <w:jc w:val="center"/>
    </w:pPr>
    <w:rPr>
      <w:rFonts w:cs="Times New Roman"/>
      <w:spacing w:val="-8"/>
      <w:kern w:val="2"/>
      <w:sz w:val="21"/>
      <w:szCs w:val="24"/>
      <w:lang w:val="en-US" w:bidi="ar-SA"/>
    </w:rPr>
  </w:style>
  <w:style w:type="paragraph" w:customStyle="1" w:styleId="2281">
    <w:name w:val="正文文本 241"/>
    <w:basedOn w:val="1"/>
    <w:uiPriority w:val="0"/>
    <w:pPr>
      <w:autoSpaceDE/>
      <w:autoSpaceDN/>
      <w:adjustRightInd w:val="0"/>
      <w:jc w:val="center"/>
      <w:textAlignment w:val="baseline"/>
    </w:pPr>
    <w:rPr>
      <w:rFonts w:ascii="Arial" w:hAnsi="Arial" w:cs="Times New Roman"/>
      <w:kern w:val="2"/>
      <w:sz w:val="21"/>
      <w:szCs w:val="20"/>
      <w:lang w:val="en-US" w:bidi="ar-SA"/>
    </w:rPr>
  </w:style>
  <w:style w:type="paragraph" w:customStyle="1" w:styleId="2282">
    <w:name w:val="lsw表格文字"/>
    <w:basedOn w:val="1"/>
    <w:qFormat/>
    <w:uiPriority w:val="0"/>
    <w:pPr>
      <w:autoSpaceDE/>
      <w:autoSpaceDN/>
      <w:spacing w:line="320" w:lineRule="exact"/>
      <w:ind w:left="-10" w:leftChars="-32" w:hanging="67" w:hangingChars="32"/>
      <w:jc w:val="center"/>
    </w:pPr>
    <w:rPr>
      <w:rFonts w:ascii="Times New Roman" w:hAnsi="Times New Roman" w:cs="Times New Roman"/>
      <w:kern w:val="2"/>
      <w:sz w:val="21"/>
      <w:szCs w:val="24"/>
      <w:lang w:val="en-US" w:bidi="ar-SA"/>
    </w:rPr>
  </w:style>
  <w:style w:type="paragraph" w:customStyle="1" w:styleId="2283">
    <w:name w:val="正文缩进4"/>
    <w:basedOn w:val="1"/>
    <w:qFormat/>
    <w:uiPriority w:val="0"/>
    <w:pPr>
      <w:autoSpaceDE/>
      <w:autoSpaceDN/>
      <w:adjustRightInd w:val="0"/>
      <w:ind w:firstLine="420"/>
      <w:jc w:val="both"/>
      <w:textAlignment w:val="baseline"/>
    </w:pPr>
    <w:rPr>
      <w:rFonts w:ascii="Times New Roman" w:hAnsi="Times New Roman" w:cs="Times New Roman"/>
      <w:kern w:val="2"/>
      <w:sz w:val="24"/>
      <w:szCs w:val="20"/>
      <w:lang w:val="en-US" w:bidi="ar-SA"/>
    </w:rPr>
  </w:style>
  <w:style w:type="paragraph" w:customStyle="1" w:styleId="2284">
    <w:name w:val="索引 52"/>
    <w:basedOn w:val="1"/>
    <w:next w:val="1"/>
    <w:uiPriority w:val="0"/>
    <w:pPr>
      <w:autoSpaceDE/>
      <w:autoSpaceDN/>
      <w:spacing w:line="480" w:lineRule="exact"/>
      <w:ind w:left="800" w:leftChars="800"/>
      <w:jc w:val="both"/>
    </w:pPr>
    <w:rPr>
      <w:rFonts w:ascii="Times New Roman" w:hAnsi="Times New Roman" w:cs="Times New Roman"/>
      <w:kern w:val="2"/>
      <w:sz w:val="24"/>
      <w:szCs w:val="24"/>
      <w:lang w:val="en-US" w:bidi="ar-SA"/>
    </w:rPr>
  </w:style>
  <w:style w:type="paragraph" w:customStyle="1" w:styleId="2285">
    <w:name w:val="默认段落字体 Para Char Char Char1 Char Char Char Char"/>
    <w:basedOn w:val="1"/>
    <w:uiPriority w:val="0"/>
    <w:pPr>
      <w:autoSpaceDE/>
      <w:autoSpaceDN/>
      <w:spacing w:line="360" w:lineRule="auto"/>
      <w:jc w:val="both"/>
    </w:pPr>
    <w:rPr>
      <w:rFonts w:hAnsi="Times New Roman" w:eastAsia="方正仿宋简体" w:cs="Times New Roman"/>
      <w:color w:val="000000"/>
      <w:kern w:val="2"/>
      <w:sz w:val="24"/>
      <w:szCs w:val="32"/>
      <w:lang w:val="en-US" w:bidi="ar-SA"/>
    </w:rPr>
  </w:style>
  <w:style w:type="paragraph" w:customStyle="1" w:styleId="2286">
    <w:name w:val="小表格"/>
    <w:basedOn w:val="1"/>
    <w:qFormat/>
    <w:uiPriority w:val="0"/>
    <w:pPr>
      <w:autoSpaceDE/>
      <w:autoSpaceDN/>
      <w:jc w:val="center"/>
    </w:pPr>
    <w:rPr>
      <w:rFonts w:cs="Times New Roman"/>
      <w:kern w:val="2"/>
      <w:sz w:val="18"/>
      <w:szCs w:val="20"/>
      <w:lang w:val="en-US" w:bidi="ar-SA"/>
    </w:rPr>
  </w:style>
  <w:style w:type="paragraph" w:customStyle="1" w:styleId="2287">
    <w:name w:val="样式56"/>
    <w:basedOn w:val="2235"/>
    <w:qFormat/>
    <w:uiPriority w:val="0"/>
    <w:pPr>
      <w:spacing w:line="500" w:lineRule="exact"/>
      <w:ind w:firstLine="560"/>
    </w:pPr>
    <w:rPr>
      <w:b w:val="0"/>
    </w:rPr>
  </w:style>
  <w:style w:type="paragraph" w:customStyle="1" w:styleId="2288">
    <w:name w:val="正文表格头"/>
    <w:basedOn w:val="1"/>
    <w:uiPriority w:val="0"/>
    <w:pPr>
      <w:autoSpaceDE/>
      <w:autoSpaceDN/>
      <w:jc w:val="center"/>
    </w:pPr>
    <w:rPr>
      <w:rFonts w:ascii="Times New Roman" w:hAnsi="Times New Roman" w:eastAsia="黑体" w:cs="Times New Roman"/>
      <w:kern w:val="2"/>
      <w:sz w:val="28"/>
      <w:szCs w:val="24"/>
      <w:lang w:val="en-US" w:bidi="ar-SA"/>
    </w:rPr>
  </w:style>
  <w:style w:type="paragraph" w:customStyle="1" w:styleId="2289">
    <w:name w:val="样式75"/>
    <w:basedOn w:val="1"/>
    <w:qFormat/>
    <w:uiPriority w:val="0"/>
    <w:pPr>
      <w:autoSpaceDE/>
      <w:autoSpaceDN/>
      <w:adjustRightInd w:val="0"/>
      <w:snapToGrid w:val="0"/>
      <w:spacing w:line="480" w:lineRule="exact"/>
      <w:ind w:firstLine="560" w:firstLineChars="200"/>
      <w:jc w:val="center"/>
    </w:pPr>
    <w:rPr>
      <w:rFonts w:ascii="Times New Roman" w:hAnsi="Times New Roman" w:cs="Times New Roman"/>
      <w:snapToGrid w:val="0"/>
      <w:color w:val="000000"/>
      <w:sz w:val="28"/>
      <w:szCs w:val="21"/>
      <w:lang w:val="en-US" w:bidi="ar-SA"/>
    </w:rPr>
  </w:style>
  <w:style w:type="paragraph" w:customStyle="1" w:styleId="2290">
    <w:name w:val="样式17"/>
    <w:basedOn w:val="1"/>
    <w:qFormat/>
    <w:uiPriority w:val="0"/>
    <w:pPr>
      <w:tabs>
        <w:tab w:val="left" w:pos="0"/>
      </w:tabs>
      <w:autoSpaceDE/>
      <w:autoSpaceDN/>
      <w:adjustRightInd w:val="0"/>
      <w:snapToGrid w:val="0"/>
      <w:spacing w:line="500" w:lineRule="exact"/>
      <w:ind w:firstLine="560" w:firstLineChars="200"/>
      <w:jc w:val="center"/>
    </w:pPr>
    <w:rPr>
      <w:rFonts w:ascii="Times New Roman" w:hAnsi="Times New Roman" w:eastAsia="黑体" w:cs="Times New Roman"/>
      <w:snapToGrid w:val="0"/>
      <w:sz w:val="28"/>
      <w:szCs w:val="28"/>
      <w:lang w:val="en-US" w:bidi="ar-SA"/>
    </w:rPr>
  </w:style>
  <w:style w:type="paragraph" w:customStyle="1" w:styleId="2291">
    <w:name w:val="报告标3"/>
    <w:basedOn w:val="1"/>
    <w:uiPriority w:val="0"/>
    <w:pPr>
      <w:autoSpaceDE/>
      <w:autoSpaceDN/>
      <w:adjustRightInd w:val="0"/>
      <w:snapToGrid w:val="0"/>
      <w:spacing w:line="300" w:lineRule="auto"/>
      <w:jc w:val="both"/>
    </w:pPr>
    <w:rPr>
      <w:rFonts w:hAnsi="Times New Roman" w:cs="Times New Roman"/>
      <w:kern w:val="2"/>
      <w:sz w:val="24"/>
      <w:szCs w:val="20"/>
      <w:lang w:val="en-US" w:bidi="ar-SA"/>
    </w:rPr>
  </w:style>
  <w:style w:type="paragraph" w:customStyle="1" w:styleId="2292">
    <w:name w:val="样式 标题 6 + 首行缩进:  2 字符"/>
    <w:basedOn w:val="8"/>
    <w:uiPriority w:val="0"/>
    <w:pPr>
      <w:keepLines/>
      <w:tabs>
        <w:tab w:val="left" w:pos="1372"/>
        <w:tab w:val="clear" w:pos="360"/>
      </w:tabs>
      <w:adjustRightInd w:val="0"/>
      <w:snapToGrid w:val="0"/>
      <w:spacing w:beforeLines="50" w:line="460" w:lineRule="exact"/>
      <w:ind w:left="0" w:firstLine="200" w:firstLineChars="200"/>
    </w:pPr>
    <w:rPr>
      <w:rFonts w:cs="宋体"/>
      <w:sz w:val="28"/>
      <w:lang w:val="zh-CN"/>
    </w:rPr>
  </w:style>
  <w:style w:type="paragraph" w:customStyle="1" w:styleId="2293">
    <w:name w:val="样式24"/>
    <w:basedOn w:val="1"/>
    <w:qFormat/>
    <w:uiPriority w:val="0"/>
    <w:pPr>
      <w:autoSpaceDE/>
      <w:autoSpaceDN/>
      <w:adjustRightInd w:val="0"/>
      <w:snapToGrid w:val="0"/>
      <w:spacing w:line="480" w:lineRule="exact"/>
      <w:ind w:firstLine="560" w:firstLineChars="200"/>
      <w:jc w:val="both"/>
    </w:pPr>
    <w:rPr>
      <w:rFonts w:ascii="Times New Roman" w:hAnsi="Times New Roman" w:cs="Times New Roman"/>
      <w:snapToGrid w:val="0"/>
      <w:sz w:val="28"/>
      <w:szCs w:val="24"/>
      <w:lang w:val="en-US" w:bidi="ar-SA"/>
    </w:rPr>
  </w:style>
  <w:style w:type="paragraph" w:customStyle="1" w:styleId="2294">
    <w:name w:val="Char Char Char Char Char Char Char Char Char Char Char Char Char"/>
    <w:basedOn w:val="1"/>
    <w:qFormat/>
    <w:uiPriority w:val="0"/>
    <w:pPr>
      <w:autoSpaceDE/>
      <w:autoSpaceDN/>
      <w:adjustRightInd w:val="0"/>
      <w:spacing w:line="360" w:lineRule="auto"/>
      <w:jc w:val="both"/>
    </w:pPr>
    <w:rPr>
      <w:rFonts w:ascii="Times New Roman" w:hAnsi="Times New Roman" w:cs="Times New Roman"/>
      <w:sz w:val="24"/>
      <w:szCs w:val="24"/>
      <w:lang w:val="en-US" w:bidi="ar-SA"/>
    </w:rPr>
  </w:style>
  <w:style w:type="paragraph" w:customStyle="1" w:styleId="2295">
    <w:name w:val="样式91"/>
    <w:basedOn w:val="1"/>
    <w:qFormat/>
    <w:uiPriority w:val="0"/>
    <w:pPr>
      <w:autoSpaceDE/>
      <w:autoSpaceDN/>
      <w:adjustRightInd w:val="0"/>
      <w:snapToGrid w:val="0"/>
      <w:spacing w:line="480" w:lineRule="exact"/>
      <w:ind w:left="-77" w:firstLine="560" w:firstLineChars="200"/>
      <w:jc w:val="both"/>
    </w:pPr>
    <w:rPr>
      <w:rFonts w:ascii="Times New Roman" w:hAnsi="Times New Roman" w:cs="Times New Roman"/>
      <w:snapToGrid w:val="0"/>
      <w:color w:val="FF0000"/>
      <w:sz w:val="28"/>
      <w:szCs w:val="28"/>
      <w:lang w:val="en-US" w:bidi="ar-SA"/>
    </w:rPr>
  </w:style>
  <w:style w:type="paragraph" w:customStyle="1" w:styleId="2296">
    <w:name w:val="样式77"/>
    <w:basedOn w:val="149"/>
    <w:qFormat/>
    <w:uiPriority w:val="0"/>
    <w:pPr>
      <w:spacing w:line="320" w:lineRule="exact"/>
      <w:ind w:firstLine="0" w:firstLineChars="0"/>
      <w:jc w:val="left"/>
    </w:pPr>
    <w:rPr>
      <w:rFonts w:hAnsi="宋体"/>
      <w:sz w:val="21"/>
      <w:szCs w:val="21"/>
    </w:rPr>
  </w:style>
  <w:style w:type="paragraph" w:customStyle="1" w:styleId="2297">
    <w:name w:val="流程图"/>
    <w:basedOn w:val="1"/>
    <w:qFormat/>
    <w:uiPriority w:val="0"/>
    <w:pPr>
      <w:tabs>
        <w:tab w:val="left" w:pos="0"/>
      </w:tabs>
      <w:adjustRightInd w:val="0"/>
      <w:spacing w:line="240" w:lineRule="atLeast"/>
      <w:jc w:val="center"/>
      <w:textAlignment w:val="bottom"/>
    </w:pPr>
    <w:rPr>
      <w:rFonts w:hAnsi="Times New Roman" w:cs="Times New Roman"/>
      <w:kern w:val="2"/>
      <w:sz w:val="21"/>
      <w:szCs w:val="20"/>
      <w:lang w:val="en-US" w:bidi="ar-SA"/>
    </w:rPr>
  </w:style>
  <w:style w:type="paragraph" w:customStyle="1" w:styleId="2298">
    <w:name w:val="样式65"/>
    <w:basedOn w:val="20"/>
    <w:qFormat/>
    <w:uiPriority w:val="0"/>
    <w:pPr>
      <w:autoSpaceDE/>
      <w:autoSpaceDN/>
      <w:spacing w:line="480" w:lineRule="exact"/>
      <w:ind w:firstLine="560" w:firstLineChars="200"/>
      <w:jc w:val="both"/>
    </w:pPr>
    <w:rPr>
      <w:rFonts w:ascii="Times New Roman" w:cs="Times New Roman"/>
      <w:kern w:val="2"/>
      <w:sz w:val="28"/>
      <w:szCs w:val="28"/>
      <w:lang w:val="en-US" w:bidi="ar-SA"/>
    </w:rPr>
  </w:style>
  <w:style w:type="paragraph" w:customStyle="1" w:styleId="2299">
    <w:name w:val="Char Char Char Char Char Char Char Char Char Char Char Char Char Char Char Char Char Char Char Char Char Char Char Char Char Char Char Char Char Char Char Char Char Char Char Char Char Char Char Char Char Char Char Char Char Char Char Char Char"/>
    <w:basedOn w:val="1"/>
    <w:qFormat/>
    <w:uiPriority w:val="0"/>
    <w:pPr>
      <w:widowControl/>
      <w:autoSpaceDE/>
      <w:autoSpaceDN/>
      <w:spacing w:after="160" w:line="240" w:lineRule="exact"/>
    </w:pPr>
    <w:rPr>
      <w:rFonts w:ascii="Verdana" w:hAnsi="Verdana" w:cs="Times New Roman"/>
      <w:sz w:val="20"/>
      <w:szCs w:val="20"/>
      <w:lang w:val="en-US" w:eastAsia="en-US" w:bidi="ar-SA"/>
    </w:rPr>
  </w:style>
  <w:style w:type="paragraph" w:customStyle="1" w:styleId="2300">
    <w:name w:val="样式33"/>
    <w:basedOn w:val="1"/>
    <w:qFormat/>
    <w:uiPriority w:val="0"/>
    <w:pPr>
      <w:autoSpaceDE/>
      <w:autoSpaceDN/>
      <w:adjustRightInd w:val="0"/>
      <w:snapToGrid w:val="0"/>
      <w:spacing w:line="480" w:lineRule="exact"/>
      <w:ind w:firstLine="560" w:firstLineChars="200"/>
      <w:jc w:val="both"/>
    </w:pPr>
    <w:rPr>
      <w:rFonts w:ascii="Times New Roman" w:hAnsi="Times New Roman" w:cs="Times New Roman"/>
      <w:snapToGrid w:val="0"/>
      <w:sz w:val="28"/>
      <w:szCs w:val="28"/>
      <w:lang w:val="en-US" w:bidi="ar-SA"/>
    </w:rPr>
  </w:style>
  <w:style w:type="paragraph" w:customStyle="1" w:styleId="2301">
    <w:name w:val="表格式 Char Char"/>
    <w:basedOn w:val="59"/>
    <w:qFormat/>
    <w:uiPriority w:val="0"/>
    <w:pPr>
      <w:tabs>
        <w:tab w:val="clear" w:pos="3480"/>
      </w:tabs>
      <w:autoSpaceDE/>
      <w:autoSpaceDN/>
      <w:spacing w:before="60" w:beforeLines="0" w:after="60"/>
    </w:pPr>
    <w:rPr>
      <w:rFonts w:eastAsia="宋体" w:cs="Times New Roman"/>
      <w:color w:val="000000"/>
      <w:kern w:val="2"/>
      <w:sz w:val="21"/>
      <w:szCs w:val="20"/>
      <w:lang w:val="en-US" w:bidi="ar-SA"/>
    </w:rPr>
  </w:style>
  <w:style w:type="paragraph" w:customStyle="1" w:styleId="2302">
    <w:name w:val="样式40"/>
    <w:basedOn w:val="1"/>
    <w:qFormat/>
    <w:uiPriority w:val="0"/>
    <w:pPr>
      <w:autoSpaceDE/>
      <w:autoSpaceDN/>
      <w:adjustRightInd w:val="0"/>
      <w:snapToGrid w:val="0"/>
      <w:spacing w:line="480" w:lineRule="exact"/>
      <w:ind w:firstLine="420" w:firstLineChars="200"/>
      <w:jc w:val="both"/>
    </w:pPr>
    <w:rPr>
      <w:rFonts w:ascii="Times New Roman" w:hAnsi="Times New Roman" w:cs="Times New Roman"/>
      <w:snapToGrid w:val="0"/>
      <w:sz w:val="21"/>
      <w:szCs w:val="21"/>
      <w:lang w:val="en-US" w:bidi="ar-SA"/>
    </w:rPr>
  </w:style>
  <w:style w:type="paragraph" w:customStyle="1" w:styleId="2303">
    <w:name w:val="样式58"/>
    <w:basedOn w:val="2304"/>
    <w:qFormat/>
    <w:uiPriority w:val="0"/>
    <w:pPr>
      <w:tabs>
        <w:tab w:val="left" w:pos="0"/>
      </w:tabs>
    </w:pPr>
  </w:style>
  <w:style w:type="paragraph" w:customStyle="1" w:styleId="2304">
    <w:name w:val="样式20"/>
    <w:basedOn w:val="1"/>
    <w:qFormat/>
    <w:uiPriority w:val="0"/>
    <w:pPr>
      <w:tabs>
        <w:tab w:val="left" w:pos="0"/>
      </w:tabs>
      <w:autoSpaceDE/>
      <w:autoSpaceDN/>
      <w:adjustRightInd w:val="0"/>
      <w:snapToGrid w:val="0"/>
      <w:spacing w:line="500" w:lineRule="exact"/>
      <w:ind w:firstLine="560" w:firstLineChars="200"/>
      <w:jc w:val="center"/>
    </w:pPr>
    <w:rPr>
      <w:rFonts w:ascii="Times New Roman" w:hAnsi="Times New Roman" w:eastAsia="黑体" w:cs="Times New Roman"/>
      <w:snapToGrid w:val="0"/>
      <w:sz w:val="28"/>
      <w:szCs w:val="28"/>
      <w:lang w:val="en-US" w:bidi="ar-SA"/>
    </w:rPr>
  </w:style>
  <w:style w:type="paragraph" w:customStyle="1" w:styleId="2305">
    <w:name w:val="BIG BOLD"/>
    <w:basedOn w:val="1"/>
    <w:qFormat/>
    <w:uiPriority w:val="0"/>
    <w:pPr>
      <w:tabs>
        <w:tab w:val="left" w:leader="underscore" w:pos="1134"/>
      </w:tabs>
      <w:autoSpaceDE/>
      <w:autoSpaceDN/>
      <w:jc w:val="both"/>
    </w:pPr>
    <w:rPr>
      <w:rFonts w:ascii="Times New Roman" w:hAnsi="Times New Roman" w:cs="Times New Roman"/>
      <w:kern w:val="2"/>
      <w:sz w:val="21"/>
      <w:szCs w:val="20"/>
      <w:lang w:val="en-US" w:bidi="ar-SA"/>
    </w:rPr>
  </w:style>
  <w:style w:type="paragraph" w:customStyle="1" w:styleId="2306">
    <w:name w:val="正文－首行缩进:2 字符"/>
    <w:basedOn w:val="1"/>
    <w:qFormat/>
    <w:uiPriority w:val="0"/>
    <w:pPr>
      <w:autoSpaceDE/>
      <w:autoSpaceDN/>
      <w:spacing w:line="440" w:lineRule="exact"/>
      <w:ind w:firstLine="560" w:firstLineChars="200"/>
      <w:jc w:val="both"/>
    </w:pPr>
    <w:rPr>
      <w:rFonts w:ascii="Times New Roman" w:hAnsi="Times New Roman"/>
      <w:kern w:val="2"/>
      <w:sz w:val="28"/>
      <w:szCs w:val="20"/>
      <w:lang w:val="en-US" w:bidi="ar-SA"/>
    </w:rPr>
  </w:style>
  <w:style w:type="paragraph" w:customStyle="1" w:styleId="2307">
    <w:name w:val="Char Char Char Char Char Char Char Char Char Char4"/>
    <w:basedOn w:val="1"/>
    <w:qFormat/>
    <w:uiPriority w:val="0"/>
    <w:pPr>
      <w:autoSpaceDE/>
      <w:autoSpaceDN/>
      <w:jc w:val="both"/>
    </w:pPr>
    <w:rPr>
      <w:rFonts w:ascii="Times New Roman" w:hAnsi="Times New Roman" w:cs="Times New Roman"/>
      <w:kern w:val="2"/>
      <w:sz w:val="21"/>
      <w:szCs w:val="24"/>
      <w:lang w:val="en-US" w:bidi="ar-SA"/>
    </w:rPr>
  </w:style>
  <w:style w:type="paragraph" w:customStyle="1" w:styleId="2308">
    <w:name w:val="样式 样式 标题 3标题4标题 3 Char1标题 3 Char Char标题 3 Char + (中文) 仿宋_GB2312...."/>
    <w:basedOn w:val="1"/>
    <w:qFormat/>
    <w:uiPriority w:val="0"/>
    <w:pPr>
      <w:keepNext/>
      <w:keepLines/>
      <w:autoSpaceDE/>
      <w:autoSpaceDN/>
      <w:adjustRightInd w:val="0"/>
      <w:snapToGrid w:val="0"/>
      <w:spacing w:line="460" w:lineRule="exact"/>
      <w:ind w:firstLine="480" w:firstLineChars="200"/>
      <w:outlineLvl w:val="2"/>
    </w:pPr>
    <w:rPr>
      <w:rFonts w:ascii="Times New Roman" w:hAnsi="Times New Roman"/>
      <w:sz w:val="28"/>
      <w:szCs w:val="28"/>
      <w:lang w:val="en-US" w:bidi="ar-SA"/>
    </w:rPr>
  </w:style>
  <w:style w:type="paragraph" w:customStyle="1" w:styleId="2309">
    <w:name w:val="xl286"/>
    <w:basedOn w:val="1"/>
    <w:qFormat/>
    <w:uiPriority w:val="0"/>
    <w:pPr>
      <w:widowControl/>
      <w:pBdr>
        <w:top w:val="single" w:color="auto" w:sz="4" w:space="0"/>
        <w:left w:val="single" w:color="auto" w:sz="4" w:space="0"/>
        <w:bottom w:val="single" w:color="auto" w:sz="4" w:space="0"/>
      </w:pBdr>
      <w:shd w:val="clear" w:color="auto" w:fill="FF8080"/>
      <w:autoSpaceDE/>
      <w:autoSpaceDN/>
      <w:spacing w:before="100" w:beforeAutospacing="1" w:after="100" w:afterAutospacing="1"/>
      <w:jc w:val="center"/>
    </w:pPr>
    <w:rPr>
      <w:rFonts w:ascii="方正综艺简体" w:eastAsia="方正综艺简体"/>
      <w:sz w:val="20"/>
      <w:szCs w:val="20"/>
      <w:lang w:val="en-US" w:bidi="ar-SA"/>
    </w:rPr>
  </w:style>
  <w:style w:type="paragraph" w:customStyle="1" w:styleId="2310">
    <w:name w:val="样式 表文字 + 字符缩放: 90%"/>
    <w:basedOn w:val="1"/>
    <w:uiPriority w:val="0"/>
    <w:pPr>
      <w:keepNext/>
      <w:widowControl/>
      <w:autoSpaceDE/>
      <w:autoSpaceDN/>
      <w:adjustRightInd w:val="0"/>
      <w:spacing w:line="240" w:lineRule="exact"/>
      <w:ind w:left="-50" w:leftChars="-50" w:right="-50" w:rightChars="-50"/>
      <w:jc w:val="center"/>
      <w:textAlignment w:val="baseline"/>
    </w:pPr>
    <w:rPr>
      <w:snapToGrid w:val="0"/>
      <w:sz w:val="18"/>
      <w:szCs w:val="18"/>
      <w:lang w:val="en-US" w:bidi="ar-SA"/>
    </w:rPr>
  </w:style>
  <w:style w:type="paragraph" w:customStyle="1" w:styleId="2311">
    <w:name w:val="样式50"/>
    <w:basedOn w:val="105"/>
    <w:qFormat/>
    <w:uiPriority w:val="0"/>
    <w:pPr>
      <w:tabs>
        <w:tab w:val="clear" w:pos="3480"/>
      </w:tabs>
      <w:autoSpaceDE/>
      <w:autoSpaceDN/>
      <w:adjustRightInd w:val="0"/>
      <w:snapToGrid w:val="0"/>
      <w:spacing w:beforeLines="0" w:line="240" w:lineRule="exact"/>
      <w:ind w:left="-140" w:leftChars="-50" w:right="-140" w:rightChars="-50"/>
    </w:pPr>
    <w:rPr>
      <w:rFonts w:ascii="Times New Roman" w:hAnsi="Times New Roman" w:eastAsia="宋体" w:cs="Times New Roman"/>
      <w:color w:val="000000"/>
      <w:szCs w:val="28"/>
      <w:lang w:val="en-US" w:bidi="ar-SA"/>
    </w:rPr>
  </w:style>
  <w:style w:type="paragraph" w:customStyle="1" w:styleId="2312">
    <w:name w:val="正文文本缩进 23"/>
    <w:basedOn w:val="1"/>
    <w:qFormat/>
    <w:uiPriority w:val="0"/>
    <w:pPr>
      <w:autoSpaceDE/>
      <w:autoSpaceDN/>
      <w:spacing w:line="300" w:lineRule="auto"/>
      <w:ind w:firstLine="482" w:firstLineChars="200"/>
      <w:jc w:val="both"/>
    </w:pPr>
    <w:rPr>
      <w:rFonts w:ascii="Times New Roman" w:hAnsi="Times New Roman" w:cs="Times New Roman"/>
      <w:kern w:val="2"/>
      <w:sz w:val="24"/>
      <w:szCs w:val="20"/>
      <w:lang w:val="en-US" w:bidi="ar-SA"/>
    </w:rPr>
  </w:style>
  <w:style w:type="paragraph" w:customStyle="1" w:styleId="2313">
    <w:name w:val="样式 样式4 +"/>
    <w:basedOn w:val="1027"/>
    <w:qFormat/>
    <w:uiPriority w:val="0"/>
    <w:pPr>
      <w:spacing w:line="480" w:lineRule="exact"/>
      <w:ind w:firstLine="200" w:firstLineChars="200"/>
      <w:jc w:val="both"/>
      <w:textAlignment w:val="auto"/>
      <w:outlineLvl w:val="3"/>
    </w:pPr>
    <w:rPr>
      <w:rFonts w:eastAsia="楷体_GB2312" w:cs="宋体"/>
      <w:b/>
      <w:bCs/>
      <w:snapToGrid w:val="0"/>
      <w:sz w:val="30"/>
    </w:rPr>
  </w:style>
  <w:style w:type="paragraph" w:customStyle="1" w:styleId="2314">
    <w:name w:val="xl246"/>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sz w:val="20"/>
      <w:szCs w:val="20"/>
      <w:lang w:val="en-US" w:bidi="ar-SA"/>
    </w:rPr>
  </w:style>
  <w:style w:type="paragraph" w:customStyle="1" w:styleId="2315">
    <w:name w:val="样式10"/>
    <w:basedOn w:val="1093"/>
    <w:qFormat/>
    <w:uiPriority w:val="0"/>
    <w:pPr>
      <w:widowControl w:val="0"/>
      <w:topLinePunct/>
      <w:adjustRightInd/>
      <w:snapToGrid/>
      <w:spacing w:beforeLines="0" w:afterLines="0" w:line="240" w:lineRule="auto"/>
      <w:jc w:val="center"/>
      <w:textAlignment w:val="auto"/>
      <w:outlineLvl w:val="9"/>
    </w:pPr>
    <w:rPr>
      <w:rFonts w:ascii="Times New Roman" w:hAnsi="Times New Roman" w:cs="宋体"/>
      <w:b w:val="0"/>
      <w:sz w:val="21"/>
      <w:szCs w:val="21"/>
    </w:rPr>
  </w:style>
  <w:style w:type="paragraph" w:customStyle="1" w:styleId="2316">
    <w:name w:val="表格内部"/>
    <w:basedOn w:val="1"/>
    <w:qFormat/>
    <w:uiPriority w:val="0"/>
    <w:pPr>
      <w:autoSpaceDE/>
      <w:autoSpaceDN/>
      <w:adjustRightInd w:val="0"/>
      <w:snapToGrid w:val="0"/>
      <w:spacing w:line="300" w:lineRule="auto"/>
      <w:jc w:val="center"/>
    </w:pPr>
    <w:rPr>
      <w:rFonts w:ascii="Arial" w:hAnsi="Arial" w:eastAsia="仿宋_GB2312" w:cs="Times New Roman"/>
      <w:kern w:val="2"/>
      <w:sz w:val="21"/>
      <w:szCs w:val="24"/>
      <w:lang w:val="en-US" w:bidi="ar-SA"/>
    </w:rPr>
  </w:style>
  <w:style w:type="paragraph" w:customStyle="1" w:styleId="2317">
    <w:name w:val="xl212"/>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318">
    <w:name w:val="Char1 Char Char Char5"/>
    <w:basedOn w:val="1"/>
    <w:uiPriority w:val="0"/>
    <w:pPr>
      <w:autoSpaceDE/>
      <w:autoSpaceDN/>
      <w:jc w:val="both"/>
    </w:pPr>
    <w:rPr>
      <w:rFonts w:ascii="Times New Roman" w:hAnsi="Times New Roman" w:cs="Times New Roman"/>
      <w:kern w:val="2"/>
      <w:sz w:val="21"/>
      <w:szCs w:val="24"/>
      <w:lang w:val="en-US" w:bidi="ar-SA"/>
    </w:rPr>
  </w:style>
  <w:style w:type="paragraph" w:customStyle="1" w:styleId="2319">
    <w:name w:val="报告标题2"/>
    <w:basedOn w:val="4"/>
    <w:qFormat/>
    <w:uiPriority w:val="0"/>
    <w:pPr>
      <w:autoSpaceDE/>
      <w:autoSpaceDN/>
      <w:ind w:left="0" w:firstLine="0"/>
      <w:jc w:val="center"/>
      <w:outlineLvl w:val="9"/>
    </w:pPr>
    <w:rPr>
      <w:rFonts w:ascii="方正书宋简体" w:hAnsi="Times New Roman" w:eastAsia="方正书宋简体" w:cs="Times New Roman"/>
      <w:kern w:val="2"/>
      <w:sz w:val="21"/>
      <w:szCs w:val="24"/>
      <w:lang w:val="en-US" w:bidi="ar-SA"/>
    </w:rPr>
  </w:style>
  <w:style w:type="paragraph" w:customStyle="1" w:styleId="2320">
    <w:name w:val="样式 仿宋_GB2312 四号"/>
    <w:basedOn w:val="1"/>
    <w:qFormat/>
    <w:uiPriority w:val="0"/>
    <w:pPr>
      <w:autoSpaceDE/>
      <w:autoSpaceDN/>
      <w:adjustRightInd w:val="0"/>
      <w:snapToGrid w:val="0"/>
      <w:spacing w:beforeLines="50" w:line="480" w:lineRule="exact"/>
      <w:ind w:firstLine="560" w:firstLineChars="200"/>
      <w:jc w:val="both"/>
    </w:pPr>
    <w:rPr>
      <w:rFonts w:cs="Times New Roman"/>
      <w:sz w:val="28"/>
      <w:szCs w:val="28"/>
      <w:lang w:val="en-US" w:bidi="ar-SA"/>
    </w:rPr>
  </w:style>
  <w:style w:type="paragraph" w:customStyle="1" w:styleId="2321">
    <w:name w:val="Char7"/>
    <w:basedOn w:val="1"/>
    <w:next w:val="1595"/>
    <w:uiPriority w:val="0"/>
    <w:pPr>
      <w:autoSpaceDE/>
      <w:autoSpaceDN/>
      <w:spacing w:line="360" w:lineRule="auto"/>
      <w:ind w:firstLine="480" w:firstLineChars="200"/>
      <w:jc w:val="both"/>
    </w:pPr>
    <w:rPr>
      <w:rFonts w:ascii="Times New Roman" w:hAnsi="Times New Roman" w:cs="Times New Roman"/>
      <w:sz w:val="24"/>
      <w:szCs w:val="24"/>
      <w:lang w:val="en-US" w:bidi="ar-SA"/>
    </w:rPr>
  </w:style>
  <w:style w:type="paragraph" w:customStyle="1" w:styleId="2322">
    <w:name w:val="xl137"/>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lang w:val="en-US" w:bidi="ar-SA"/>
    </w:rPr>
  </w:style>
  <w:style w:type="paragraph" w:customStyle="1" w:styleId="2323">
    <w:name w:val="样式64"/>
    <w:basedOn w:val="2231"/>
    <w:qFormat/>
    <w:uiPriority w:val="0"/>
    <w:pPr>
      <w:keepNext w:val="0"/>
      <w:keepLines w:val="0"/>
      <w:widowControl/>
      <w:spacing w:line="480" w:lineRule="exact"/>
      <w:ind w:left="-140" w:right="31" w:firstLine="450" w:firstLineChars="150"/>
    </w:pPr>
  </w:style>
  <w:style w:type="paragraph" w:customStyle="1" w:styleId="2324">
    <w:name w:val="标题 4环保 + 段前: 0.3 行"/>
    <w:basedOn w:val="6"/>
    <w:next w:val="1"/>
    <w:uiPriority w:val="0"/>
    <w:pPr>
      <w:keepNext w:val="0"/>
      <w:keepLines w:val="0"/>
      <w:tabs>
        <w:tab w:val="left" w:pos="780"/>
      </w:tabs>
      <w:spacing w:beforeLines="30" w:after="0" w:line="300" w:lineRule="auto"/>
      <w:ind w:left="780" w:leftChars="200" w:hanging="360" w:hangingChars="200"/>
    </w:pPr>
    <w:rPr>
      <w:rFonts w:ascii="Times New Roman" w:hAnsi="Times New Roman" w:eastAsia="黑体" w:cs="宋体"/>
      <w:b w:val="0"/>
      <w:bCs w:val="0"/>
      <w:kern w:val="0"/>
      <w:sz w:val="24"/>
      <w:szCs w:val="20"/>
    </w:rPr>
  </w:style>
  <w:style w:type="paragraph" w:customStyle="1" w:styleId="2325">
    <w:name w:val="图表内文字"/>
    <w:basedOn w:val="1"/>
    <w:next w:val="1"/>
    <w:uiPriority w:val="0"/>
    <w:pPr>
      <w:autoSpaceDE/>
      <w:autoSpaceDN/>
      <w:adjustRightInd w:val="0"/>
      <w:snapToGrid w:val="0"/>
      <w:spacing w:line="240" w:lineRule="atLeast"/>
      <w:jc w:val="center"/>
    </w:pPr>
    <w:rPr>
      <w:rFonts w:ascii="黑体" w:hAnsi="Times New Roman" w:cs="Times New Roman"/>
      <w:kern w:val="2"/>
      <w:sz w:val="21"/>
      <w:szCs w:val="21"/>
      <w:lang w:val="en-US" w:bidi="ar-SA"/>
    </w:rPr>
  </w:style>
  <w:style w:type="paragraph" w:customStyle="1" w:styleId="2326">
    <w:name w:val="图表内文字（居中）"/>
    <w:basedOn w:val="1"/>
    <w:qFormat/>
    <w:uiPriority w:val="0"/>
    <w:pPr>
      <w:widowControl/>
      <w:autoSpaceDE/>
      <w:autoSpaceDN/>
      <w:adjustRightInd w:val="0"/>
      <w:snapToGrid w:val="0"/>
      <w:jc w:val="center"/>
    </w:pPr>
    <w:rPr>
      <w:rFonts w:cs="Times New Roman"/>
      <w:kern w:val="2"/>
      <w:sz w:val="21"/>
      <w:szCs w:val="24"/>
      <w:lang w:val="en-US" w:bidi="ar-SA"/>
    </w:rPr>
  </w:style>
  <w:style w:type="paragraph" w:customStyle="1" w:styleId="2327">
    <w:name w:val="目录二级"/>
    <w:basedOn w:val="1"/>
    <w:qFormat/>
    <w:uiPriority w:val="0"/>
    <w:pPr>
      <w:widowControl/>
      <w:autoSpaceDE/>
      <w:autoSpaceDN/>
      <w:spacing w:line="480" w:lineRule="exact"/>
      <w:jc w:val="center"/>
    </w:pPr>
    <w:rPr>
      <w:rFonts w:ascii="Times New Roman" w:hAnsi="Times New Roman" w:cs="Times New Roman"/>
      <w:bCs/>
      <w:kern w:val="2"/>
      <w:sz w:val="21"/>
      <w:szCs w:val="21"/>
      <w:lang w:val="en-US" w:bidi="ar-SA"/>
    </w:rPr>
  </w:style>
  <w:style w:type="paragraph" w:customStyle="1" w:styleId="2328">
    <w:name w:val="正文六级标题"/>
    <w:basedOn w:val="1"/>
    <w:qFormat/>
    <w:uiPriority w:val="0"/>
    <w:pPr>
      <w:autoSpaceDE/>
      <w:autoSpaceDN/>
      <w:spacing w:line="480" w:lineRule="exact"/>
      <w:ind w:firstLine="200" w:firstLineChars="200"/>
      <w:jc w:val="both"/>
      <w:outlineLvl w:val="5"/>
    </w:pPr>
    <w:rPr>
      <w:rFonts w:ascii="Times New Roman" w:hAnsi="Times New Roman" w:cs="Times New Roman"/>
      <w:b/>
      <w:kern w:val="2"/>
      <w:sz w:val="28"/>
      <w:szCs w:val="24"/>
      <w:lang w:val="en-US" w:bidi="ar-SA"/>
    </w:rPr>
  </w:style>
  <w:style w:type="paragraph" w:customStyle="1" w:styleId="2329">
    <w:name w:val="5正文"/>
    <w:basedOn w:val="1"/>
    <w:qFormat/>
    <w:uiPriority w:val="0"/>
    <w:pPr>
      <w:widowControl/>
      <w:autoSpaceDE/>
      <w:autoSpaceDN/>
      <w:snapToGrid w:val="0"/>
      <w:spacing w:line="400" w:lineRule="exact"/>
      <w:ind w:firstLine="200" w:firstLineChars="200"/>
    </w:pPr>
    <w:rPr>
      <w:color w:val="000000"/>
      <w:sz w:val="24"/>
      <w:szCs w:val="18"/>
      <w:lang w:val="en-US" w:bidi="ar-SA"/>
    </w:rPr>
  </w:style>
  <w:style w:type="paragraph" w:customStyle="1" w:styleId="2330">
    <w:name w:val="样式 四号 首行缩进:  2 字符 字符缩放: 90% 行距: 固定值 28 磅"/>
    <w:basedOn w:val="1"/>
    <w:qFormat/>
    <w:uiPriority w:val="0"/>
    <w:pPr>
      <w:autoSpaceDE/>
      <w:autoSpaceDN/>
      <w:spacing w:line="480" w:lineRule="exact"/>
      <w:ind w:firstLine="200" w:firstLineChars="200"/>
      <w:jc w:val="both"/>
    </w:pPr>
    <w:rPr>
      <w:rFonts w:ascii="Times New Roman" w:hAnsi="Times New Roman" w:eastAsia="方正书宋简体" w:cs="Times New Roman"/>
      <w:w w:val="90"/>
      <w:kern w:val="2"/>
      <w:sz w:val="28"/>
      <w:szCs w:val="20"/>
      <w:lang w:val="en-US" w:bidi="ar-SA"/>
    </w:rPr>
  </w:style>
  <w:style w:type="paragraph" w:customStyle="1" w:styleId="2331">
    <w:name w:val="样式 标题 4标题 4 Char + 宋体 段前: 5 磅 段后: 5 磅 行距: 1.5 倍行距"/>
    <w:basedOn w:val="6"/>
    <w:qFormat/>
    <w:uiPriority w:val="0"/>
    <w:pPr>
      <w:adjustRightInd w:val="0"/>
      <w:snapToGrid w:val="0"/>
      <w:spacing w:before="0" w:after="0" w:line="360" w:lineRule="auto"/>
    </w:pPr>
    <w:rPr>
      <w:rFonts w:ascii="Times New Roman" w:hAnsi="Times New Roman"/>
      <w:b w:val="0"/>
      <w:szCs w:val="20"/>
    </w:rPr>
  </w:style>
  <w:style w:type="paragraph" w:customStyle="1" w:styleId="2332">
    <w:name w:val="样式37"/>
    <w:basedOn w:val="20"/>
    <w:qFormat/>
    <w:uiPriority w:val="0"/>
    <w:pPr>
      <w:autoSpaceDE/>
      <w:autoSpaceDN/>
      <w:spacing w:line="480" w:lineRule="exact"/>
      <w:ind w:firstLine="560" w:firstLineChars="200"/>
      <w:jc w:val="both"/>
    </w:pPr>
    <w:rPr>
      <w:rFonts w:ascii="Times New Roman" w:hAnsi="Times New Roman" w:cs="Times New Roman"/>
      <w:kern w:val="2"/>
      <w:sz w:val="28"/>
      <w:szCs w:val="28"/>
      <w:lang w:val="en-US" w:bidi="ar-SA"/>
    </w:rPr>
  </w:style>
  <w:style w:type="paragraph" w:customStyle="1" w:styleId="2333">
    <w:name w:val="样式正文"/>
    <w:basedOn w:val="2224"/>
    <w:qFormat/>
    <w:uiPriority w:val="0"/>
    <w:pPr>
      <w:spacing w:line="360" w:lineRule="auto"/>
      <w:ind w:firstLine="624"/>
    </w:pPr>
  </w:style>
  <w:style w:type="paragraph" w:customStyle="1" w:styleId="2334">
    <w:name w:val="xl285"/>
    <w:basedOn w:val="1"/>
    <w:qFormat/>
    <w:uiPriority w:val="0"/>
    <w:pPr>
      <w:widowControl/>
      <w:pBdr>
        <w:top w:val="single" w:color="auto" w:sz="4" w:space="0"/>
        <w:left w:val="single" w:color="auto" w:sz="4" w:space="0"/>
        <w:bottom w:val="single" w:color="auto" w:sz="4" w:space="0"/>
        <w:right w:val="single" w:color="auto" w:sz="4" w:space="0"/>
      </w:pBdr>
      <w:shd w:val="clear" w:color="auto" w:fill="FF8080"/>
      <w:autoSpaceDE/>
      <w:autoSpaceDN/>
      <w:spacing w:before="100" w:beforeAutospacing="1" w:after="100" w:afterAutospacing="1"/>
      <w:jc w:val="center"/>
    </w:pPr>
    <w:rPr>
      <w:rFonts w:ascii="方正综艺简体" w:eastAsia="方正综艺简体"/>
      <w:sz w:val="20"/>
      <w:szCs w:val="20"/>
      <w:lang w:val="en-US" w:bidi="ar-SA"/>
    </w:rPr>
  </w:style>
  <w:style w:type="paragraph" w:customStyle="1" w:styleId="2335">
    <w:name w:val="5正文 + 两端对齐"/>
    <w:basedOn w:val="1"/>
    <w:qFormat/>
    <w:uiPriority w:val="0"/>
    <w:pPr>
      <w:widowControl/>
      <w:autoSpaceDE/>
      <w:autoSpaceDN/>
      <w:snapToGrid w:val="0"/>
      <w:spacing w:line="480" w:lineRule="exact"/>
      <w:ind w:firstLine="200" w:firstLineChars="200"/>
      <w:jc w:val="both"/>
    </w:pPr>
    <w:rPr>
      <w:color w:val="000000"/>
      <w:sz w:val="24"/>
      <w:szCs w:val="18"/>
      <w:lang w:val="en-US" w:bidi="ar-SA"/>
    </w:rPr>
  </w:style>
  <w:style w:type="paragraph" w:customStyle="1" w:styleId="2336">
    <w:name w:val="样式28"/>
    <w:basedOn w:val="2148"/>
    <w:qFormat/>
    <w:uiPriority w:val="0"/>
    <w:pPr>
      <w:spacing w:line="500" w:lineRule="exact"/>
      <w:ind w:firstLine="560" w:firstLineChars="200"/>
    </w:pPr>
  </w:style>
  <w:style w:type="paragraph" w:customStyle="1" w:styleId="2337">
    <w:name w:val="样式88"/>
    <w:basedOn w:val="2176"/>
    <w:qFormat/>
    <w:uiPriority w:val="0"/>
    <w:pPr>
      <w:spacing w:before="0" w:after="0"/>
      <w:ind w:firstLine="560" w:firstLineChars="200"/>
    </w:pPr>
    <w:rPr>
      <w:rFonts w:eastAsia="仿宋_GB2312"/>
      <w:bCs w:val="0"/>
    </w:rPr>
  </w:style>
  <w:style w:type="paragraph" w:customStyle="1" w:styleId="2338">
    <w:name w:val="xl283"/>
    <w:basedOn w:val="1"/>
    <w:uiPriority w:val="0"/>
    <w:pPr>
      <w:widowControl/>
      <w:pBdr>
        <w:top w:val="single" w:color="auto" w:sz="4" w:space="0"/>
        <w:left w:val="single" w:color="auto" w:sz="4" w:space="0"/>
        <w:right w:val="single" w:color="auto" w:sz="4" w:space="0"/>
      </w:pBdr>
      <w:shd w:val="clear" w:color="auto" w:fill="FF8080"/>
      <w:autoSpaceDE/>
      <w:autoSpaceDN/>
      <w:spacing w:before="100" w:beforeAutospacing="1" w:after="100" w:afterAutospacing="1"/>
      <w:jc w:val="center"/>
    </w:pPr>
    <w:rPr>
      <w:rFonts w:ascii="方正综艺简体" w:eastAsia="方正综艺简体"/>
      <w:sz w:val="20"/>
      <w:szCs w:val="20"/>
      <w:lang w:val="en-US" w:bidi="ar-SA"/>
    </w:rPr>
  </w:style>
  <w:style w:type="paragraph" w:customStyle="1" w:styleId="2339">
    <w:name w:val="xl296"/>
    <w:basedOn w:val="1"/>
    <w:qFormat/>
    <w:uiPriority w:val="0"/>
    <w:pPr>
      <w:widowControl/>
      <w:pBdr>
        <w:top w:val="single" w:color="auto" w:sz="4" w:space="0"/>
        <w:left w:val="single" w:color="auto" w:sz="4" w:space="0"/>
        <w:bottom w:val="single" w:color="auto" w:sz="4" w:space="0"/>
        <w:right w:val="single" w:color="auto" w:sz="4" w:space="0"/>
      </w:pBdr>
      <w:shd w:val="clear" w:color="auto" w:fill="99CCFF"/>
      <w:autoSpaceDE/>
      <w:autoSpaceDN/>
      <w:spacing w:before="100" w:beforeAutospacing="1" w:after="100" w:afterAutospacing="1"/>
    </w:pPr>
    <w:rPr>
      <w:rFonts w:ascii="方正综艺简体" w:eastAsia="方正综艺简体"/>
      <w:color w:val="000000"/>
      <w:sz w:val="20"/>
      <w:szCs w:val="20"/>
      <w:lang w:val="en-US" w:bidi="ar-SA"/>
    </w:rPr>
  </w:style>
  <w:style w:type="paragraph" w:customStyle="1" w:styleId="2340">
    <w:name w:val="样式71"/>
    <w:basedOn w:val="1"/>
    <w:qFormat/>
    <w:uiPriority w:val="0"/>
    <w:pPr>
      <w:autoSpaceDE/>
      <w:autoSpaceDN/>
      <w:adjustRightInd w:val="0"/>
      <w:snapToGrid w:val="0"/>
      <w:spacing w:line="480" w:lineRule="exact"/>
      <w:ind w:firstLine="560" w:firstLineChars="200"/>
      <w:jc w:val="both"/>
    </w:pPr>
    <w:rPr>
      <w:rFonts w:cs="Times New Roman"/>
      <w:snapToGrid w:val="0"/>
      <w:color w:val="FF0000"/>
      <w:sz w:val="28"/>
      <w:szCs w:val="28"/>
      <w:lang w:val="en-US" w:bidi="ar-SA"/>
    </w:rPr>
  </w:style>
  <w:style w:type="paragraph" w:customStyle="1" w:styleId="2341">
    <w:name w:val="样式 标题 1一级标题(章)标题 1 Char封皮名1h11st levelSection Headl1my标..."/>
    <w:basedOn w:val="3"/>
    <w:uiPriority w:val="0"/>
    <w:pPr>
      <w:keepNext/>
      <w:keepLines/>
      <w:autoSpaceDE/>
      <w:autoSpaceDN/>
      <w:adjustRightInd w:val="0"/>
      <w:snapToGrid w:val="0"/>
      <w:spacing w:before="360" w:after="240"/>
      <w:ind w:left="0" w:firstLine="0"/>
      <w:jc w:val="center"/>
    </w:pPr>
    <w:rPr>
      <w:rFonts w:ascii="Times New Roman" w:hAnsi="Times New Roman" w:eastAsia="宋体" w:cs="宋体"/>
      <w:kern w:val="44"/>
      <w:sz w:val="36"/>
      <w:szCs w:val="20"/>
      <w:lang w:val="en-US" w:bidi="ar-SA"/>
    </w:rPr>
  </w:style>
  <w:style w:type="paragraph" w:customStyle="1" w:styleId="2342">
    <w:name w:val="xl254"/>
    <w:basedOn w:val="1"/>
    <w:qFormat/>
    <w:uiPriority w:val="0"/>
    <w:pPr>
      <w:widowControl/>
      <w:pBdr>
        <w:top w:val="single" w:color="auto" w:sz="4" w:space="0"/>
        <w:left w:val="single" w:color="auto" w:sz="4" w:space="0"/>
        <w:bottom w:val="single" w:color="auto" w:sz="4" w:space="0"/>
        <w:right w:val="single" w:color="auto" w:sz="4" w:space="0"/>
      </w:pBdr>
      <w:shd w:val="clear" w:color="auto" w:fill="FF8080"/>
      <w:autoSpaceDE/>
      <w:autoSpaceDN/>
      <w:spacing w:before="100" w:beforeAutospacing="1" w:after="100" w:afterAutospacing="1"/>
    </w:pPr>
    <w:rPr>
      <w:sz w:val="20"/>
      <w:szCs w:val="20"/>
      <w:lang w:val="en-US" w:bidi="ar-SA"/>
    </w:rPr>
  </w:style>
  <w:style w:type="paragraph" w:customStyle="1" w:styleId="2343">
    <w:name w:val="xl146"/>
    <w:basedOn w:val="1"/>
    <w:uiPriority w:val="0"/>
    <w:pPr>
      <w:widowControl/>
      <w:pBdr>
        <w:top w:val="single" w:color="auto" w:sz="4" w:space="0"/>
        <w:left w:val="single" w:color="auto" w:sz="4" w:space="0"/>
        <w:right w:val="single" w:color="auto" w:sz="4" w:space="0"/>
      </w:pBdr>
      <w:autoSpaceDE/>
      <w:autoSpaceDN/>
      <w:spacing w:before="100" w:beforeAutospacing="1" w:after="100" w:afterAutospacing="1"/>
      <w:jc w:val="center"/>
    </w:pPr>
    <w:rPr>
      <w:rFonts w:ascii="Times New Roman" w:hAnsi="Times New Roman" w:cs="Times New Roman"/>
      <w:sz w:val="21"/>
      <w:szCs w:val="21"/>
      <w:lang w:val="en-US" w:bidi="ar-SA"/>
    </w:rPr>
  </w:style>
  <w:style w:type="paragraph" w:customStyle="1" w:styleId="2344">
    <w:name w:val="xl142"/>
    <w:basedOn w:val="1"/>
    <w:uiPriority w:val="0"/>
    <w:pPr>
      <w:widowControl/>
      <w:pBdr>
        <w:top w:val="single" w:color="auto" w:sz="4" w:space="0"/>
        <w:left w:val="single" w:color="auto" w:sz="4" w:space="0"/>
        <w:bottom w:val="single" w:color="auto" w:sz="4" w:space="0"/>
        <w:right w:val="single" w:color="auto" w:sz="4" w:space="0"/>
      </w:pBdr>
      <w:shd w:val="clear" w:color="auto" w:fill="FFFF00"/>
      <w:autoSpaceDE/>
      <w:autoSpaceDN/>
      <w:spacing w:before="100" w:beforeAutospacing="1" w:after="100" w:afterAutospacing="1"/>
    </w:pPr>
    <w:rPr>
      <w:b/>
      <w:bCs/>
      <w:lang w:val="en-US" w:bidi="ar-SA"/>
    </w:rPr>
  </w:style>
  <w:style w:type="paragraph" w:customStyle="1" w:styleId="2345">
    <w:name w:val="xl267"/>
    <w:basedOn w:val="1"/>
    <w:uiPriority w:val="0"/>
    <w:pPr>
      <w:widowControl/>
      <w:pBdr>
        <w:top w:val="single" w:color="auto" w:sz="4" w:space="0"/>
        <w:left w:val="single" w:color="auto" w:sz="4" w:space="0"/>
        <w:bottom w:val="single" w:color="auto" w:sz="4" w:space="0"/>
        <w:right w:val="single" w:color="auto" w:sz="4" w:space="0"/>
      </w:pBdr>
      <w:shd w:val="clear" w:color="auto" w:fill="FF8080"/>
      <w:autoSpaceDE/>
      <w:autoSpaceDN/>
      <w:spacing w:before="100" w:beforeAutospacing="1" w:after="100" w:afterAutospacing="1"/>
    </w:pPr>
    <w:rPr>
      <w:sz w:val="20"/>
      <w:szCs w:val="20"/>
      <w:lang w:val="en-US" w:bidi="ar-SA"/>
    </w:rPr>
  </w:style>
  <w:style w:type="paragraph" w:customStyle="1" w:styleId="2346">
    <w:name w:val="标题 1+"/>
    <w:basedOn w:val="3"/>
    <w:qFormat/>
    <w:uiPriority w:val="0"/>
    <w:pPr>
      <w:keepNext/>
      <w:keepLines/>
      <w:autoSpaceDE/>
      <w:autoSpaceDN/>
      <w:adjustRightInd w:val="0"/>
      <w:snapToGrid w:val="0"/>
      <w:spacing w:before="400" w:after="240" w:line="480" w:lineRule="exact"/>
      <w:ind w:left="0" w:firstLine="0"/>
      <w:jc w:val="center"/>
    </w:pPr>
    <w:rPr>
      <w:rFonts w:ascii="Times New Roman" w:hAnsi="Times New Roman" w:eastAsia="楷体_GB2312" w:cs="Times New Roman"/>
      <w:bCs/>
      <w:kern w:val="44"/>
      <w:sz w:val="36"/>
      <w:szCs w:val="36"/>
      <w:lang w:val="en-US" w:bidi="ar-SA"/>
    </w:rPr>
  </w:style>
  <w:style w:type="paragraph" w:customStyle="1" w:styleId="2347">
    <w:name w:val="正文表格内容"/>
    <w:basedOn w:val="1"/>
    <w:qFormat/>
    <w:uiPriority w:val="0"/>
    <w:pPr>
      <w:autoSpaceDE/>
      <w:autoSpaceDN/>
      <w:jc w:val="center"/>
    </w:pPr>
    <w:rPr>
      <w:rFonts w:ascii="Times New Roman" w:hAnsi="Times New Roman" w:cs="Times New Roman"/>
      <w:kern w:val="2"/>
      <w:sz w:val="21"/>
      <w:szCs w:val="24"/>
      <w:lang w:val="en-US" w:bidi="ar-SA"/>
    </w:rPr>
  </w:style>
  <w:style w:type="paragraph" w:customStyle="1" w:styleId="2348">
    <w:name w:val="表格文字两端对齐"/>
    <w:basedOn w:val="1"/>
    <w:qFormat/>
    <w:uiPriority w:val="0"/>
    <w:pPr>
      <w:autoSpaceDE/>
      <w:autoSpaceDN/>
      <w:spacing w:line="300" w:lineRule="auto"/>
      <w:jc w:val="both"/>
    </w:pPr>
    <w:rPr>
      <w:rFonts w:ascii="Times New Roman" w:hAnsi="Times New Roman" w:cs="Times New Roman"/>
      <w:kern w:val="2"/>
      <w:sz w:val="21"/>
      <w:szCs w:val="24"/>
      <w:lang w:val="en-US" w:bidi="ar-SA"/>
    </w:rPr>
  </w:style>
  <w:style w:type="paragraph" w:customStyle="1" w:styleId="2349">
    <w:name w:val="xl216"/>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color w:val="333399"/>
      <w:sz w:val="20"/>
      <w:szCs w:val="20"/>
      <w:lang w:val="en-US" w:bidi="ar-SA"/>
    </w:rPr>
  </w:style>
  <w:style w:type="paragraph" w:customStyle="1" w:styleId="2350">
    <w:name w:val="xl141"/>
    <w:basedOn w:val="1"/>
    <w:uiPriority w:val="0"/>
    <w:pPr>
      <w:widowControl/>
      <w:pBdr>
        <w:top w:val="single" w:color="auto" w:sz="4" w:space="0"/>
        <w:left w:val="single" w:color="auto" w:sz="4" w:space="0"/>
        <w:bottom w:val="single" w:color="auto" w:sz="4" w:space="0"/>
        <w:right w:val="single" w:color="auto" w:sz="4" w:space="0"/>
      </w:pBdr>
      <w:shd w:val="clear" w:color="auto" w:fill="FFFF00"/>
      <w:autoSpaceDE/>
      <w:autoSpaceDN/>
      <w:spacing w:before="100" w:beforeAutospacing="1" w:after="100" w:afterAutospacing="1"/>
      <w:jc w:val="center"/>
    </w:pPr>
    <w:rPr>
      <w:b/>
      <w:bCs/>
      <w:lang w:val="en-US" w:bidi="ar-SA"/>
    </w:rPr>
  </w:style>
  <w:style w:type="paragraph" w:customStyle="1" w:styleId="2351">
    <w:name w:val="xl277"/>
    <w:basedOn w:val="1"/>
    <w:uiPriority w:val="0"/>
    <w:pPr>
      <w:widowControl/>
      <w:pBdr>
        <w:top w:val="single" w:color="auto" w:sz="4" w:space="0"/>
        <w:left w:val="single" w:color="auto" w:sz="4" w:space="0"/>
        <w:bottom w:val="single" w:color="auto" w:sz="4" w:space="0"/>
        <w:right w:val="single" w:color="auto" w:sz="4" w:space="0"/>
      </w:pBdr>
      <w:shd w:val="clear" w:color="auto" w:fill="FFFF00"/>
      <w:autoSpaceDE/>
      <w:autoSpaceDN/>
      <w:spacing w:before="100" w:beforeAutospacing="1" w:after="100" w:afterAutospacing="1"/>
    </w:pPr>
    <w:rPr>
      <w:b/>
      <w:bCs/>
      <w:color w:val="FF0000"/>
      <w:sz w:val="20"/>
      <w:szCs w:val="20"/>
      <w:lang w:val="en-US" w:bidi="ar-SA"/>
    </w:rPr>
  </w:style>
  <w:style w:type="paragraph" w:customStyle="1" w:styleId="2352">
    <w:name w:val="xl164"/>
    <w:basedOn w:val="1"/>
    <w:uiPriority w:val="0"/>
    <w:pPr>
      <w:widowControl/>
      <w:shd w:val="clear" w:color="auto" w:fill="FFFFFF"/>
      <w:autoSpaceDE/>
      <w:autoSpaceDN/>
      <w:spacing w:before="100" w:beforeAutospacing="1" w:after="100" w:afterAutospacing="1"/>
    </w:pPr>
    <w:rPr>
      <w:color w:val="000000"/>
      <w:sz w:val="20"/>
      <w:szCs w:val="20"/>
      <w:lang w:val="en-US" w:bidi="ar-SA"/>
    </w:rPr>
  </w:style>
  <w:style w:type="paragraph" w:customStyle="1" w:styleId="2353">
    <w:name w:val="样式66"/>
    <w:basedOn w:val="20"/>
    <w:qFormat/>
    <w:uiPriority w:val="0"/>
    <w:pPr>
      <w:autoSpaceDE/>
      <w:autoSpaceDN/>
      <w:spacing w:line="480" w:lineRule="exact"/>
      <w:ind w:left="-140" w:right="31" w:firstLine="560" w:firstLineChars="200"/>
      <w:jc w:val="both"/>
    </w:pPr>
    <w:rPr>
      <w:rFonts w:ascii="Times New Roman" w:cs="Times New Roman"/>
      <w:kern w:val="2"/>
      <w:sz w:val="28"/>
      <w:szCs w:val="28"/>
      <w:lang w:val="en-US" w:bidi="ar-SA"/>
    </w:rPr>
  </w:style>
  <w:style w:type="paragraph" w:customStyle="1" w:styleId="2354">
    <w:name w:val="样式 样式 标题 1 + 黑体 二号 段前: 20 磅 段后: 20 磅 行距: 固定值 28 磅 + 非加粗 段前: 1 行..."/>
    <w:basedOn w:val="1"/>
    <w:qFormat/>
    <w:uiPriority w:val="0"/>
    <w:pPr>
      <w:keepNext/>
      <w:autoSpaceDE/>
      <w:autoSpaceDN/>
      <w:adjustRightInd w:val="0"/>
      <w:snapToGrid w:val="0"/>
      <w:spacing w:beforeLines="100" w:afterLines="100" w:line="480" w:lineRule="auto"/>
      <w:jc w:val="center"/>
      <w:outlineLvl w:val="0"/>
    </w:pPr>
    <w:rPr>
      <w:rFonts w:ascii="黑体" w:hAnsi="黑体" w:eastAsia="黑体"/>
      <w:kern w:val="2"/>
      <w:sz w:val="44"/>
      <w:szCs w:val="20"/>
      <w:lang w:val="en-US" w:bidi="ar-SA"/>
    </w:rPr>
  </w:style>
  <w:style w:type="paragraph" w:customStyle="1" w:styleId="2355">
    <w:name w:val="格式"/>
    <w:basedOn w:val="1"/>
    <w:qFormat/>
    <w:uiPriority w:val="0"/>
    <w:pPr>
      <w:autoSpaceDE/>
      <w:autoSpaceDN/>
      <w:spacing w:line="360" w:lineRule="auto"/>
      <w:ind w:firstLine="200" w:firstLineChars="200"/>
      <w:jc w:val="both"/>
    </w:pPr>
    <w:rPr>
      <w:rFonts w:ascii="Times New Roman" w:hAnsi="Times New Roman" w:cs="Times New Roman"/>
      <w:kern w:val="2"/>
      <w:sz w:val="24"/>
      <w:szCs w:val="24"/>
      <w:lang w:val="en-US" w:bidi="ar-SA"/>
    </w:rPr>
  </w:style>
  <w:style w:type="paragraph" w:customStyle="1" w:styleId="2356">
    <w:name w:val="Char1 Char Char Char2"/>
    <w:basedOn w:val="1"/>
    <w:qFormat/>
    <w:uiPriority w:val="0"/>
    <w:pPr>
      <w:autoSpaceDE/>
      <w:autoSpaceDN/>
      <w:jc w:val="both"/>
    </w:pPr>
    <w:rPr>
      <w:rFonts w:ascii="Times New Roman" w:hAnsi="Times New Roman" w:cs="Times New Roman"/>
      <w:kern w:val="2"/>
      <w:sz w:val="21"/>
      <w:szCs w:val="28"/>
      <w:lang w:val="en-US" w:bidi="ar-SA"/>
    </w:rPr>
  </w:style>
  <w:style w:type="paragraph" w:customStyle="1" w:styleId="2357">
    <w:name w:val="样式73"/>
    <w:basedOn w:val="1"/>
    <w:qFormat/>
    <w:uiPriority w:val="0"/>
    <w:pPr>
      <w:autoSpaceDE/>
      <w:autoSpaceDN/>
      <w:adjustRightInd w:val="0"/>
      <w:snapToGrid w:val="0"/>
      <w:spacing w:line="480" w:lineRule="exact"/>
      <w:ind w:firstLine="560" w:firstLineChars="200"/>
      <w:jc w:val="both"/>
    </w:pPr>
    <w:rPr>
      <w:rFonts w:cs="Times New Roman"/>
      <w:snapToGrid w:val="0"/>
      <w:color w:val="FF0000"/>
      <w:sz w:val="28"/>
      <w:szCs w:val="28"/>
      <w:lang w:val="en-US" w:bidi="ar-SA"/>
    </w:rPr>
  </w:style>
  <w:style w:type="paragraph" w:customStyle="1" w:styleId="2358">
    <w:name w:val="样式83"/>
    <w:basedOn w:val="2231"/>
    <w:qFormat/>
    <w:uiPriority w:val="0"/>
    <w:pPr>
      <w:keepNext w:val="0"/>
      <w:keepLines w:val="0"/>
      <w:widowControl/>
      <w:spacing w:line="480" w:lineRule="exact"/>
      <w:ind w:firstLine="450" w:firstLineChars="150"/>
    </w:pPr>
  </w:style>
  <w:style w:type="paragraph" w:customStyle="1" w:styleId="2359">
    <w:name w:val="样式68"/>
    <w:basedOn w:val="1"/>
    <w:qFormat/>
    <w:uiPriority w:val="0"/>
    <w:pPr>
      <w:autoSpaceDE/>
      <w:autoSpaceDN/>
      <w:adjustRightInd w:val="0"/>
      <w:snapToGrid w:val="0"/>
      <w:spacing w:line="480" w:lineRule="exact"/>
      <w:ind w:firstLine="560" w:firstLineChars="200"/>
      <w:jc w:val="both"/>
    </w:pPr>
    <w:rPr>
      <w:rFonts w:cs="Times New Roman"/>
      <w:snapToGrid w:val="0"/>
      <w:color w:val="FF0000"/>
      <w:sz w:val="28"/>
      <w:szCs w:val="28"/>
      <w:lang w:val="en-US" w:bidi="ar-SA"/>
    </w:rPr>
  </w:style>
  <w:style w:type="paragraph" w:customStyle="1" w:styleId="2360">
    <w:name w:val="索引 91"/>
    <w:basedOn w:val="1"/>
    <w:next w:val="1"/>
    <w:uiPriority w:val="0"/>
    <w:pPr>
      <w:autoSpaceDE/>
      <w:autoSpaceDN/>
      <w:ind w:left="1600" w:leftChars="1600"/>
      <w:jc w:val="both"/>
    </w:pPr>
    <w:rPr>
      <w:rFonts w:ascii="Times New Roman" w:hAnsi="Times New Roman" w:cs="Times New Roman"/>
      <w:kern w:val="2"/>
      <w:sz w:val="21"/>
      <w:szCs w:val="24"/>
      <w:lang w:val="en-US" w:bidi="ar-SA"/>
    </w:rPr>
  </w:style>
  <w:style w:type="paragraph" w:customStyle="1" w:styleId="2361">
    <w:name w:val="reader-word-layer reader-word-s11-14"/>
    <w:basedOn w:val="1"/>
    <w:uiPriority w:val="0"/>
    <w:pPr>
      <w:widowControl/>
      <w:autoSpaceDE/>
      <w:autoSpaceDN/>
      <w:spacing w:before="100" w:beforeAutospacing="1" w:after="100" w:afterAutospacing="1"/>
    </w:pPr>
    <w:rPr>
      <w:sz w:val="24"/>
      <w:szCs w:val="24"/>
      <w:lang w:val="en-US" w:bidi="ar-SA"/>
    </w:rPr>
  </w:style>
  <w:style w:type="paragraph" w:customStyle="1" w:styleId="2362">
    <w:name w:val="样式53"/>
    <w:basedOn w:val="105"/>
    <w:qFormat/>
    <w:uiPriority w:val="0"/>
    <w:pPr>
      <w:tabs>
        <w:tab w:val="clear" w:pos="3480"/>
      </w:tabs>
      <w:autoSpaceDE/>
      <w:autoSpaceDN/>
      <w:adjustRightInd w:val="0"/>
      <w:snapToGrid w:val="0"/>
      <w:spacing w:beforeLines="0" w:line="240" w:lineRule="exact"/>
      <w:ind w:left="-140" w:leftChars="-50" w:right="-140" w:rightChars="-50"/>
    </w:pPr>
    <w:rPr>
      <w:rFonts w:ascii="Times New Roman" w:hAnsi="Times New Roman" w:eastAsia="宋体" w:cs="Times New Roman"/>
      <w:color w:val="000000"/>
      <w:szCs w:val="28"/>
      <w:lang w:val="en-US" w:bidi="ar-SA"/>
    </w:rPr>
  </w:style>
  <w:style w:type="paragraph" w:customStyle="1" w:styleId="2363">
    <w:name w:val="样式79"/>
    <w:basedOn w:val="2274"/>
    <w:qFormat/>
    <w:uiPriority w:val="0"/>
    <w:pPr>
      <w:ind w:firstLine="562"/>
    </w:pPr>
    <w:rPr>
      <w:rFonts w:hAnsi="宋体"/>
      <w:b/>
      <w:bCs/>
      <w:sz w:val="28"/>
      <w:szCs w:val="28"/>
    </w:rPr>
  </w:style>
  <w:style w:type="paragraph" w:customStyle="1" w:styleId="2364">
    <w:name w:val="xl147"/>
    <w:basedOn w:val="1"/>
    <w:uiPriority w:val="0"/>
    <w:pPr>
      <w:widowControl/>
      <w:pBdr>
        <w:left w:val="single" w:color="auto" w:sz="4" w:space="0"/>
        <w:bottom w:val="single" w:color="auto" w:sz="4" w:space="0"/>
        <w:right w:val="single" w:color="auto" w:sz="4" w:space="0"/>
      </w:pBdr>
      <w:autoSpaceDE/>
      <w:autoSpaceDN/>
      <w:spacing w:before="100" w:beforeAutospacing="1" w:after="100" w:afterAutospacing="1"/>
      <w:jc w:val="center"/>
    </w:pPr>
    <w:rPr>
      <w:rFonts w:ascii="Times New Roman" w:hAnsi="Times New Roman" w:cs="Times New Roman"/>
      <w:sz w:val="21"/>
      <w:szCs w:val="21"/>
      <w:lang w:val="en-US" w:bidi="ar-SA"/>
    </w:rPr>
  </w:style>
  <w:style w:type="paragraph" w:customStyle="1" w:styleId="2365">
    <w:name w:val="xl119"/>
    <w:basedOn w:val="1"/>
    <w:uiPriority w:val="0"/>
    <w:pPr>
      <w:widowControl/>
      <w:pBdr>
        <w:top w:val="single" w:color="auto" w:sz="4" w:space="0"/>
        <w:left w:val="single" w:color="auto" w:sz="4" w:space="0"/>
        <w:bottom w:val="single" w:color="auto" w:sz="4" w:space="0"/>
        <w:right w:val="single" w:color="auto" w:sz="4" w:space="0"/>
      </w:pBdr>
      <w:shd w:val="clear" w:color="auto" w:fill="FFFF00"/>
      <w:autoSpaceDE/>
      <w:autoSpaceDN/>
      <w:spacing w:before="100" w:beforeAutospacing="1" w:after="100" w:afterAutospacing="1"/>
    </w:pPr>
    <w:rPr>
      <w:rFonts w:ascii="Times New Roman" w:hAnsi="Times New Roman" w:cs="Times New Roman"/>
      <w:b/>
      <w:bCs/>
      <w:sz w:val="21"/>
      <w:szCs w:val="21"/>
      <w:lang w:val="en-US" w:bidi="ar-SA"/>
    </w:rPr>
  </w:style>
  <w:style w:type="paragraph" w:customStyle="1" w:styleId="2366">
    <w:name w:val="样式89"/>
    <w:basedOn w:val="1"/>
    <w:qFormat/>
    <w:uiPriority w:val="0"/>
    <w:pPr>
      <w:autoSpaceDE/>
      <w:autoSpaceDN/>
      <w:adjustRightInd w:val="0"/>
      <w:snapToGrid w:val="0"/>
      <w:spacing w:line="480" w:lineRule="exact"/>
      <w:ind w:firstLine="560" w:firstLineChars="200"/>
      <w:jc w:val="both"/>
    </w:pPr>
    <w:rPr>
      <w:snapToGrid w:val="0"/>
      <w:sz w:val="28"/>
      <w:szCs w:val="28"/>
      <w:lang w:val="en-US" w:bidi="ar-SA"/>
    </w:rPr>
  </w:style>
  <w:style w:type="paragraph" w:customStyle="1" w:styleId="2367">
    <w:name w:val="样式59"/>
    <w:basedOn w:val="102"/>
    <w:qFormat/>
    <w:uiPriority w:val="0"/>
    <w:pPr>
      <w:autoSpaceDE/>
      <w:autoSpaceDN/>
      <w:adjustRightInd w:val="0"/>
      <w:snapToGrid w:val="0"/>
      <w:spacing w:beforeLines="0" w:afterLines="0" w:line="480" w:lineRule="exact"/>
      <w:ind w:left="-140" w:leftChars="-6" w:right="31" w:hanging="8" w:hangingChars="8"/>
    </w:pPr>
    <w:rPr>
      <w:rFonts w:ascii="方正黑体简体" w:hAnsi="Times New Roman" w:eastAsia="方正黑体简体" w:cs="Times New Roman"/>
      <w:b w:val="0"/>
      <w:kern w:val="0"/>
      <w:sz w:val="30"/>
      <w:szCs w:val="24"/>
      <w:lang w:val="en-US" w:bidi="ar-SA"/>
    </w:rPr>
  </w:style>
  <w:style w:type="paragraph" w:customStyle="1" w:styleId="2368">
    <w:name w:val="样式72"/>
    <w:basedOn w:val="1"/>
    <w:qFormat/>
    <w:uiPriority w:val="0"/>
    <w:pPr>
      <w:autoSpaceDE/>
      <w:autoSpaceDN/>
      <w:adjustRightInd w:val="0"/>
      <w:snapToGrid w:val="0"/>
      <w:spacing w:line="480" w:lineRule="exact"/>
      <w:ind w:firstLine="560" w:firstLineChars="200"/>
      <w:jc w:val="both"/>
    </w:pPr>
    <w:rPr>
      <w:rFonts w:cs="Times New Roman"/>
      <w:snapToGrid w:val="0"/>
      <w:color w:val="FF0000"/>
      <w:sz w:val="28"/>
      <w:szCs w:val="28"/>
      <w:lang w:val="en-US" w:bidi="ar-SA"/>
    </w:rPr>
  </w:style>
  <w:style w:type="paragraph" w:customStyle="1" w:styleId="2369">
    <w:name w:val="正文首行缩进 22"/>
    <w:basedOn w:val="355"/>
    <w:uiPriority w:val="0"/>
    <w:pPr>
      <w:spacing w:after="120"/>
      <w:ind w:left="420" w:firstLine="420"/>
    </w:pPr>
  </w:style>
  <w:style w:type="paragraph" w:customStyle="1" w:styleId="2370">
    <w:name w:val="样式25"/>
    <w:basedOn w:val="1"/>
    <w:qFormat/>
    <w:uiPriority w:val="0"/>
    <w:pPr>
      <w:autoSpaceDE/>
      <w:autoSpaceDN/>
      <w:adjustRightInd w:val="0"/>
      <w:snapToGrid w:val="0"/>
      <w:spacing w:line="500" w:lineRule="exact"/>
      <w:ind w:firstLine="560" w:firstLineChars="200"/>
      <w:jc w:val="both"/>
    </w:pPr>
    <w:rPr>
      <w:rFonts w:ascii="Times New Roman" w:hAnsi="Times New Roman" w:cs="Times New Roman"/>
      <w:snapToGrid w:val="0"/>
      <w:sz w:val="28"/>
      <w:szCs w:val="28"/>
      <w:lang w:val="en-US" w:bidi="ar-SA"/>
    </w:rPr>
  </w:style>
  <w:style w:type="paragraph" w:customStyle="1" w:styleId="2371">
    <w:name w:val="xl195"/>
    <w:basedOn w:val="1"/>
    <w:uiPriority w:val="0"/>
    <w:pPr>
      <w:widowControl/>
      <w:pBdr>
        <w:top w:val="single" w:color="auto" w:sz="4" w:space="0"/>
        <w:left w:val="single" w:color="auto" w:sz="4" w:space="0"/>
        <w:bottom w:val="single" w:color="auto" w:sz="4" w:space="0"/>
        <w:right w:val="single" w:color="auto" w:sz="4" w:space="0"/>
      </w:pBdr>
      <w:shd w:val="clear" w:color="auto" w:fill="FFFF00"/>
      <w:autoSpaceDE/>
      <w:autoSpaceDN/>
      <w:spacing w:before="100" w:beforeAutospacing="1" w:after="100" w:afterAutospacing="1"/>
    </w:pPr>
    <w:rPr>
      <w:color w:val="000000"/>
      <w:sz w:val="20"/>
      <w:szCs w:val="20"/>
      <w:lang w:val="en-US" w:bidi="ar-SA"/>
    </w:rPr>
  </w:style>
  <w:style w:type="paragraph" w:customStyle="1" w:styleId="2372">
    <w:name w:val="样式43"/>
    <w:basedOn w:val="1"/>
    <w:qFormat/>
    <w:uiPriority w:val="0"/>
    <w:pPr>
      <w:autoSpaceDE/>
      <w:autoSpaceDN/>
      <w:adjustRightInd w:val="0"/>
      <w:snapToGrid w:val="0"/>
      <w:spacing w:line="480" w:lineRule="exact"/>
      <w:ind w:firstLine="560" w:firstLineChars="200"/>
      <w:jc w:val="both"/>
    </w:pPr>
    <w:rPr>
      <w:rFonts w:ascii="Times New Roman" w:hAnsi="Times New Roman" w:cs="Times New Roman"/>
      <w:snapToGrid w:val="0"/>
      <w:sz w:val="28"/>
      <w:szCs w:val="24"/>
      <w:lang w:val="en-US" w:bidi="ar-SA"/>
    </w:rPr>
  </w:style>
  <w:style w:type="paragraph" w:customStyle="1" w:styleId="2373">
    <w:name w:val="样式 标题 1 + 黑体 二号 段前: 20 磅 段后: 20 磅 行距: 固定值 28 磅"/>
    <w:basedOn w:val="3"/>
    <w:uiPriority w:val="0"/>
    <w:pPr>
      <w:keepNext/>
      <w:autoSpaceDE/>
      <w:autoSpaceDN/>
      <w:adjustRightInd w:val="0"/>
      <w:snapToGrid w:val="0"/>
      <w:spacing w:before="340" w:beforeLines="100" w:after="330" w:afterLines="100" w:line="480" w:lineRule="auto"/>
      <w:ind w:left="0" w:firstLine="0"/>
      <w:jc w:val="center"/>
    </w:pPr>
    <w:rPr>
      <w:rFonts w:cs="宋体"/>
      <w:b/>
      <w:bCs/>
      <w:kern w:val="2"/>
      <w:szCs w:val="20"/>
      <w:lang w:val="en-US" w:bidi="ar-SA"/>
    </w:rPr>
  </w:style>
  <w:style w:type="paragraph" w:customStyle="1" w:styleId="2374">
    <w:name w:val="样式69"/>
    <w:basedOn w:val="1"/>
    <w:qFormat/>
    <w:uiPriority w:val="0"/>
    <w:pPr>
      <w:autoSpaceDE/>
      <w:autoSpaceDN/>
      <w:adjustRightInd w:val="0"/>
      <w:snapToGrid w:val="0"/>
      <w:spacing w:line="480" w:lineRule="exact"/>
      <w:ind w:firstLine="560" w:firstLineChars="200"/>
      <w:jc w:val="both"/>
    </w:pPr>
    <w:rPr>
      <w:rFonts w:cs="Times New Roman"/>
      <w:snapToGrid w:val="0"/>
      <w:color w:val="FF0000"/>
      <w:sz w:val="28"/>
      <w:szCs w:val="28"/>
      <w:lang w:val="en-US" w:bidi="ar-SA"/>
    </w:rPr>
  </w:style>
  <w:style w:type="paragraph" w:customStyle="1" w:styleId="2375">
    <w:name w:val="标题1T"/>
    <w:next w:val="3"/>
    <w:uiPriority w:val="0"/>
    <w:pPr>
      <w:spacing w:beforeLines="100" w:afterLines="100" w:line="480" w:lineRule="exact"/>
      <w:jc w:val="center"/>
    </w:pPr>
    <w:rPr>
      <w:rFonts w:ascii="Times New Roman" w:hAnsi="Times New Roman" w:eastAsia="楷体_GB2312" w:cs="Times New Roman"/>
      <w:kern w:val="2"/>
      <w:sz w:val="32"/>
      <w:szCs w:val="32"/>
      <w:lang w:val="en-US" w:eastAsia="zh-CN" w:bidi="ar-SA"/>
    </w:rPr>
  </w:style>
  <w:style w:type="paragraph" w:customStyle="1" w:styleId="2376">
    <w:name w:val="xl232"/>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377">
    <w:name w:val="正文五级标题"/>
    <w:basedOn w:val="1"/>
    <w:uiPriority w:val="0"/>
    <w:pPr>
      <w:autoSpaceDE/>
      <w:autoSpaceDN/>
      <w:spacing w:line="480" w:lineRule="exact"/>
      <w:ind w:firstLine="200" w:firstLineChars="200"/>
      <w:jc w:val="both"/>
      <w:outlineLvl w:val="4"/>
    </w:pPr>
    <w:rPr>
      <w:rFonts w:ascii="Times New Roman" w:hAnsi="Times New Roman" w:eastAsia="仿宋_GB2312" w:cs="Times New Roman"/>
      <w:b/>
      <w:kern w:val="2"/>
      <w:sz w:val="30"/>
      <w:szCs w:val="24"/>
      <w:lang w:val="en-US" w:bidi="ar-SA"/>
    </w:rPr>
  </w:style>
  <w:style w:type="paragraph" w:customStyle="1" w:styleId="2378">
    <w:name w:val="正文一级"/>
    <w:uiPriority w:val="0"/>
    <w:pPr>
      <w:tabs>
        <w:tab w:val="left" w:pos="200"/>
      </w:tabs>
      <w:spacing w:before="360" w:after="240"/>
      <w:ind w:left="200"/>
      <w:jc w:val="center"/>
      <w:outlineLvl w:val="0"/>
    </w:pPr>
    <w:rPr>
      <w:rFonts w:ascii="Times New Roman" w:hAnsi="Times New Roman" w:eastAsia="黑体" w:cs="Times New Roman"/>
      <w:bCs/>
      <w:kern w:val="44"/>
      <w:sz w:val="36"/>
      <w:szCs w:val="36"/>
      <w:lang w:val="en-US" w:eastAsia="zh-CN" w:bidi="ar-SA"/>
    </w:rPr>
  </w:style>
  <w:style w:type="paragraph" w:customStyle="1" w:styleId="2379">
    <w:name w:val="注"/>
    <w:basedOn w:val="1"/>
    <w:uiPriority w:val="0"/>
    <w:pPr>
      <w:autoSpaceDE/>
      <w:autoSpaceDN/>
      <w:ind w:firstLine="57"/>
      <w:jc w:val="both"/>
    </w:pPr>
    <w:rPr>
      <w:rFonts w:hAnsi="Times New Roman" w:cs="Times New Roman"/>
      <w:kern w:val="2"/>
      <w:sz w:val="21"/>
      <w:szCs w:val="20"/>
      <w:lang w:val="en-US" w:bidi="ar-SA"/>
    </w:rPr>
  </w:style>
  <w:style w:type="paragraph" w:customStyle="1" w:styleId="2380">
    <w:name w:val="正文+"/>
    <w:basedOn w:val="1"/>
    <w:uiPriority w:val="0"/>
    <w:pPr>
      <w:widowControl/>
      <w:autoSpaceDE/>
      <w:autoSpaceDN/>
      <w:adjustRightInd w:val="0"/>
      <w:snapToGrid w:val="0"/>
      <w:spacing w:line="480" w:lineRule="exact"/>
      <w:ind w:firstLine="560" w:firstLineChars="200"/>
    </w:pPr>
    <w:rPr>
      <w:snapToGrid w:val="0"/>
      <w:sz w:val="28"/>
      <w:szCs w:val="20"/>
      <w:lang w:val="en-US" w:bidi="ar-SA"/>
    </w:rPr>
  </w:style>
  <w:style w:type="paragraph" w:customStyle="1" w:styleId="2381">
    <w:name w:val="样式39"/>
    <w:basedOn w:val="105"/>
    <w:qFormat/>
    <w:uiPriority w:val="0"/>
    <w:pPr>
      <w:tabs>
        <w:tab w:val="clear" w:pos="3480"/>
      </w:tabs>
      <w:autoSpaceDE/>
      <w:autoSpaceDN/>
      <w:adjustRightInd w:val="0"/>
      <w:snapToGrid w:val="0"/>
      <w:spacing w:beforeLines="0" w:line="300" w:lineRule="exact"/>
      <w:ind w:left="-140" w:leftChars="-50" w:right="-140" w:rightChars="-50"/>
    </w:pPr>
    <w:rPr>
      <w:rFonts w:ascii="Times New Roman" w:hAnsi="Times New Roman" w:eastAsia="宋体" w:cs="Times New Roman"/>
      <w:color w:val="000000"/>
      <w:szCs w:val="28"/>
      <w:lang w:val="en-US" w:bidi="ar-SA"/>
    </w:rPr>
  </w:style>
  <w:style w:type="paragraph" w:customStyle="1" w:styleId="2382">
    <w:name w:val="xl191"/>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383">
    <w:name w:val="样式85"/>
    <w:basedOn w:val="1"/>
    <w:qFormat/>
    <w:uiPriority w:val="0"/>
    <w:pPr>
      <w:autoSpaceDE/>
      <w:autoSpaceDN/>
      <w:adjustRightInd w:val="0"/>
      <w:snapToGrid w:val="0"/>
      <w:spacing w:line="480" w:lineRule="exact"/>
      <w:ind w:firstLine="560" w:firstLineChars="200"/>
      <w:jc w:val="both"/>
    </w:pPr>
    <w:rPr>
      <w:rFonts w:ascii="Times New Roman" w:hAnsi="Times New Roman" w:cs="Times New Roman"/>
      <w:snapToGrid w:val="0"/>
      <w:color w:val="000000"/>
      <w:sz w:val="28"/>
      <w:szCs w:val="21"/>
      <w:lang w:val="en-US" w:bidi="ar-SA"/>
    </w:rPr>
  </w:style>
  <w:style w:type="paragraph" w:customStyle="1" w:styleId="2384">
    <w:name w:val="xl245"/>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385">
    <w:name w:val="正文文本缩进 33"/>
    <w:basedOn w:val="1"/>
    <w:uiPriority w:val="0"/>
    <w:pPr>
      <w:autoSpaceDE/>
      <w:autoSpaceDN/>
      <w:spacing w:line="300" w:lineRule="auto"/>
      <w:ind w:firstLine="525"/>
      <w:jc w:val="both"/>
    </w:pPr>
    <w:rPr>
      <w:rFonts w:ascii="Times New Roman" w:hAnsi="Times New Roman" w:cs="Times New Roman"/>
      <w:kern w:val="2"/>
      <w:sz w:val="24"/>
      <w:szCs w:val="20"/>
      <w:lang w:val="en-US" w:bidi="ar-SA"/>
    </w:rPr>
  </w:style>
  <w:style w:type="paragraph" w:customStyle="1" w:styleId="2386">
    <w:name w:val="xl318"/>
    <w:basedOn w:val="1"/>
    <w:uiPriority w:val="0"/>
    <w:pPr>
      <w:widowControl/>
      <w:pBdr>
        <w:top w:val="single" w:color="auto" w:sz="4" w:space="0"/>
        <w:left w:val="single" w:color="auto" w:sz="4" w:space="0"/>
        <w:bottom w:val="single" w:color="auto" w:sz="4" w:space="0"/>
        <w:right w:val="single" w:color="auto" w:sz="4" w:space="0"/>
      </w:pBdr>
      <w:shd w:val="clear" w:color="auto" w:fill="FFFF00"/>
      <w:autoSpaceDE/>
      <w:autoSpaceDN/>
      <w:spacing w:before="100" w:beforeAutospacing="1" w:after="100" w:afterAutospacing="1"/>
    </w:pPr>
    <w:rPr>
      <w:b/>
      <w:bCs/>
      <w:sz w:val="20"/>
      <w:szCs w:val="20"/>
      <w:lang w:val="en-US" w:bidi="ar-SA"/>
    </w:rPr>
  </w:style>
  <w:style w:type="paragraph" w:customStyle="1" w:styleId="2387">
    <w:name w:val="样式42"/>
    <w:basedOn w:val="102"/>
    <w:qFormat/>
    <w:uiPriority w:val="0"/>
    <w:pPr>
      <w:autoSpaceDE/>
      <w:autoSpaceDN/>
      <w:adjustRightInd w:val="0"/>
      <w:snapToGrid w:val="0"/>
      <w:spacing w:beforeLines="0" w:afterLines="0" w:line="480" w:lineRule="exact"/>
      <w:ind w:left="-6" w:leftChars="-6" w:hanging="17" w:hangingChars="8"/>
    </w:pPr>
    <w:rPr>
      <w:rFonts w:ascii="方正黑体简体" w:hAnsi="Times New Roman" w:eastAsia="方正黑体简体" w:cs="Times New Roman"/>
      <w:b w:val="0"/>
      <w:snapToGrid w:val="0"/>
      <w:kern w:val="0"/>
      <w:sz w:val="30"/>
      <w:szCs w:val="24"/>
      <w:lang w:val="en-US" w:bidi="ar-SA"/>
    </w:rPr>
  </w:style>
  <w:style w:type="paragraph" w:customStyle="1" w:styleId="2388">
    <w:name w:val="日期2"/>
    <w:basedOn w:val="1"/>
    <w:next w:val="1"/>
    <w:uiPriority w:val="0"/>
    <w:pPr>
      <w:autoSpaceDE/>
      <w:autoSpaceDN/>
      <w:jc w:val="both"/>
    </w:pPr>
    <w:rPr>
      <w:rFonts w:ascii="Times New Roman" w:hAnsi="Times New Roman" w:cs="Times New Roman"/>
      <w:kern w:val="2"/>
      <w:sz w:val="21"/>
      <w:szCs w:val="20"/>
      <w:lang w:val="en-US" w:bidi="ar-SA"/>
    </w:rPr>
  </w:style>
  <w:style w:type="paragraph" w:customStyle="1" w:styleId="2389">
    <w:name w:val="正文题目"/>
    <w:basedOn w:val="1"/>
    <w:uiPriority w:val="0"/>
    <w:pPr>
      <w:autoSpaceDE/>
      <w:autoSpaceDN/>
      <w:spacing w:beforeLines="50" w:afterLines="100" w:line="700" w:lineRule="exact"/>
      <w:jc w:val="center"/>
    </w:pPr>
    <w:rPr>
      <w:rFonts w:ascii="Times New Roman" w:hAnsi="Times New Roman" w:eastAsia="黑体" w:cs="Times New Roman"/>
      <w:kern w:val="2"/>
      <w:sz w:val="44"/>
      <w:szCs w:val="24"/>
      <w:lang w:val="en-US" w:bidi="ar-SA"/>
    </w:rPr>
  </w:style>
  <w:style w:type="paragraph" w:customStyle="1" w:styleId="2390">
    <w:name w:val="样式63"/>
    <w:basedOn w:val="2391"/>
    <w:qFormat/>
    <w:uiPriority w:val="0"/>
    <w:pPr>
      <w:spacing w:line="500" w:lineRule="exact"/>
      <w:ind w:left="0" w:leftChars="0" w:right="0" w:rightChars="0"/>
    </w:pPr>
    <w:rPr>
      <w:rFonts w:ascii="Times New Roman" w:hAnsi="Times New Roman" w:cs="Times New Roman"/>
      <w:color w:val="auto"/>
    </w:rPr>
  </w:style>
  <w:style w:type="paragraph" w:customStyle="1" w:styleId="2391">
    <w:name w:val="样式62"/>
    <w:basedOn w:val="1"/>
    <w:qFormat/>
    <w:uiPriority w:val="0"/>
    <w:pPr>
      <w:autoSpaceDE/>
      <w:autoSpaceDN/>
      <w:adjustRightInd w:val="0"/>
      <w:snapToGrid w:val="0"/>
      <w:spacing w:line="480" w:lineRule="exact"/>
      <w:ind w:left="140" w:leftChars="50" w:right="140" w:rightChars="50" w:firstLine="560" w:firstLineChars="200"/>
      <w:jc w:val="both"/>
    </w:pPr>
    <w:rPr>
      <w:bCs/>
      <w:snapToGrid w:val="0"/>
      <w:color w:val="FF0000"/>
      <w:sz w:val="28"/>
      <w:szCs w:val="28"/>
      <w:lang w:val="en-US" w:bidi="ar-SA"/>
    </w:rPr>
  </w:style>
  <w:style w:type="paragraph" w:customStyle="1" w:styleId="2392">
    <w:name w:val="索引 31"/>
    <w:basedOn w:val="1"/>
    <w:next w:val="1"/>
    <w:uiPriority w:val="0"/>
    <w:pPr>
      <w:autoSpaceDE/>
      <w:autoSpaceDN/>
      <w:spacing w:line="480" w:lineRule="exact"/>
      <w:ind w:left="400" w:leftChars="400"/>
      <w:jc w:val="both"/>
    </w:pPr>
    <w:rPr>
      <w:rFonts w:ascii="Times New Roman" w:hAnsi="Times New Roman" w:cs="Times New Roman"/>
      <w:kern w:val="2"/>
      <w:sz w:val="24"/>
      <w:szCs w:val="24"/>
      <w:lang w:val="en-US" w:bidi="ar-SA"/>
    </w:rPr>
  </w:style>
  <w:style w:type="paragraph" w:customStyle="1" w:styleId="2393">
    <w:name w:val="设料表居中"/>
    <w:basedOn w:val="1"/>
    <w:uiPriority w:val="0"/>
    <w:pPr>
      <w:autoSpaceDE/>
      <w:autoSpaceDN/>
      <w:adjustRightInd w:val="0"/>
      <w:ind w:left="-101" w:leftChars="-48"/>
      <w:jc w:val="center"/>
    </w:pPr>
    <w:rPr>
      <w:rFonts w:ascii="Times New Roman" w:hAnsi="Times New Roman" w:eastAsia="仿宋_GB2312" w:cs="Times New Roman"/>
      <w:kern w:val="2"/>
      <w:sz w:val="18"/>
      <w:szCs w:val="20"/>
      <w:lang w:val="en-US" w:bidi="ar-SA"/>
    </w:rPr>
  </w:style>
  <w:style w:type="paragraph" w:customStyle="1" w:styleId="2394">
    <w:name w:val="xl263"/>
    <w:basedOn w:val="1"/>
    <w:uiPriority w:val="0"/>
    <w:pPr>
      <w:widowControl/>
      <w:pBdr>
        <w:top w:val="single" w:color="auto" w:sz="4" w:space="0"/>
        <w:left w:val="single" w:color="auto" w:sz="4" w:space="0"/>
        <w:bottom w:val="single" w:color="auto" w:sz="4" w:space="0"/>
        <w:right w:val="single" w:color="auto" w:sz="4" w:space="0"/>
      </w:pBdr>
      <w:shd w:val="clear" w:color="auto" w:fill="FF8080"/>
      <w:autoSpaceDE/>
      <w:autoSpaceDN/>
      <w:spacing w:before="100" w:beforeAutospacing="1" w:after="100" w:afterAutospacing="1"/>
    </w:pPr>
    <w:rPr>
      <w:sz w:val="20"/>
      <w:szCs w:val="20"/>
      <w:lang w:val="en-US" w:bidi="ar-SA"/>
    </w:rPr>
  </w:style>
  <w:style w:type="paragraph" w:customStyle="1" w:styleId="2395">
    <w:name w:val="正文四级"/>
    <w:basedOn w:val="1"/>
    <w:uiPriority w:val="0"/>
    <w:pPr>
      <w:tabs>
        <w:tab w:val="left" w:pos="1022"/>
      </w:tabs>
      <w:autoSpaceDE/>
      <w:autoSpaceDN/>
      <w:ind w:left="1022" w:hanging="420"/>
      <w:outlineLvl w:val="3"/>
    </w:pPr>
    <w:rPr>
      <w:rFonts w:ascii="Times New Roman" w:hAnsi="Times New Roman" w:cs="Times New Roman"/>
      <w:b/>
      <w:kern w:val="2"/>
      <w:sz w:val="30"/>
      <w:szCs w:val="24"/>
      <w:lang w:val="en-US" w:bidi="ar-SA"/>
    </w:rPr>
  </w:style>
  <w:style w:type="paragraph" w:customStyle="1" w:styleId="2396">
    <w:name w:val="Char Char Char Char Char Char Char Char Char Char Char Char Char Char Char Char Char Char Char Char Char Char"/>
    <w:basedOn w:val="1"/>
    <w:uiPriority w:val="0"/>
    <w:pPr>
      <w:autoSpaceDE/>
      <w:autoSpaceDN/>
      <w:jc w:val="both"/>
    </w:pPr>
    <w:rPr>
      <w:rFonts w:ascii="Times New Roman" w:hAnsi="Times New Roman" w:cs="Times New Roman"/>
      <w:kern w:val="2"/>
      <w:sz w:val="21"/>
      <w:szCs w:val="24"/>
      <w:lang w:val="en-US" w:bidi="ar-SA"/>
    </w:rPr>
  </w:style>
  <w:style w:type="paragraph" w:customStyle="1" w:styleId="2397">
    <w:name w:val="Char Char Char Char Char Char Char Char Char Char Char Char Char Char Char Char Char Char Char Char Char Char1"/>
    <w:basedOn w:val="1"/>
    <w:uiPriority w:val="0"/>
    <w:pPr>
      <w:autoSpaceDE/>
      <w:autoSpaceDN/>
      <w:jc w:val="both"/>
    </w:pPr>
    <w:rPr>
      <w:rFonts w:ascii="Times New Roman" w:hAnsi="Times New Roman" w:cs="Times New Roman"/>
      <w:kern w:val="2"/>
      <w:sz w:val="21"/>
      <w:szCs w:val="24"/>
      <w:lang w:val="en-US" w:bidi="ar-SA"/>
    </w:rPr>
  </w:style>
  <w:style w:type="paragraph" w:customStyle="1" w:styleId="2398">
    <w:name w:val="TOC 标题2"/>
    <w:basedOn w:val="3"/>
    <w:next w:val="1"/>
    <w:qFormat/>
    <w:uiPriority w:val="0"/>
    <w:pPr>
      <w:keepNext/>
      <w:keepLines/>
      <w:widowControl/>
      <w:autoSpaceDE/>
      <w:autoSpaceDN/>
      <w:spacing w:before="480" w:line="276" w:lineRule="auto"/>
      <w:ind w:left="0" w:firstLine="0"/>
      <w:outlineLvl w:val="9"/>
    </w:pPr>
    <w:rPr>
      <w:rFonts w:ascii="Cambria" w:hAnsi="Cambria" w:eastAsia="宋体" w:cs="Times New Roman"/>
      <w:b/>
      <w:bCs/>
      <w:color w:val="365F91"/>
      <w:sz w:val="28"/>
      <w:szCs w:val="28"/>
      <w:lang w:val="en-US" w:bidi="ar-SA"/>
    </w:rPr>
  </w:style>
  <w:style w:type="paragraph" w:customStyle="1" w:styleId="2399">
    <w:name w:val="cucd-2"/>
    <w:next w:val="1"/>
    <w:uiPriority w:val="0"/>
    <w:pPr>
      <w:tabs>
        <w:tab w:val="left" w:pos="567"/>
      </w:tabs>
      <w:spacing w:line="360" w:lineRule="auto"/>
      <w:ind w:left="567" w:hanging="567"/>
      <w:outlineLvl w:val="1"/>
    </w:pPr>
    <w:rPr>
      <w:rFonts w:ascii="Times New Roman" w:hAnsi="Times New Roman" w:eastAsia="黑体" w:cs="Times New Roman"/>
      <w:b/>
      <w:kern w:val="2"/>
      <w:sz w:val="30"/>
      <w:szCs w:val="24"/>
      <w:lang w:val="en-US" w:eastAsia="zh-CN" w:bidi="ar-SA"/>
    </w:rPr>
  </w:style>
  <w:style w:type="paragraph" w:customStyle="1" w:styleId="2400">
    <w:name w:val="样式52"/>
    <w:basedOn w:val="1"/>
    <w:qFormat/>
    <w:uiPriority w:val="0"/>
    <w:pPr>
      <w:autoSpaceDE/>
      <w:autoSpaceDN/>
      <w:adjustRightInd w:val="0"/>
      <w:snapToGrid w:val="0"/>
      <w:spacing w:line="480" w:lineRule="exact"/>
      <w:ind w:left="-140" w:right="31"/>
      <w:jc w:val="center"/>
    </w:pPr>
    <w:rPr>
      <w:rFonts w:ascii="Times New Roman" w:hAnsi="Times New Roman" w:cs="Times New Roman"/>
      <w:snapToGrid w:val="0"/>
      <w:sz w:val="21"/>
      <w:szCs w:val="21"/>
      <w:lang w:val="en-US" w:bidi="ar-SA"/>
    </w:rPr>
  </w:style>
  <w:style w:type="paragraph" w:customStyle="1" w:styleId="2401">
    <w:name w:val="样式 zw + Times New Roman"/>
    <w:basedOn w:val="1"/>
    <w:uiPriority w:val="0"/>
    <w:pPr>
      <w:autoSpaceDE/>
      <w:autoSpaceDN/>
      <w:snapToGrid w:val="0"/>
      <w:spacing w:line="300" w:lineRule="auto"/>
      <w:ind w:firstLine="200" w:firstLineChars="200"/>
      <w:jc w:val="both"/>
    </w:pPr>
    <w:rPr>
      <w:rFonts w:ascii="Times New Roman" w:hAnsi="Times New Roman" w:eastAsia="楷体_GB2312" w:cs="Times New Roman"/>
      <w:kern w:val="2"/>
      <w:sz w:val="28"/>
      <w:szCs w:val="20"/>
      <w:lang w:val="en-US" w:bidi="ar-SA"/>
    </w:rPr>
  </w:style>
  <w:style w:type="paragraph" w:customStyle="1" w:styleId="2402">
    <w:name w:val="xl2141"/>
    <w:basedOn w:val="1"/>
    <w:uiPriority w:val="0"/>
    <w:pPr>
      <w:widowControl/>
      <w:pBdr>
        <w:top w:val="single" w:color="auto" w:sz="4" w:space="0"/>
        <w:left w:val="single" w:color="auto" w:sz="4" w:space="0"/>
        <w:bottom w:val="single" w:color="auto" w:sz="4" w:space="0"/>
        <w:right w:val="single" w:color="auto" w:sz="4" w:space="0"/>
      </w:pBdr>
      <w:shd w:val="clear" w:color="auto" w:fill="FFFF00"/>
      <w:autoSpaceDE/>
      <w:autoSpaceDN/>
      <w:spacing w:before="100" w:beforeAutospacing="1" w:after="100" w:afterAutospacing="1"/>
    </w:pPr>
    <w:rPr>
      <w:b/>
      <w:bCs/>
      <w:sz w:val="24"/>
      <w:szCs w:val="24"/>
      <w:lang w:val="en-US" w:bidi="ar-SA"/>
    </w:rPr>
  </w:style>
  <w:style w:type="paragraph" w:customStyle="1" w:styleId="2403">
    <w:name w:val="样式 小四 黑色 首行缩进:  0.77 厘米 行距: 1.5 倍行距"/>
    <w:basedOn w:val="1"/>
    <w:uiPriority w:val="0"/>
    <w:pPr>
      <w:autoSpaceDE/>
      <w:autoSpaceDN/>
      <w:spacing w:line="360" w:lineRule="auto"/>
      <w:ind w:firstLine="437"/>
      <w:jc w:val="both"/>
    </w:pPr>
    <w:rPr>
      <w:rFonts w:ascii="Times New Roman" w:hAnsi="Times New Roman" w:cs="Times New Roman"/>
      <w:color w:val="000000"/>
      <w:kern w:val="2"/>
      <w:sz w:val="24"/>
      <w:szCs w:val="24"/>
      <w:lang w:val="en-US" w:bidi="ar-SA"/>
    </w:rPr>
  </w:style>
  <w:style w:type="paragraph" w:customStyle="1" w:styleId="2404">
    <w:name w:val="样式70"/>
    <w:basedOn w:val="1"/>
    <w:qFormat/>
    <w:uiPriority w:val="0"/>
    <w:pPr>
      <w:autoSpaceDE/>
      <w:autoSpaceDN/>
      <w:adjustRightInd w:val="0"/>
      <w:snapToGrid w:val="0"/>
      <w:spacing w:line="480" w:lineRule="exact"/>
      <w:ind w:firstLine="560" w:firstLineChars="200"/>
      <w:jc w:val="both"/>
    </w:pPr>
    <w:rPr>
      <w:rFonts w:cs="Times New Roman"/>
      <w:snapToGrid w:val="0"/>
      <w:color w:val="FF0000"/>
      <w:sz w:val="28"/>
      <w:szCs w:val="28"/>
      <w:lang w:val="en-US" w:bidi="ar-SA"/>
    </w:rPr>
  </w:style>
  <w:style w:type="paragraph" w:customStyle="1" w:styleId="2405">
    <w:name w:val="xl186"/>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406">
    <w:name w:val="样式90"/>
    <w:basedOn w:val="1"/>
    <w:qFormat/>
    <w:uiPriority w:val="0"/>
    <w:pPr>
      <w:autoSpaceDE/>
      <w:autoSpaceDN/>
      <w:adjustRightInd w:val="0"/>
      <w:snapToGrid w:val="0"/>
      <w:spacing w:line="320" w:lineRule="exact"/>
      <w:jc w:val="both"/>
    </w:pPr>
    <w:rPr>
      <w:rFonts w:ascii="Times New Roman" w:cs="Times New Roman"/>
      <w:snapToGrid w:val="0"/>
      <w:color w:val="000000"/>
      <w:sz w:val="21"/>
      <w:szCs w:val="21"/>
      <w:lang w:val="en-US" w:bidi="ar-SA"/>
    </w:rPr>
  </w:style>
  <w:style w:type="paragraph" w:customStyle="1" w:styleId="2407">
    <w:name w:val="样式 表格标注 + 首行缩进:  2 字符"/>
    <w:basedOn w:val="1"/>
    <w:qFormat/>
    <w:uiPriority w:val="0"/>
    <w:pPr>
      <w:autoSpaceDE/>
      <w:autoSpaceDN/>
      <w:spacing w:before="156" w:beforeLines="50" w:after="156" w:afterLines="50"/>
      <w:ind w:firstLine="420" w:firstLineChars="200"/>
      <w:jc w:val="both"/>
    </w:pPr>
    <w:rPr>
      <w:rFonts w:ascii="Times New Roman" w:hAnsi="Times New Roman"/>
      <w:kern w:val="2"/>
      <w:sz w:val="21"/>
      <w:szCs w:val="20"/>
      <w:lang w:val="en-US" w:bidi="ar-SA"/>
    </w:rPr>
  </w:style>
  <w:style w:type="paragraph" w:customStyle="1" w:styleId="2408">
    <w:name w:val="xl262"/>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409">
    <w:name w:val="样式76"/>
    <w:basedOn w:val="105"/>
    <w:qFormat/>
    <w:uiPriority w:val="0"/>
    <w:pPr>
      <w:tabs>
        <w:tab w:val="clear" w:pos="3480"/>
      </w:tabs>
      <w:autoSpaceDE/>
      <w:autoSpaceDN/>
      <w:adjustRightInd w:val="0"/>
      <w:snapToGrid w:val="0"/>
      <w:spacing w:beforeLines="0" w:line="300" w:lineRule="exact"/>
      <w:ind w:left="-140" w:leftChars="-50" w:right="-140" w:rightChars="-50" w:firstLine="420"/>
    </w:pPr>
    <w:rPr>
      <w:rFonts w:ascii="Times New Roman" w:hAnsi="Times New Roman" w:eastAsia="宋体" w:cs="Times New Roman"/>
      <w:color w:val="000000"/>
      <w:szCs w:val="28"/>
      <w:lang w:val="en-US" w:bidi="ar-SA"/>
    </w:rPr>
  </w:style>
  <w:style w:type="paragraph" w:customStyle="1" w:styleId="2410">
    <w:name w:val="样式 表格头 + (符号) 宋体 段前: 0.5 行"/>
    <w:basedOn w:val="1"/>
    <w:uiPriority w:val="0"/>
    <w:pPr>
      <w:keepNext/>
      <w:keepLines/>
      <w:widowControl/>
      <w:autoSpaceDE/>
      <w:autoSpaceDN/>
      <w:adjustRightInd w:val="0"/>
      <w:snapToGrid w:val="0"/>
      <w:spacing w:beforeLines="50" w:line="400" w:lineRule="exact"/>
      <w:jc w:val="center"/>
    </w:pPr>
    <w:rPr>
      <w:rFonts w:ascii="Arial"/>
      <w:snapToGrid w:val="0"/>
      <w:color w:val="000000"/>
      <w:sz w:val="28"/>
      <w:szCs w:val="20"/>
      <w:lang w:val="en-US" w:bidi="ar-SA"/>
    </w:rPr>
  </w:style>
  <w:style w:type="paragraph" w:customStyle="1" w:styleId="2411">
    <w:name w:val="xl303"/>
    <w:basedOn w:val="1"/>
    <w:uiPriority w:val="0"/>
    <w:pPr>
      <w:widowControl/>
      <w:pBdr>
        <w:bottom w:val="single" w:color="auto" w:sz="4" w:space="0"/>
        <w:right w:val="single" w:color="auto" w:sz="4" w:space="0"/>
      </w:pBdr>
      <w:shd w:val="clear" w:color="auto" w:fill="FF8080"/>
      <w:autoSpaceDE/>
      <w:autoSpaceDN/>
      <w:spacing w:before="100" w:beforeAutospacing="1" w:after="100" w:afterAutospacing="1"/>
      <w:jc w:val="center"/>
    </w:pPr>
    <w:rPr>
      <w:rFonts w:ascii="方正综艺简体" w:eastAsia="方正综艺简体"/>
      <w:sz w:val="20"/>
      <w:szCs w:val="20"/>
      <w:lang w:val="en-US" w:bidi="ar-SA"/>
    </w:rPr>
  </w:style>
  <w:style w:type="paragraph" w:customStyle="1" w:styleId="2412">
    <w:name w:val="123"/>
    <w:basedOn w:val="1"/>
    <w:uiPriority w:val="0"/>
    <w:pPr>
      <w:autoSpaceDE/>
      <w:autoSpaceDN/>
      <w:spacing w:line="360" w:lineRule="auto"/>
      <w:ind w:firstLine="420"/>
      <w:jc w:val="both"/>
    </w:pPr>
    <w:rPr>
      <w:rFonts w:ascii="Times New Roman" w:hAnsi="Times New Roman" w:cs="Times New Roman"/>
      <w:kern w:val="2"/>
      <w:sz w:val="24"/>
      <w:szCs w:val="24"/>
      <w:lang w:val="en-US" w:bidi="ar-SA"/>
    </w:rPr>
  </w:style>
  <w:style w:type="paragraph" w:customStyle="1" w:styleId="2413">
    <w:name w:val="xl2157"/>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color w:val="FF0000"/>
      <w:lang w:val="en-US" w:bidi="ar-SA"/>
    </w:rPr>
  </w:style>
  <w:style w:type="paragraph" w:customStyle="1" w:styleId="2414">
    <w:name w:val="标题 4 + 四号"/>
    <w:basedOn w:val="5"/>
    <w:qFormat/>
    <w:uiPriority w:val="0"/>
    <w:pPr>
      <w:keepNext/>
      <w:keepLines/>
      <w:autoSpaceDE/>
      <w:autoSpaceDN/>
      <w:spacing w:before="260" w:beforeLines="50" w:after="260" w:afterLines="50" w:line="480" w:lineRule="exact"/>
      <w:ind w:left="0" w:firstLine="0"/>
      <w:jc w:val="both"/>
    </w:pPr>
    <w:rPr>
      <w:rFonts w:ascii="Times New Roman" w:hAnsi="Times New Roman" w:eastAsia="黑体" w:cs="Times New Roman"/>
      <w:b w:val="0"/>
      <w:sz w:val="28"/>
      <w:szCs w:val="28"/>
      <w:lang w:val="en-US" w:bidi="ar-SA"/>
    </w:rPr>
  </w:style>
  <w:style w:type="paragraph" w:customStyle="1" w:styleId="2415">
    <w:name w:val="正文缩进3"/>
    <w:basedOn w:val="1"/>
    <w:uiPriority w:val="0"/>
    <w:pPr>
      <w:autoSpaceDE/>
      <w:autoSpaceDN/>
      <w:adjustRightInd w:val="0"/>
      <w:snapToGrid w:val="0"/>
      <w:spacing w:line="480" w:lineRule="exact"/>
      <w:ind w:firstLine="200" w:firstLineChars="200"/>
      <w:jc w:val="both"/>
    </w:pPr>
    <w:rPr>
      <w:rFonts w:ascii="Times New Roman" w:hAnsi="Times New Roman" w:eastAsia="方正仿宋简体" w:cs="Times New Roman"/>
      <w:kern w:val="2"/>
      <w:sz w:val="28"/>
      <w:szCs w:val="20"/>
      <w:lang w:val="en-US" w:bidi="ar-SA"/>
    </w:rPr>
  </w:style>
  <w:style w:type="paragraph" w:customStyle="1" w:styleId="2416">
    <w:name w:val="样式 标题2 + 行距: 固定值 23 磅"/>
    <w:basedOn w:val="1"/>
    <w:uiPriority w:val="0"/>
    <w:pPr>
      <w:keepNext/>
      <w:keepLines/>
      <w:autoSpaceDE/>
      <w:autoSpaceDN/>
      <w:adjustRightInd w:val="0"/>
      <w:spacing w:line="460" w:lineRule="exact"/>
      <w:jc w:val="both"/>
      <w:outlineLvl w:val="1"/>
    </w:pPr>
    <w:rPr>
      <w:rFonts w:ascii="黑体" w:hAnsi="Times New Roman" w:eastAsia="黑体"/>
      <w:bCs/>
      <w:color w:val="000000"/>
      <w:sz w:val="28"/>
      <w:szCs w:val="20"/>
      <w:lang w:val="en-US" w:bidi="ar-SA"/>
    </w:rPr>
  </w:style>
  <w:style w:type="paragraph" w:customStyle="1" w:styleId="2417">
    <w:name w:val="正文文本 31"/>
    <w:basedOn w:val="1"/>
    <w:uiPriority w:val="0"/>
    <w:pPr>
      <w:autoSpaceDE/>
      <w:autoSpaceDN/>
      <w:adjustRightInd w:val="0"/>
      <w:snapToGrid w:val="0"/>
      <w:spacing w:after="120" w:line="480" w:lineRule="exact"/>
      <w:ind w:firstLine="200" w:firstLineChars="200"/>
      <w:jc w:val="both"/>
    </w:pPr>
    <w:rPr>
      <w:rFonts w:ascii="Times New Roman" w:hAnsi="Times New Roman" w:cs="Times New Roman"/>
      <w:sz w:val="16"/>
      <w:szCs w:val="16"/>
      <w:lang w:val="en-US" w:bidi="ar-SA"/>
    </w:rPr>
  </w:style>
  <w:style w:type="paragraph" w:customStyle="1" w:styleId="2418">
    <w:name w:val="样式 标题 3条标题1.1.1BSH-3H3h33rd levell3CT段二级节名条 1二级节名1二级...1"/>
    <w:basedOn w:val="5"/>
    <w:uiPriority w:val="0"/>
    <w:pPr>
      <w:keepNext/>
      <w:keepLines/>
      <w:autoSpaceDE/>
      <w:autoSpaceDN/>
      <w:adjustRightInd w:val="0"/>
      <w:spacing w:line="360" w:lineRule="auto"/>
      <w:ind w:left="0" w:firstLine="0"/>
      <w:jc w:val="both"/>
    </w:pPr>
    <w:rPr>
      <w:rFonts w:ascii="Times New Roman" w:hAnsi="Times New Roman"/>
      <w:sz w:val="28"/>
      <w:szCs w:val="20"/>
      <w:lang w:val="en-US" w:bidi="ar-SA"/>
    </w:rPr>
  </w:style>
  <w:style w:type="paragraph" w:customStyle="1" w:styleId="2419">
    <w:name w:val="样式21"/>
    <w:basedOn w:val="1"/>
    <w:qFormat/>
    <w:uiPriority w:val="0"/>
    <w:pPr>
      <w:autoSpaceDE/>
      <w:autoSpaceDN/>
      <w:adjustRightInd w:val="0"/>
      <w:snapToGrid w:val="0"/>
      <w:spacing w:line="480" w:lineRule="exact"/>
      <w:ind w:firstLine="560" w:firstLineChars="200"/>
      <w:jc w:val="both"/>
    </w:pPr>
    <w:rPr>
      <w:rFonts w:ascii="Times New Roman" w:hAnsi="Times New Roman" w:cs="Times New Roman"/>
      <w:snapToGrid w:val="0"/>
      <w:sz w:val="28"/>
      <w:szCs w:val="28"/>
      <w:lang w:val="en-US" w:bidi="ar-SA"/>
    </w:rPr>
  </w:style>
  <w:style w:type="paragraph" w:customStyle="1" w:styleId="2420">
    <w:name w:val="文本框文字"/>
    <w:basedOn w:val="41"/>
    <w:next w:val="41"/>
    <w:uiPriority w:val="0"/>
    <w:pPr>
      <w:autoSpaceDE/>
      <w:autoSpaceDN/>
      <w:spacing w:line="360" w:lineRule="exact"/>
      <w:jc w:val="both"/>
    </w:pPr>
    <w:rPr>
      <w:rFonts w:cs="Times New Roman"/>
      <w:kern w:val="2"/>
      <w:sz w:val="24"/>
      <w:szCs w:val="20"/>
      <w:lang w:val="en-US" w:bidi="ar-SA"/>
    </w:rPr>
  </w:style>
  <w:style w:type="paragraph" w:customStyle="1" w:styleId="2421">
    <w:name w:val="封面落款"/>
    <w:basedOn w:val="1"/>
    <w:next w:val="1"/>
    <w:uiPriority w:val="0"/>
    <w:pPr>
      <w:autoSpaceDE/>
      <w:autoSpaceDN/>
      <w:spacing w:line="460" w:lineRule="exact"/>
      <w:ind w:firstLine="200" w:firstLineChars="200"/>
      <w:jc w:val="center"/>
    </w:pPr>
    <w:rPr>
      <w:rFonts w:ascii="Times New Roman" w:hAnsi="Times New Roman" w:cs="Times New Roman"/>
      <w:kern w:val="2"/>
      <w:sz w:val="28"/>
      <w:szCs w:val="24"/>
      <w:lang w:val="en-US" w:bidi="ar-SA"/>
    </w:rPr>
  </w:style>
  <w:style w:type="paragraph" w:customStyle="1" w:styleId="2422">
    <w:name w:val="列出段落5"/>
    <w:basedOn w:val="1"/>
    <w:uiPriority w:val="0"/>
    <w:pPr>
      <w:autoSpaceDE/>
      <w:autoSpaceDN/>
      <w:ind w:firstLine="420" w:firstLineChars="200"/>
      <w:jc w:val="both"/>
    </w:pPr>
    <w:rPr>
      <w:rFonts w:ascii="Times New Roman" w:hAnsi="Times New Roman" w:cs="Times New Roman"/>
      <w:kern w:val="2"/>
      <w:sz w:val="24"/>
      <w:szCs w:val="20"/>
      <w:lang w:val="en-US" w:bidi="ar-SA"/>
    </w:rPr>
  </w:style>
  <w:style w:type="paragraph" w:customStyle="1" w:styleId="2423">
    <w:name w:val="正文-表格居中"/>
    <w:basedOn w:val="1260"/>
    <w:uiPriority w:val="0"/>
    <w:pPr>
      <w:adjustRightInd w:val="0"/>
      <w:snapToGrid w:val="0"/>
      <w:spacing w:line="240" w:lineRule="auto"/>
      <w:ind w:firstLine="0"/>
      <w:jc w:val="center"/>
    </w:pPr>
    <w:rPr>
      <w:sz w:val="21"/>
      <w:szCs w:val="24"/>
    </w:rPr>
  </w:style>
  <w:style w:type="paragraph" w:customStyle="1" w:styleId="2424">
    <w:name w:val="图形标题"/>
    <w:basedOn w:val="20"/>
    <w:next w:val="1"/>
    <w:uiPriority w:val="0"/>
    <w:pPr>
      <w:tabs>
        <w:tab w:val="left" w:pos="1120"/>
      </w:tabs>
      <w:autoSpaceDE/>
      <w:autoSpaceDN/>
      <w:spacing w:before="120" w:after="120" w:line="290" w:lineRule="auto"/>
      <w:ind w:right="-108" w:firstLine="0"/>
      <w:jc w:val="center"/>
    </w:pPr>
    <w:rPr>
      <w:rFonts w:ascii="Times New Roman" w:hAnsi="Times New Roman" w:cs="Times New Roman"/>
      <w:kern w:val="24"/>
      <w:sz w:val="24"/>
      <w:szCs w:val="20"/>
      <w:lang w:val="en-US" w:bidi="ar-SA"/>
    </w:rPr>
  </w:style>
  <w:style w:type="paragraph" w:customStyle="1" w:styleId="2425">
    <w:name w:val="样式  表头"/>
    <w:basedOn w:val="102"/>
    <w:qFormat/>
    <w:uiPriority w:val="0"/>
    <w:pPr>
      <w:autoSpaceDE/>
      <w:autoSpaceDN/>
      <w:adjustRightInd w:val="0"/>
      <w:snapToGrid w:val="0"/>
      <w:spacing w:beforeLines="0" w:afterLines="0" w:line="520" w:lineRule="exact"/>
    </w:pPr>
    <w:rPr>
      <w:rFonts w:ascii="Times New Roman" w:hAnsi="Times New Roman" w:cs="Times New Roman"/>
      <w:b w:val="0"/>
      <w:snapToGrid w:val="0"/>
      <w:kern w:val="0"/>
      <w:sz w:val="24"/>
      <w:szCs w:val="24"/>
      <w:lang w:val="en-US" w:bidi="ar-SA"/>
    </w:rPr>
  </w:style>
  <w:style w:type="paragraph" w:customStyle="1" w:styleId="2426">
    <w:name w:val="xl273"/>
    <w:basedOn w:val="1"/>
    <w:uiPriority w:val="0"/>
    <w:pPr>
      <w:widowControl/>
      <w:pBdr>
        <w:top w:val="single" w:color="auto" w:sz="4" w:space="0"/>
        <w:left w:val="single" w:color="auto" w:sz="4" w:space="0"/>
        <w:bottom w:val="single" w:color="auto" w:sz="4" w:space="0"/>
        <w:right w:val="single" w:color="auto" w:sz="4" w:space="0"/>
      </w:pBdr>
      <w:shd w:val="clear" w:color="auto" w:fill="800080"/>
      <w:autoSpaceDE/>
      <w:autoSpaceDN/>
      <w:spacing w:before="100" w:beforeAutospacing="1" w:after="100" w:afterAutospacing="1"/>
    </w:pPr>
    <w:rPr>
      <w:b/>
      <w:bCs/>
      <w:sz w:val="20"/>
      <w:szCs w:val="20"/>
      <w:lang w:val="en-US" w:bidi="ar-SA"/>
    </w:rPr>
  </w:style>
  <w:style w:type="paragraph" w:customStyle="1" w:styleId="2427">
    <w:name w:val="样式23"/>
    <w:basedOn w:val="1"/>
    <w:qFormat/>
    <w:uiPriority w:val="0"/>
    <w:pPr>
      <w:widowControl/>
      <w:autoSpaceDE/>
      <w:autoSpaceDN/>
      <w:spacing w:line="240" w:lineRule="exact"/>
      <w:jc w:val="center"/>
    </w:pPr>
    <w:rPr>
      <w:rFonts w:ascii="Times New Roman" w:cs="Times New Roman"/>
      <w:sz w:val="18"/>
      <w:szCs w:val="18"/>
      <w:lang w:val="en-US" w:bidi="ar-SA"/>
    </w:rPr>
  </w:style>
  <w:style w:type="paragraph" w:customStyle="1" w:styleId="2428">
    <w:name w:val="样式60"/>
    <w:basedOn w:val="2235"/>
    <w:qFormat/>
    <w:uiPriority w:val="0"/>
    <w:pPr>
      <w:spacing w:line="500" w:lineRule="exact"/>
      <w:ind w:firstLine="560"/>
    </w:pPr>
    <w:rPr>
      <w:b w:val="0"/>
      <w:color w:val="FF0000"/>
    </w:rPr>
  </w:style>
  <w:style w:type="paragraph" w:customStyle="1" w:styleId="2429">
    <w:name w:val="17"/>
    <w:basedOn w:val="1"/>
    <w:next w:val="32"/>
    <w:uiPriority w:val="0"/>
    <w:pPr>
      <w:autoSpaceDE/>
      <w:autoSpaceDN/>
      <w:adjustRightInd w:val="0"/>
      <w:snapToGrid w:val="0"/>
      <w:ind w:firstLine="645"/>
      <w:jc w:val="both"/>
    </w:pPr>
    <w:rPr>
      <w:rFonts w:hAnsi="Times New Roman" w:cs="Times New Roman"/>
      <w:kern w:val="2"/>
      <w:sz w:val="28"/>
      <w:szCs w:val="20"/>
      <w:lang w:val="en-US" w:bidi="ar-SA"/>
    </w:rPr>
  </w:style>
  <w:style w:type="paragraph" w:customStyle="1" w:styleId="2430">
    <w:name w:val="Char Char Char Char Char Char Char2"/>
    <w:basedOn w:val="1"/>
    <w:uiPriority w:val="0"/>
    <w:pPr>
      <w:widowControl/>
      <w:autoSpaceDE/>
      <w:autoSpaceDN/>
      <w:spacing w:after="160" w:line="240" w:lineRule="exact"/>
    </w:pPr>
    <w:rPr>
      <w:rFonts w:ascii="Verdana" w:hAnsi="Verdana" w:cs="Times New Roman"/>
      <w:sz w:val="20"/>
      <w:szCs w:val="20"/>
      <w:lang w:val="en-US" w:eastAsia="en-US" w:bidi="ar-SA"/>
    </w:rPr>
  </w:style>
  <w:style w:type="paragraph" w:customStyle="1" w:styleId="2431">
    <w:name w:val="xl190"/>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432">
    <w:name w:val="样式34"/>
    <w:basedOn w:val="2300"/>
    <w:qFormat/>
    <w:uiPriority w:val="0"/>
    <w:pPr>
      <w:spacing w:line="500" w:lineRule="exact"/>
    </w:pPr>
  </w:style>
  <w:style w:type="paragraph" w:customStyle="1" w:styleId="2433">
    <w:name w:val="Char Char Char1 Char Char Char Char Char Char Char Char Char Char Char Char Char Char Char Char Char Char Char Char Char Char"/>
    <w:basedOn w:val="1"/>
    <w:uiPriority w:val="0"/>
    <w:pPr>
      <w:autoSpaceDE/>
      <w:autoSpaceDN/>
      <w:adjustRightInd w:val="0"/>
      <w:snapToGrid w:val="0"/>
      <w:spacing w:line="360" w:lineRule="auto"/>
      <w:ind w:firstLine="200" w:firstLineChars="200"/>
      <w:jc w:val="both"/>
    </w:pPr>
    <w:rPr>
      <w:kern w:val="2"/>
      <w:sz w:val="24"/>
      <w:szCs w:val="26"/>
      <w:lang w:val="en-US" w:bidi="ar-SA"/>
    </w:rPr>
  </w:style>
  <w:style w:type="paragraph" w:customStyle="1" w:styleId="2434">
    <w:name w:val="xl130"/>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Times New Roman" w:hAnsi="Times New Roman" w:cs="Times New Roman"/>
      <w:b/>
      <w:bCs/>
      <w:sz w:val="21"/>
      <w:szCs w:val="21"/>
      <w:lang w:val="en-US" w:bidi="ar-SA"/>
    </w:rPr>
  </w:style>
  <w:style w:type="paragraph" w:customStyle="1" w:styleId="2435">
    <w:name w:val="样式44"/>
    <w:basedOn w:val="1"/>
    <w:qFormat/>
    <w:uiPriority w:val="0"/>
    <w:pPr>
      <w:autoSpaceDE/>
      <w:autoSpaceDN/>
      <w:adjustRightInd w:val="0"/>
      <w:snapToGrid w:val="0"/>
      <w:spacing w:line="480" w:lineRule="exact"/>
      <w:ind w:firstLine="560" w:firstLineChars="200"/>
      <w:jc w:val="both"/>
    </w:pPr>
    <w:rPr>
      <w:rFonts w:ascii="Times New Roman" w:hAnsi="Times New Roman" w:cs="Times New Roman"/>
      <w:snapToGrid w:val="0"/>
      <w:sz w:val="28"/>
      <w:szCs w:val="24"/>
      <w:lang w:val="en-US" w:bidi="ar-SA"/>
    </w:rPr>
  </w:style>
  <w:style w:type="paragraph" w:customStyle="1" w:styleId="2436">
    <w:name w:val="样式67"/>
    <w:basedOn w:val="1"/>
    <w:qFormat/>
    <w:uiPriority w:val="0"/>
    <w:pPr>
      <w:tabs>
        <w:tab w:val="left" w:pos="720"/>
      </w:tabs>
      <w:autoSpaceDE/>
      <w:autoSpaceDN/>
      <w:adjustRightInd w:val="0"/>
      <w:snapToGrid w:val="0"/>
      <w:spacing w:afterLines="50" w:line="480" w:lineRule="exact"/>
      <w:ind w:firstLine="560" w:firstLineChars="200"/>
      <w:jc w:val="both"/>
    </w:pPr>
    <w:rPr>
      <w:rFonts w:ascii="Times New Roman" w:hAnsi="Times New Roman" w:cs="Times New Roman"/>
      <w:snapToGrid w:val="0"/>
      <w:color w:val="FF0000"/>
      <w:sz w:val="28"/>
      <w:szCs w:val="28"/>
      <w:lang w:val="en-US" w:bidi="ar-SA"/>
    </w:rPr>
  </w:style>
  <w:style w:type="paragraph" w:customStyle="1" w:styleId="2437">
    <w:name w:val="样式48"/>
    <w:basedOn w:val="1"/>
    <w:qFormat/>
    <w:uiPriority w:val="0"/>
    <w:pPr>
      <w:autoSpaceDE/>
      <w:autoSpaceDN/>
      <w:adjustRightInd w:val="0"/>
      <w:snapToGrid w:val="0"/>
      <w:spacing w:line="480" w:lineRule="exact"/>
      <w:ind w:firstLine="480" w:firstLineChars="200"/>
      <w:jc w:val="both"/>
    </w:pPr>
    <w:rPr>
      <w:rFonts w:ascii="Times New Roman" w:hAnsi="Times New Roman" w:cs="Times New Roman"/>
      <w:snapToGrid w:val="0"/>
      <w:sz w:val="24"/>
      <w:szCs w:val="24"/>
      <w:lang w:val="en-US" w:bidi="ar-SA"/>
    </w:rPr>
  </w:style>
  <w:style w:type="paragraph" w:customStyle="1" w:styleId="2438">
    <w:name w:val="文本块2"/>
    <w:basedOn w:val="1"/>
    <w:uiPriority w:val="0"/>
    <w:pPr>
      <w:autoSpaceDE/>
      <w:autoSpaceDN/>
      <w:spacing w:line="480" w:lineRule="exact"/>
      <w:ind w:left="-143" w:leftChars="-68" w:right="-120" w:rightChars="-57"/>
      <w:jc w:val="center"/>
    </w:pPr>
    <w:rPr>
      <w:rFonts w:cs="Times New Roman"/>
      <w:color w:val="000000"/>
      <w:kern w:val="2"/>
      <w:sz w:val="24"/>
      <w:szCs w:val="24"/>
      <w:lang w:val="en-US" w:bidi="ar-SA"/>
    </w:rPr>
  </w:style>
  <w:style w:type="paragraph" w:customStyle="1" w:styleId="2439">
    <w:name w:val="多"/>
    <w:basedOn w:val="1"/>
    <w:uiPriority w:val="0"/>
    <w:pPr>
      <w:autoSpaceDE/>
      <w:autoSpaceDN/>
      <w:spacing w:line="300" w:lineRule="auto"/>
      <w:ind w:firstLine="200" w:firstLineChars="200"/>
      <w:jc w:val="both"/>
    </w:pPr>
    <w:rPr>
      <w:kern w:val="2"/>
      <w:sz w:val="24"/>
      <w:szCs w:val="24"/>
      <w:lang w:val="en-US" w:bidi="ar-SA"/>
    </w:rPr>
  </w:style>
  <w:style w:type="paragraph" w:customStyle="1" w:styleId="2440">
    <w:name w:val="标题 5 + 四号"/>
    <w:basedOn w:val="2414"/>
    <w:uiPriority w:val="0"/>
    <w:pPr>
      <w:spacing w:line="415" w:lineRule="auto"/>
    </w:pPr>
    <w:rPr>
      <w:rFonts w:eastAsia="宋体"/>
      <w:b/>
      <w:kern w:val="2"/>
    </w:rPr>
  </w:style>
  <w:style w:type="paragraph" w:customStyle="1" w:styleId="2441">
    <w:name w:val="样式 标题 1 + (中文) 黑体 二号"/>
    <w:basedOn w:val="3"/>
    <w:uiPriority w:val="0"/>
    <w:pPr>
      <w:keepNext/>
      <w:autoSpaceDE/>
      <w:autoSpaceDN/>
      <w:adjustRightInd w:val="0"/>
      <w:snapToGrid w:val="0"/>
      <w:spacing w:before="340" w:beforeLines="100" w:after="330" w:afterLines="100" w:line="480" w:lineRule="auto"/>
      <w:ind w:left="0" w:firstLine="0"/>
      <w:jc w:val="center"/>
    </w:pPr>
    <w:rPr>
      <w:rFonts w:ascii="Times New Roman" w:hAnsi="Times New Roman" w:cs="Times New Roman"/>
      <w:b/>
      <w:bCs/>
      <w:kern w:val="2"/>
      <w:szCs w:val="20"/>
      <w:lang w:val="en-US" w:bidi="ar-SA"/>
    </w:rPr>
  </w:style>
  <w:style w:type="paragraph" w:customStyle="1" w:styleId="2442">
    <w:name w:val="xl2134"/>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b/>
      <w:bCs/>
      <w:color w:val="FF0000"/>
      <w:sz w:val="21"/>
      <w:szCs w:val="21"/>
      <w:lang w:val="en-US" w:bidi="ar-SA"/>
    </w:rPr>
  </w:style>
  <w:style w:type="paragraph" w:customStyle="1" w:styleId="2443">
    <w:name w:val="样式 列表 + 黑色"/>
    <w:basedOn w:val="59"/>
    <w:uiPriority w:val="0"/>
    <w:pPr>
      <w:tabs>
        <w:tab w:val="clear" w:pos="3480"/>
      </w:tabs>
      <w:autoSpaceDE/>
      <w:autoSpaceDN/>
      <w:spacing w:beforeLines="0" w:afterLines="150"/>
      <w:jc w:val="right"/>
    </w:pPr>
    <w:rPr>
      <w:rFonts w:ascii="黑体" w:hAnsi="Times New Roman" w:cs="Times New Roman"/>
      <w:b/>
      <w:color w:val="000000"/>
      <w:kern w:val="2"/>
      <w:sz w:val="24"/>
      <w:szCs w:val="24"/>
      <w:lang w:val="en-US" w:bidi="ar-SA"/>
    </w:rPr>
  </w:style>
  <w:style w:type="paragraph" w:customStyle="1" w:styleId="2444">
    <w:name w:val="Char Char Char1 Char41"/>
    <w:basedOn w:val="1"/>
    <w:uiPriority w:val="0"/>
    <w:pPr>
      <w:autoSpaceDE/>
      <w:autoSpaceDN/>
      <w:adjustRightInd w:val="0"/>
      <w:spacing w:line="360" w:lineRule="auto"/>
      <w:jc w:val="both"/>
      <w:textAlignment w:val="baseline"/>
    </w:pPr>
    <w:rPr>
      <w:rFonts w:ascii="Times New Roman" w:hAnsi="Times New Roman" w:cs="Times New Roman"/>
      <w:sz w:val="24"/>
      <w:szCs w:val="24"/>
      <w:lang w:val="en-US" w:bidi="ar-SA"/>
    </w:rPr>
  </w:style>
  <w:style w:type="paragraph" w:customStyle="1" w:styleId="2445">
    <w:name w:val="xl111"/>
    <w:basedOn w:val="1"/>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jc w:val="center"/>
    </w:pPr>
    <w:rPr>
      <w:rFonts w:ascii="Times New Roman" w:hAnsi="Times New Roman" w:cs="Times New Roman"/>
      <w:color w:val="FF0000"/>
      <w:sz w:val="20"/>
      <w:szCs w:val="20"/>
      <w:lang w:val="en-US" w:bidi="ar-SA"/>
    </w:rPr>
  </w:style>
  <w:style w:type="paragraph" w:customStyle="1" w:styleId="2446">
    <w:name w:val="样式 首行缩进:  2 字符1"/>
    <w:basedOn w:val="1"/>
    <w:uiPriority w:val="0"/>
    <w:pPr>
      <w:autoSpaceDE/>
      <w:autoSpaceDN/>
      <w:adjustRightInd w:val="0"/>
      <w:snapToGrid w:val="0"/>
      <w:spacing w:line="480" w:lineRule="exact"/>
      <w:ind w:firstLine="620" w:firstLineChars="200"/>
      <w:jc w:val="both"/>
    </w:pPr>
    <w:rPr>
      <w:rFonts w:ascii="Times New Roman" w:hAnsi="Times New Roman" w:eastAsia="楷体_GB2312"/>
      <w:sz w:val="28"/>
      <w:szCs w:val="20"/>
      <w:lang w:val="en-US" w:bidi="ar-SA"/>
    </w:rPr>
  </w:style>
  <w:style w:type="paragraph" w:customStyle="1" w:styleId="2447">
    <w:name w:val="正文文本 32"/>
    <w:basedOn w:val="1"/>
    <w:qFormat/>
    <w:uiPriority w:val="0"/>
    <w:pPr>
      <w:autoSpaceDE/>
      <w:autoSpaceDN/>
      <w:spacing w:line="240" w:lineRule="exact"/>
      <w:jc w:val="both"/>
    </w:pPr>
    <w:rPr>
      <w:rFonts w:ascii="Times New Roman" w:hAnsi="Times New Roman" w:cs="Times New Roman"/>
      <w:kern w:val="2"/>
      <w:sz w:val="18"/>
      <w:szCs w:val="20"/>
      <w:lang w:val="en-US" w:bidi="ar-SA"/>
    </w:rPr>
  </w:style>
  <w:style w:type="paragraph" w:customStyle="1" w:styleId="2448">
    <w:name w:val="样式 列表 + 段前: 0.5 行"/>
    <w:basedOn w:val="1"/>
    <w:uiPriority w:val="0"/>
    <w:pPr>
      <w:autoSpaceDE/>
      <w:autoSpaceDN/>
      <w:spacing w:line="480" w:lineRule="exact"/>
      <w:ind w:firstLine="480" w:firstLineChars="200"/>
      <w:jc w:val="both"/>
    </w:pPr>
    <w:rPr>
      <w:rFonts w:ascii="黑体" w:eastAsia="黑体" w:cs="Times New Roman"/>
      <w:sz w:val="24"/>
      <w:szCs w:val="32"/>
      <w:lang w:val="en-US" w:bidi="ar-SA"/>
    </w:rPr>
  </w:style>
  <w:style w:type="paragraph" w:customStyle="1" w:styleId="2449">
    <w:name w:val="样式 样式 5正文 + 两端对齐 + 首行缩进:  2 字符 + 首行缩进:  2 字符"/>
    <w:basedOn w:val="2450"/>
    <w:uiPriority w:val="0"/>
  </w:style>
  <w:style w:type="paragraph" w:customStyle="1" w:styleId="2450">
    <w:name w:val="样式 5正文 + 两端对齐 + 首行缩进:  2 字符"/>
    <w:basedOn w:val="2335"/>
    <w:uiPriority w:val="0"/>
  </w:style>
  <w:style w:type="paragraph" w:customStyle="1" w:styleId="2451">
    <w:name w:val="xl112"/>
    <w:basedOn w:val="1"/>
    <w:uiPriority w:val="0"/>
    <w:pPr>
      <w:widowControl/>
      <w:pBdr>
        <w:top w:val="single" w:color="auto" w:sz="4" w:space="0"/>
        <w:left w:val="single" w:color="auto" w:sz="4" w:space="0"/>
        <w:right w:val="single" w:color="auto" w:sz="4" w:space="0"/>
      </w:pBdr>
      <w:autoSpaceDE/>
      <w:autoSpaceDN/>
      <w:spacing w:before="100" w:beforeAutospacing="1" w:after="100" w:afterAutospacing="1"/>
      <w:jc w:val="center"/>
    </w:pPr>
    <w:rPr>
      <w:b/>
      <w:bCs/>
      <w:color w:val="000000"/>
      <w:sz w:val="20"/>
      <w:szCs w:val="20"/>
      <w:lang w:val="en-US" w:bidi="ar-SA"/>
    </w:rPr>
  </w:style>
  <w:style w:type="paragraph" w:customStyle="1" w:styleId="2452">
    <w:name w:val="文本块11"/>
    <w:basedOn w:val="1"/>
    <w:uiPriority w:val="0"/>
    <w:pPr>
      <w:autoSpaceDE/>
      <w:autoSpaceDN/>
      <w:ind w:left="144" w:right="90" w:firstLine="645"/>
      <w:jc w:val="both"/>
    </w:pPr>
    <w:rPr>
      <w:rFonts w:ascii="Times New Roman" w:hAnsi="Times New Roman" w:eastAsia="楷体_GB2312" w:cs="Times New Roman"/>
      <w:kern w:val="2"/>
      <w:sz w:val="24"/>
      <w:szCs w:val="20"/>
      <w:lang w:val="en-US" w:bidi="ar-SA"/>
    </w:rPr>
  </w:style>
  <w:style w:type="paragraph" w:customStyle="1" w:styleId="2453">
    <w:name w:val="图标"/>
    <w:basedOn w:val="1"/>
    <w:uiPriority w:val="0"/>
    <w:pPr>
      <w:tabs>
        <w:tab w:val="left" w:pos="6395"/>
      </w:tabs>
      <w:autoSpaceDE/>
      <w:autoSpaceDN/>
      <w:spacing w:line="480" w:lineRule="exact"/>
      <w:jc w:val="center"/>
      <w:outlineLvl w:val="5"/>
    </w:pPr>
    <w:rPr>
      <w:rFonts w:cs="Times New Roman"/>
      <w:b/>
      <w:bCs/>
      <w:kern w:val="2"/>
      <w:sz w:val="36"/>
      <w:szCs w:val="20"/>
      <w:lang w:val="en-US" w:bidi="ar-SA"/>
    </w:rPr>
  </w:style>
  <w:style w:type="paragraph" w:customStyle="1" w:styleId="2454">
    <w:name w:val="Char Char2 Char Char Char1 Char Char Char Char Char Char Char2"/>
    <w:basedOn w:val="1"/>
    <w:uiPriority w:val="0"/>
    <w:pPr>
      <w:autoSpaceDE/>
      <w:autoSpaceDN/>
      <w:jc w:val="both"/>
    </w:pPr>
    <w:rPr>
      <w:rFonts w:ascii="Times New Roman" w:hAnsi="Times New Roman" w:cs="Times New Roman"/>
      <w:kern w:val="2"/>
      <w:sz w:val="21"/>
      <w:szCs w:val="24"/>
      <w:lang w:val="en-US" w:bidi="ar-SA"/>
    </w:rPr>
  </w:style>
  <w:style w:type="paragraph" w:customStyle="1" w:styleId="2455">
    <w:name w:val="xl313"/>
    <w:basedOn w:val="1"/>
    <w:uiPriority w:val="0"/>
    <w:pPr>
      <w:widowControl/>
      <w:pBdr>
        <w:left w:val="single" w:color="auto" w:sz="4" w:space="0"/>
        <w:bottom w:val="single" w:color="auto" w:sz="4" w:space="0"/>
      </w:pBdr>
      <w:shd w:val="clear" w:color="auto" w:fill="FFCC00"/>
      <w:autoSpaceDE/>
      <w:autoSpaceDN/>
      <w:spacing w:before="100" w:beforeAutospacing="1" w:after="100" w:afterAutospacing="1"/>
      <w:jc w:val="center"/>
    </w:pPr>
    <w:rPr>
      <w:rFonts w:ascii="方正综艺简体" w:eastAsia="方正综艺简体"/>
      <w:color w:val="000000"/>
      <w:sz w:val="20"/>
      <w:szCs w:val="20"/>
      <w:lang w:val="en-US" w:bidi="ar-SA"/>
    </w:rPr>
  </w:style>
  <w:style w:type="paragraph" w:customStyle="1" w:styleId="2456">
    <w:name w:val="索引 11"/>
    <w:basedOn w:val="1"/>
    <w:next w:val="1"/>
    <w:uiPriority w:val="0"/>
    <w:pPr>
      <w:autoSpaceDE/>
      <w:autoSpaceDN/>
      <w:spacing w:line="360" w:lineRule="exact"/>
      <w:jc w:val="center"/>
    </w:pPr>
    <w:rPr>
      <w:rFonts w:cs="Times New Roman"/>
      <w:kern w:val="2"/>
      <w:sz w:val="21"/>
      <w:szCs w:val="24"/>
      <w:lang w:val="en-US" w:bidi="ar-SA"/>
    </w:rPr>
  </w:style>
  <w:style w:type="paragraph" w:customStyle="1" w:styleId="2457">
    <w:name w:val="xl253"/>
    <w:basedOn w:val="1"/>
    <w:uiPriority w:val="0"/>
    <w:pPr>
      <w:widowControl/>
      <w:pBdr>
        <w:top w:val="single" w:color="auto" w:sz="4" w:space="0"/>
        <w:left w:val="single" w:color="auto" w:sz="4" w:space="0"/>
        <w:bottom w:val="single" w:color="auto" w:sz="4" w:space="0"/>
        <w:right w:val="single" w:color="auto" w:sz="4" w:space="0"/>
      </w:pBdr>
      <w:shd w:val="clear" w:color="auto" w:fill="FF8080"/>
      <w:autoSpaceDE/>
      <w:autoSpaceDN/>
      <w:spacing w:before="100" w:beforeAutospacing="1" w:after="100" w:afterAutospacing="1"/>
    </w:pPr>
    <w:rPr>
      <w:sz w:val="20"/>
      <w:szCs w:val="20"/>
      <w:lang w:val="en-US" w:bidi="ar-SA"/>
    </w:rPr>
  </w:style>
  <w:style w:type="paragraph" w:customStyle="1" w:styleId="2458">
    <w:name w:val="样式74"/>
    <w:basedOn w:val="2357"/>
    <w:qFormat/>
    <w:uiPriority w:val="0"/>
    <w:pPr>
      <w:ind w:firstLine="480"/>
    </w:pPr>
    <w:rPr>
      <w:color w:val="000000"/>
      <w:sz w:val="24"/>
      <w:szCs w:val="24"/>
    </w:rPr>
  </w:style>
  <w:style w:type="paragraph" w:customStyle="1" w:styleId="2459">
    <w:name w:val="缩进正文"/>
    <w:basedOn w:val="1795"/>
    <w:uiPriority w:val="0"/>
    <w:pPr>
      <w:widowControl w:val="0"/>
      <w:spacing w:line="310" w:lineRule="atLeast"/>
      <w:ind w:left="0" w:firstLine="525"/>
      <w:jc w:val="both"/>
      <w:textAlignment w:val="auto"/>
    </w:pPr>
    <w:rPr>
      <w:rFonts w:ascii="楷体_GB2312" w:hAnsi="Times New Roman" w:eastAsia="楷体_GB2312" w:cs="Times New Roman"/>
      <w:sz w:val="28"/>
      <w:szCs w:val="20"/>
    </w:rPr>
  </w:style>
  <w:style w:type="paragraph" w:customStyle="1" w:styleId="2460">
    <w:name w:val="样式61"/>
    <w:basedOn w:val="1"/>
    <w:qFormat/>
    <w:uiPriority w:val="0"/>
    <w:pPr>
      <w:autoSpaceDE/>
      <w:autoSpaceDN/>
      <w:spacing w:line="500" w:lineRule="exact"/>
      <w:ind w:firstLine="560" w:firstLineChars="200"/>
      <w:jc w:val="both"/>
    </w:pPr>
    <w:rPr>
      <w:rFonts w:cs="Times New Roman"/>
      <w:color w:val="000000"/>
      <w:kern w:val="2"/>
      <w:sz w:val="28"/>
      <w:szCs w:val="28"/>
      <w:lang w:val="en-US" w:bidi="ar-SA"/>
    </w:rPr>
  </w:style>
  <w:style w:type="paragraph" w:customStyle="1" w:styleId="2461">
    <w:name w:val="正文三级"/>
    <w:uiPriority w:val="0"/>
    <w:pPr>
      <w:tabs>
        <w:tab w:val="left" w:pos="1204"/>
      </w:tabs>
      <w:spacing w:before="120" w:after="120" w:line="480" w:lineRule="exact"/>
      <w:ind w:left="1204"/>
      <w:jc w:val="both"/>
      <w:outlineLvl w:val="2"/>
    </w:pPr>
    <w:rPr>
      <w:rFonts w:ascii="Times New Roman" w:hAnsi="Times New Roman" w:eastAsia="黑体" w:cs="Times New Roman"/>
      <w:bCs/>
      <w:kern w:val="44"/>
      <w:sz w:val="30"/>
      <w:szCs w:val="30"/>
      <w:lang w:val="en-US" w:eastAsia="zh-CN" w:bidi="ar-SA"/>
    </w:rPr>
  </w:style>
  <w:style w:type="paragraph" w:customStyle="1" w:styleId="2462">
    <w:name w:val="标题4"/>
    <w:basedOn w:val="1"/>
    <w:uiPriority w:val="0"/>
    <w:pPr>
      <w:autoSpaceDE/>
      <w:autoSpaceDN/>
      <w:adjustRightInd w:val="0"/>
      <w:snapToGrid w:val="0"/>
      <w:spacing w:line="480" w:lineRule="atLeast"/>
      <w:jc w:val="both"/>
    </w:pPr>
    <w:rPr>
      <w:rFonts w:ascii="Times New Roman" w:hAnsi="Times New Roman" w:cs="Times New Roman"/>
      <w:b/>
      <w:snapToGrid w:val="0"/>
      <w:kern w:val="28"/>
      <w:sz w:val="30"/>
      <w:szCs w:val="20"/>
      <w:lang w:val="en-US" w:bidi="ar-SA"/>
    </w:rPr>
  </w:style>
  <w:style w:type="paragraph" w:customStyle="1" w:styleId="2463">
    <w:name w:val="xl264"/>
    <w:basedOn w:val="1"/>
    <w:uiPriority w:val="0"/>
    <w:pPr>
      <w:widowControl/>
      <w:pBdr>
        <w:top w:val="single" w:color="auto" w:sz="4" w:space="0"/>
        <w:left w:val="single" w:color="auto" w:sz="4" w:space="0"/>
        <w:bottom w:val="single" w:color="auto" w:sz="4" w:space="0"/>
        <w:right w:val="single" w:color="auto" w:sz="4" w:space="0"/>
      </w:pBdr>
      <w:shd w:val="clear" w:color="auto" w:fill="FF8080"/>
      <w:autoSpaceDE/>
      <w:autoSpaceDN/>
      <w:spacing w:before="100" w:beforeAutospacing="1" w:after="100" w:afterAutospacing="1"/>
    </w:pPr>
    <w:rPr>
      <w:sz w:val="20"/>
      <w:szCs w:val="20"/>
      <w:lang w:val="en-US" w:bidi="ar-SA"/>
    </w:rPr>
  </w:style>
  <w:style w:type="paragraph" w:customStyle="1" w:styleId="2464">
    <w:name w:val="样式 5正文"/>
    <w:basedOn w:val="2329"/>
    <w:uiPriority w:val="0"/>
    <w:pPr>
      <w:spacing w:line="440" w:lineRule="exact"/>
      <w:ind w:firstLine="480"/>
    </w:pPr>
  </w:style>
  <w:style w:type="paragraph" w:customStyle="1" w:styleId="2465">
    <w:name w:val="表中正文居中"/>
    <w:uiPriority w:val="0"/>
    <w:pPr>
      <w:spacing w:before="120" w:after="120" w:line="240" w:lineRule="atLeast"/>
      <w:jc w:val="center"/>
    </w:pPr>
    <w:rPr>
      <w:rFonts w:ascii="宋体" w:hAnsi="Times New Roman" w:eastAsia="宋体" w:cs="Times New Roman"/>
      <w:kern w:val="2"/>
      <w:sz w:val="21"/>
      <w:lang w:val="en-US" w:eastAsia="zh-CN" w:bidi="ar-SA"/>
    </w:rPr>
  </w:style>
  <w:style w:type="paragraph" w:customStyle="1" w:styleId="2466">
    <w:name w:val="Char31"/>
    <w:basedOn w:val="1"/>
    <w:next w:val="46"/>
    <w:uiPriority w:val="0"/>
    <w:pPr>
      <w:autoSpaceDE/>
      <w:autoSpaceDN/>
      <w:spacing w:line="360" w:lineRule="auto"/>
      <w:ind w:firstLine="480" w:firstLineChars="200"/>
      <w:jc w:val="both"/>
    </w:pPr>
    <w:rPr>
      <w:rFonts w:ascii="Times New Roman" w:hAnsi="Times New Roman" w:cs="Times New Roman"/>
      <w:sz w:val="24"/>
      <w:szCs w:val="24"/>
      <w:lang w:val="en-US" w:bidi="ar-SA"/>
    </w:rPr>
  </w:style>
  <w:style w:type="paragraph" w:customStyle="1" w:styleId="2467">
    <w:name w:val="样式51"/>
    <w:basedOn w:val="105"/>
    <w:qFormat/>
    <w:uiPriority w:val="0"/>
    <w:pPr>
      <w:tabs>
        <w:tab w:val="clear" w:pos="3480"/>
      </w:tabs>
      <w:autoSpaceDE/>
      <w:autoSpaceDN/>
      <w:adjustRightInd w:val="0"/>
      <w:snapToGrid w:val="0"/>
      <w:spacing w:beforeLines="0" w:line="240" w:lineRule="exact"/>
      <w:ind w:left="-140" w:leftChars="-50" w:right="-140" w:rightChars="-50"/>
    </w:pPr>
    <w:rPr>
      <w:rFonts w:ascii="Times New Roman" w:hAnsi="Times New Roman" w:eastAsia="宋体" w:cs="Times New Roman"/>
      <w:color w:val="000000"/>
      <w:szCs w:val="28"/>
      <w:lang w:val="en-US" w:bidi="ar-SA"/>
    </w:rPr>
  </w:style>
  <w:style w:type="paragraph" w:customStyle="1" w:styleId="2468">
    <w:name w:val="样式22"/>
    <w:basedOn w:val="1"/>
    <w:qFormat/>
    <w:uiPriority w:val="0"/>
    <w:pPr>
      <w:autoSpaceDE/>
      <w:autoSpaceDN/>
      <w:adjustRightInd w:val="0"/>
      <w:snapToGrid w:val="0"/>
      <w:spacing w:line="500" w:lineRule="exact"/>
      <w:ind w:firstLine="560" w:firstLineChars="200"/>
      <w:jc w:val="both"/>
    </w:pPr>
    <w:rPr>
      <w:rFonts w:ascii="Times New Roman" w:hAnsi="Times New Roman" w:cs="Times New Roman"/>
      <w:snapToGrid w:val="0"/>
      <w:sz w:val="28"/>
      <w:szCs w:val="24"/>
      <w:lang w:val="en-US" w:bidi="ar-SA"/>
    </w:rPr>
  </w:style>
  <w:style w:type="paragraph" w:customStyle="1" w:styleId="2469">
    <w:name w:val="Char Char Char Char Char Char Char Char Char Char Char Char Char Char Char Char Char Char Char Char Char Char11"/>
    <w:basedOn w:val="1"/>
    <w:uiPriority w:val="0"/>
    <w:pPr>
      <w:autoSpaceDE/>
      <w:autoSpaceDN/>
      <w:jc w:val="both"/>
    </w:pPr>
    <w:rPr>
      <w:rFonts w:ascii="Times New Roman" w:hAnsi="Times New Roman" w:cs="Times New Roman"/>
      <w:kern w:val="2"/>
      <w:sz w:val="21"/>
      <w:szCs w:val="24"/>
      <w:lang w:val="en-US" w:bidi="ar-SA"/>
    </w:rPr>
  </w:style>
  <w:style w:type="paragraph" w:customStyle="1" w:styleId="2470">
    <w:name w:val="列表 31"/>
    <w:basedOn w:val="1"/>
    <w:uiPriority w:val="0"/>
    <w:pPr>
      <w:autoSpaceDE/>
      <w:autoSpaceDN/>
      <w:ind w:left="1260" w:hanging="420"/>
      <w:jc w:val="both"/>
    </w:pPr>
    <w:rPr>
      <w:rFonts w:ascii="Times New Roman" w:hAnsi="Times New Roman" w:cs="Times New Roman"/>
      <w:kern w:val="2"/>
      <w:sz w:val="21"/>
      <w:szCs w:val="24"/>
      <w:lang w:val="en-US" w:bidi="ar-SA"/>
    </w:rPr>
  </w:style>
  <w:style w:type="paragraph" w:customStyle="1" w:styleId="2471">
    <w:name w:val="列表2"/>
    <w:basedOn w:val="1"/>
    <w:uiPriority w:val="0"/>
    <w:pPr>
      <w:autoSpaceDE/>
      <w:autoSpaceDN/>
      <w:jc w:val="center"/>
    </w:pPr>
    <w:rPr>
      <w:rFonts w:ascii="Times New Roman" w:hAnsi="Times New Roman" w:cs="Times New Roman"/>
      <w:sz w:val="21"/>
      <w:szCs w:val="20"/>
      <w:lang w:val="en-US" w:bidi="ar-SA"/>
    </w:rPr>
  </w:style>
  <w:style w:type="paragraph" w:customStyle="1" w:styleId="2472">
    <w:name w:val="样式35"/>
    <w:basedOn w:val="2178"/>
    <w:qFormat/>
    <w:uiPriority w:val="0"/>
    <w:pPr>
      <w:spacing w:before="0" w:after="0" w:line="240" w:lineRule="auto"/>
      <w:ind w:firstLine="1366" w:firstLineChars="427"/>
    </w:pPr>
    <w:rPr>
      <w:rFonts w:ascii="方正黑体简体" w:eastAsia="方正黑体简体"/>
      <w:sz w:val="28"/>
      <w:szCs w:val="28"/>
    </w:rPr>
  </w:style>
  <w:style w:type="paragraph" w:customStyle="1" w:styleId="2473">
    <w:name w:val="无间隔1"/>
    <w:uiPriority w:val="0"/>
    <w:rPr>
      <w:rFonts w:ascii="Calibri" w:hAnsi="Calibri" w:eastAsia="Times New Roman" w:cs="Times New Roman"/>
      <w:kern w:val="2"/>
      <w:sz w:val="22"/>
      <w:szCs w:val="22"/>
      <w:lang w:val="en-US" w:eastAsia="zh-CN" w:bidi="ar-SA"/>
    </w:rPr>
  </w:style>
  <w:style w:type="paragraph" w:customStyle="1" w:styleId="2474">
    <w:name w:val="xl183"/>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475">
    <w:name w:val="样式38"/>
    <w:basedOn w:val="20"/>
    <w:qFormat/>
    <w:uiPriority w:val="0"/>
    <w:pPr>
      <w:autoSpaceDE/>
      <w:autoSpaceDN/>
      <w:spacing w:line="480" w:lineRule="exact"/>
      <w:ind w:firstLine="560" w:firstLineChars="200"/>
      <w:jc w:val="both"/>
    </w:pPr>
    <w:rPr>
      <w:rFonts w:ascii="Times New Roman" w:hAnsi="Times New Roman" w:cs="Times New Roman"/>
      <w:kern w:val="2"/>
      <w:sz w:val="28"/>
      <w:szCs w:val="28"/>
      <w:lang w:val="en-US" w:bidi="ar-SA"/>
    </w:rPr>
  </w:style>
  <w:style w:type="paragraph" w:customStyle="1" w:styleId="2476">
    <w:name w:val="xl2129"/>
    <w:basedOn w:val="1"/>
    <w:uiPriority w:val="0"/>
    <w:pPr>
      <w:widowControl/>
      <w:pBdr>
        <w:top w:val="single" w:color="auto" w:sz="4" w:space="0"/>
        <w:left w:val="single" w:color="auto" w:sz="4" w:space="0"/>
        <w:bottom w:val="single" w:color="auto" w:sz="4" w:space="0"/>
        <w:right w:val="single" w:color="auto" w:sz="4" w:space="0"/>
      </w:pBdr>
      <w:shd w:val="clear" w:color="auto" w:fill="FFFF00"/>
      <w:autoSpaceDE/>
      <w:autoSpaceDN/>
      <w:spacing w:before="100" w:beforeAutospacing="1" w:after="100" w:afterAutospacing="1"/>
      <w:jc w:val="center"/>
    </w:pPr>
    <w:rPr>
      <w:sz w:val="24"/>
      <w:szCs w:val="24"/>
      <w:lang w:val="en-US" w:bidi="ar-SA"/>
    </w:rPr>
  </w:style>
  <w:style w:type="paragraph" w:customStyle="1" w:styleId="2477">
    <w:name w:val="HTML 预设格式3"/>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cs="Times New Roman"/>
      <w:color w:val="000000"/>
      <w:sz w:val="24"/>
      <w:szCs w:val="24"/>
      <w:lang w:val="en-US" w:bidi="ar-SA"/>
    </w:rPr>
  </w:style>
  <w:style w:type="paragraph" w:customStyle="1" w:styleId="2478">
    <w:name w:val="正文首行缩进 221"/>
    <w:basedOn w:val="2479"/>
    <w:uiPriority w:val="0"/>
    <w:pPr>
      <w:widowControl w:val="0"/>
      <w:snapToGrid w:val="0"/>
      <w:spacing w:after="120" w:line="480" w:lineRule="exact"/>
      <w:ind w:left="420" w:leftChars="200" w:firstLine="420" w:firstLineChars="200"/>
      <w:jc w:val="both"/>
      <w:textAlignment w:val="auto"/>
    </w:pPr>
    <w:rPr>
      <w:rFonts w:ascii="楷体_GB2312" w:hAnsi="等线" w:eastAsia="楷体_GB2312" w:cs="Times New Roman"/>
      <w:kern w:val="2"/>
      <w:sz w:val="28"/>
    </w:rPr>
  </w:style>
  <w:style w:type="paragraph" w:customStyle="1" w:styleId="2479">
    <w:name w:val="正文文本缩进21"/>
    <w:basedOn w:val="1"/>
    <w:uiPriority w:val="0"/>
    <w:pPr>
      <w:widowControl/>
      <w:autoSpaceDE/>
      <w:autoSpaceDN/>
      <w:adjustRightInd w:val="0"/>
      <w:spacing w:line="360" w:lineRule="atLeast"/>
      <w:ind w:left="280" w:firstLine="560"/>
      <w:textAlignment w:val="baseline"/>
    </w:pPr>
    <w:rPr>
      <w:sz w:val="24"/>
      <w:szCs w:val="24"/>
      <w:lang w:val="en-US" w:bidi="ar-SA"/>
    </w:rPr>
  </w:style>
  <w:style w:type="paragraph" w:customStyle="1" w:styleId="2480">
    <w:name w:val="xl305"/>
    <w:basedOn w:val="1"/>
    <w:uiPriority w:val="0"/>
    <w:pPr>
      <w:widowControl/>
      <w:pBdr>
        <w:top w:val="single" w:color="auto" w:sz="4" w:space="0"/>
        <w:left w:val="single" w:color="auto" w:sz="4" w:space="0"/>
        <w:right w:val="single" w:color="auto" w:sz="4" w:space="0"/>
      </w:pBdr>
      <w:shd w:val="clear" w:color="auto" w:fill="FF8080"/>
      <w:autoSpaceDE/>
      <w:autoSpaceDN/>
      <w:spacing w:before="100" w:beforeAutospacing="1" w:after="100" w:afterAutospacing="1"/>
      <w:jc w:val="center"/>
    </w:pPr>
    <w:rPr>
      <w:rFonts w:ascii="方正综艺简体" w:eastAsia="方正综艺简体"/>
      <w:sz w:val="20"/>
      <w:szCs w:val="20"/>
      <w:lang w:val="en-US" w:bidi="ar-SA"/>
    </w:rPr>
  </w:style>
  <w:style w:type="paragraph" w:customStyle="1" w:styleId="2481">
    <w:name w:val="xl238"/>
    <w:basedOn w:val="1"/>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pPr>
    <w:rPr>
      <w:color w:val="000000"/>
      <w:sz w:val="20"/>
      <w:szCs w:val="20"/>
      <w:lang w:val="en-US" w:bidi="ar-SA"/>
    </w:rPr>
  </w:style>
  <w:style w:type="paragraph" w:customStyle="1" w:styleId="2482">
    <w:name w:val="xl257"/>
    <w:basedOn w:val="1"/>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pPr>
    <w:rPr>
      <w:sz w:val="20"/>
      <w:szCs w:val="20"/>
      <w:lang w:val="en-US" w:bidi="ar-SA"/>
    </w:rPr>
  </w:style>
  <w:style w:type="paragraph" w:customStyle="1" w:styleId="2483">
    <w:name w:val="xl222"/>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sz w:val="20"/>
      <w:szCs w:val="20"/>
      <w:lang w:val="en-US" w:bidi="ar-SA"/>
    </w:rPr>
  </w:style>
  <w:style w:type="paragraph" w:customStyle="1" w:styleId="2484">
    <w:name w:val="样式 样式6 + 居中"/>
    <w:basedOn w:val="1353"/>
    <w:uiPriority w:val="0"/>
    <w:pPr>
      <w:topLinePunct/>
      <w:adjustRightInd/>
      <w:snapToGrid/>
      <w:spacing w:line="240" w:lineRule="auto"/>
      <w:ind w:firstLine="360" w:firstLineChars="0"/>
      <w:jc w:val="center"/>
      <w:textAlignment w:val="auto"/>
    </w:pPr>
    <w:rPr>
      <w:rFonts w:ascii="Times New Roman"/>
      <w:sz w:val="18"/>
      <w:szCs w:val="20"/>
    </w:rPr>
  </w:style>
  <w:style w:type="paragraph" w:customStyle="1" w:styleId="2485">
    <w:name w:val="xl228"/>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486">
    <w:name w:val="xl124"/>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lang w:val="en-US" w:bidi="ar-SA"/>
    </w:rPr>
  </w:style>
  <w:style w:type="paragraph" w:customStyle="1" w:styleId="2487">
    <w:name w:val="xl207"/>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488">
    <w:name w:val="xl128"/>
    <w:basedOn w:val="1"/>
    <w:uiPriority w:val="0"/>
    <w:pPr>
      <w:widowControl/>
      <w:pBdr>
        <w:top w:val="single" w:color="auto" w:sz="4" w:space="0"/>
        <w:left w:val="single" w:color="auto" w:sz="4" w:space="0"/>
        <w:bottom w:val="single" w:color="auto" w:sz="4" w:space="0"/>
        <w:right w:val="single" w:color="auto" w:sz="4" w:space="0"/>
      </w:pBdr>
      <w:shd w:val="clear" w:color="auto" w:fill="FFFF00"/>
      <w:autoSpaceDE/>
      <w:autoSpaceDN/>
      <w:spacing w:before="100" w:beforeAutospacing="1" w:after="100" w:afterAutospacing="1"/>
    </w:pPr>
    <w:rPr>
      <w:b/>
      <w:bCs/>
      <w:sz w:val="24"/>
      <w:szCs w:val="24"/>
      <w:lang w:val="en-US" w:bidi="ar-SA"/>
    </w:rPr>
  </w:style>
  <w:style w:type="paragraph" w:customStyle="1" w:styleId="2489">
    <w:name w:val="xl2147"/>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sz w:val="24"/>
      <w:szCs w:val="24"/>
      <w:lang w:val="en-US" w:bidi="ar-SA"/>
    </w:rPr>
  </w:style>
  <w:style w:type="paragraph" w:customStyle="1" w:styleId="2490">
    <w:name w:val="xl169"/>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491">
    <w:name w:val="Знак Знак13"/>
    <w:basedOn w:val="1"/>
    <w:uiPriority w:val="0"/>
    <w:pPr>
      <w:autoSpaceDE/>
      <w:autoSpaceDN/>
      <w:jc w:val="both"/>
    </w:pPr>
    <w:rPr>
      <w:rFonts w:ascii="Times New Roman" w:hAnsi="Times New Roman" w:cs="Times New Roman"/>
      <w:kern w:val="2"/>
      <w:sz w:val="21"/>
      <w:szCs w:val="24"/>
      <w:lang w:val="en-US" w:bidi="ar-SA"/>
    </w:rPr>
  </w:style>
  <w:style w:type="paragraph" w:customStyle="1" w:styleId="2492">
    <w:name w:val="xl184"/>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color w:val="FF0000"/>
      <w:sz w:val="20"/>
      <w:szCs w:val="20"/>
      <w:lang w:val="en-US" w:bidi="ar-SA"/>
    </w:rPr>
  </w:style>
  <w:style w:type="paragraph" w:customStyle="1" w:styleId="2493">
    <w:name w:val="xl159"/>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color w:val="000000"/>
      <w:sz w:val="20"/>
      <w:szCs w:val="20"/>
      <w:lang w:val="en-US" w:bidi="ar-SA"/>
    </w:rPr>
  </w:style>
  <w:style w:type="paragraph" w:customStyle="1" w:styleId="2494">
    <w:name w:val="xl194"/>
    <w:basedOn w:val="1"/>
    <w:uiPriority w:val="0"/>
    <w:pPr>
      <w:widowControl/>
      <w:pBdr>
        <w:top w:val="single" w:color="auto" w:sz="4" w:space="0"/>
        <w:left w:val="single" w:color="auto" w:sz="4" w:space="0"/>
        <w:bottom w:val="single" w:color="auto" w:sz="4" w:space="0"/>
        <w:right w:val="single" w:color="auto" w:sz="4" w:space="0"/>
      </w:pBdr>
      <w:shd w:val="clear" w:color="auto" w:fill="99CCFF"/>
      <w:autoSpaceDE/>
      <w:autoSpaceDN/>
      <w:spacing w:before="100" w:beforeAutospacing="1" w:after="100" w:afterAutospacing="1"/>
    </w:pPr>
    <w:rPr>
      <w:rFonts w:ascii="方正综艺简体" w:eastAsia="方正综艺简体"/>
      <w:color w:val="000000"/>
      <w:sz w:val="20"/>
      <w:szCs w:val="20"/>
      <w:lang w:val="en-US" w:bidi="ar-SA"/>
    </w:rPr>
  </w:style>
  <w:style w:type="paragraph" w:customStyle="1" w:styleId="2495">
    <w:name w:val="xl189"/>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496">
    <w:name w:val="xl247"/>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497">
    <w:name w:val="文本"/>
    <w:basedOn w:val="1"/>
    <w:next w:val="31"/>
    <w:uiPriority w:val="0"/>
    <w:pPr>
      <w:autoSpaceDE/>
      <w:autoSpaceDN/>
      <w:jc w:val="both"/>
    </w:pPr>
    <w:rPr>
      <w:rFonts w:ascii="Times New Roman" w:hAnsi="Times New Roman" w:cs="Times New Roman"/>
      <w:kern w:val="2"/>
      <w:sz w:val="28"/>
      <w:szCs w:val="24"/>
      <w:lang w:val="en-US" w:bidi="ar-SA"/>
    </w:rPr>
  </w:style>
  <w:style w:type="paragraph" w:customStyle="1" w:styleId="2498">
    <w:name w:val="A标题2"/>
    <w:basedOn w:val="4"/>
    <w:uiPriority w:val="0"/>
    <w:pPr>
      <w:keepNext/>
      <w:keepLines/>
      <w:autoSpaceDE/>
      <w:autoSpaceDN/>
      <w:adjustRightInd w:val="0"/>
      <w:snapToGrid w:val="0"/>
      <w:spacing w:before="240" w:after="240" w:line="480" w:lineRule="exact"/>
      <w:ind w:left="0" w:firstLine="480" w:firstLineChars="200"/>
      <w:jc w:val="both"/>
    </w:pPr>
    <w:rPr>
      <w:rFonts w:ascii="Times New Roman" w:hAnsi="Times New Roman" w:eastAsia="方正黑体简体" w:cs="Times New Roman"/>
      <w:kern w:val="2"/>
      <w:sz w:val="24"/>
      <w:szCs w:val="24"/>
      <w:lang w:val="en-US" w:bidi="ar-SA"/>
    </w:rPr>
  </w:style>
  <w:style w:type="paragraph" w:customStyle="1" w:styleId="2499">
    <w:name w:val="xl226"/>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500">
    <w:name w:val="索引 211"/>
    <w:basedOn w:val="1"/>
    <w:next w:val="1"/>
    <w:uiPriority w:val="0"/>
    <w:pPr>
      <w:autoSpaceDE/>
      <w:autoSpaceDN/>
      <w:spacing w:line="480" w:lineRule="exact"/>
      <w:ind w:left="200" w:leftChars="200"/>
      <w:jc w:val="both"/>
    </w:pPr>
    <w:rPr>
      <w:rFonts w:ascii="Times New Roman" w:hAnsi="Times New Roman" w:cs="Times New Roman"/>
      <w:kern w:val="2"/>
      <w:sz w:val="24"/>
      <w:szCs w:val="24"/>
      <w:lang w:val="en-US" w:bidi="ar-SA"/>
    </w:rPr>
  </w:style>
  <w:style w:type="paragraph" w:customStyle="1" w:styleId="2501">
    <w:name w:val="Char Char2 Char Char Char1 Char Char Char Char Char Char Char1"/>
    <w:basedOn w:val="1"/>
    <w:uiPriority w:val="0"/>
    <w:pPr>
      <w:autoSpaceDE/>
      <w:autoSpaceDN/>
      <w:jc w:val="both"/>
    </w:pPr>
    <w:rPr>
      <w:rFonts w:ascii="Times New Roman" w:hAnsi="Times New Roman" w:cs="Times New Roman"/>
      <w:kern w:val="2"/>
      <w:sz w:val="21"/>
      <w:szCs w:val="24"/>
      <w:lang w:val="en-US" w:bidi="ar-SA"/>
    </w:rPr>
  </w:style>
  <w:style w:type="paragraph" w:customStyle="1" w:styleId="2502">
    <w:name w:val="样式 非加粗"/>
    <w:basedOn w:val="1"/>
    <w:uiPriority w:val="0"/>
    <w:pPr>
      <w:autoSpaceDE/>
      <w:autoSpaceDN/>
      <w:spacing w:line="440" w:lineRule="exact"/>
      <w:ind w:firstLine="480" w:firstLineChars="200"/>
      <w:jc w:val="both"/>
    </w:pPr>
    <w:rPr>
      <w:rFonts w:ascii="Times New Roman" w:hAnsi="Times New Roman" w:cs="Times New Roman"/>
      <w:kern w:val="2"/>
      <w:sz w:val="24"/>
      <w:szCs w:val="24"/>
      <w:lang w:val="en-US" w:bidi="ar-SA"/>
    </w:rPr>
  </w:style>
  <w:style w:type="paragraph" w:customStyle="1" w:styleId="2503">
    <w:name w:val="xl235"/>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504">
    <w:name w:val="xl143"/>
    <w:basedOn w:val="1"/>
    <w:uiPriority w:val="0"/>
    <w:pPr>
      <w:widowControl/>
      <w:pBdr>
        <w:top w:val="single" w:color="auto" w:sz="4" w:space="0"/>
        <w:left w:val="single" w:color="auto" w:sz="4" w:space="0"/>
        <w:bottom w:val="single" w:color="auto" w:sz="4" w:space="0"/>
        <w:right w:val="single" w:color="auto" w:sz="4" w:space="0"/>
      </w:pBdr>
      <w:shd w:val="clear" w:color="auto" w:fill="FFFF00"/>
      <w:autoSpaceDE/>
      <w:autoSpaceDN/>
      <w:spacing w:before="100" w:beforeAutospacing="1" w:after="100" w:afterAutospacing="1"/>
    </w:pPr>
    <w:rPr>
      <w:b/>
      <w:bCs/>
      <w:sz w:val="21"/>
      <w:szCs w:val="21"/>
      <w:lang w:val="en-US" w:bidi="ar-SA"/>
    </w:rPr>
  </w:style>
  <w:style w:type="paragraph" w:customStyle="1" w:styleId="2505">
    <w:name w:val="列出段落11"/>
    <w:basedOn w:val="1"/>
    <w:uiPriority w:val="99"/>
    <w:pPr>
      <w:autoSpaceDE/>
      <w:autoSpaceDN/>
      <w:ind w:firstLine="420" w:firstLineChars="200"/>
      <w:jc w:val="both"/>
    </w:pPr>
    <w:rPr>
      <w:rFonts w:ascii="Calibri" w:hAnsi="Calibri" w:cs="Times New Roman"/>
      <w:kern w:val="2"/>
      <w:sz w:val="21"/>
      <w:lang w:val="en-US" w:bidi="ar-SA"/>
    </w:rPr>
  </w:style>
  <w:style w:type="paragraph" w:customStyle="1" w:styleId="2506">
    <w:name w:val="xl278"/>
    <w:basedOn w:val="1"/>
    <w:uiPriority w:val="0"/>
    <w:pPr>
      <w:widowControl/>
      <w:pBdr>
        <w:top w:val="single" w:color="auto" w:sz="4" w:space="0"/>
        <w:left w:val="single" w:color="auto" w:sz="4" w:space="0"/>
        <w:bottom w:val="single" w:color="auto" w:sz="4" w:space="0"/>
        <w:right w:val="single" w:color="auto" w:sz="4" w:space="0"/>
      </w:pBdr>
      <w:shd w:val="clear" w:color="auto" w:fill="FF8080"/>
      <w:autoSpaceDE/>
      <w:autoSpaceDN/>
      <w:spacing w:before="100" w:beforeAutospacing="1" w:after="100" w:afterAutospacing="1"/>
      <w:jc w:val="center"/>
    </w:pPr>
    <w:rPr>
      <w:rFonts w:ascii="方正综艺简体" w:eastAsia="方正综艺简体"/>
      <w:sz w:val="20"/>
      <w:szCs w:val="20"/>
      <w:lang w:val="en-US" w:bidi="ar-SA"/>
    </w:rPr>
  </w:style>
  <w:style w:type="paragraph" w:customStyle="1" w:styleId="2507">
    <w:name w:val="xl205"/>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508">
    <w:name w:val="xl118"/>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Times New Roman" w:hAnsi="Times New Roman" w:cs="Times New Roman"/>
      <w:b/>
      <w:bCs/>
      <w:color w:val="FF0000"/>
      <w:sz w:val="21"/>
      <w:szCs w:val="21"/>
      <w:lang w:val="en-US" w:bidi="ar-SA"/>
    </w:rPr>
  </w:style>
  <w:style w:type="paragraph" w:customStyle="1" w:styleId="2509">
    <w:name w:val="xl198"/>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510">
    <w:name w:val="正文三级标题"/>
    <w:basedOn w:val="1"/>
    <w:uiPriority w:val="0"/>
    <w:pPr>
      <w:autoSpaceDE/>
      <w:autoSpaceDN/>
      <w:spacing w:before="120" w:after="120" w:line="480" w:lineRule="exact"/>
      <w:ind w:firstLine="600" w:firstLineChars="200"/>
      <w:jc w:val="both"/>
      <w:outlineLvl w:val="2"/>
    </w:pPr>
    <w:rPr>
      <w:rFonts w:ascii="Times New Roman" w:hAnsi="Times New Roman" w:eastAsia="黑体" w:cs="Times New Roman"/>
      <w:kern w:val="2"/>
      <w:sz w:val="30"/>
      <w:szCs w:val="24"/>
      <w:lang w:val="en-US" w:bidi="ar-SA"/>
    </w:rPr>
  </w:style>
  <w:style w:type="paragraph" w:customStyle="1" w:styleId="2511">
    <w:name w:val="xl261"/>
    <w:basedOn w:val="1"/>
    <w:uiPriority w:val="0"/>
    <w:pPr>
      <w:widowControl/>
      <w:pBdr>
        <w:top w:val="single" w:color="auto" w:sz="4" w:space="0"/>
        <w:left w:val="single" w:color="auto" w:sz="4" w:space="0"/>
        <w:bottom w:val="single" w:color="auto" w:sz="4" w:space="0"/>
        <w:right w:val="single" w:color="auto" w:sz="4" w:space="0"/>
      </w:pBdr>
      <w:shd w:val="clear" w:color="auto" w:fill="FF8080"/>
      <w:autoSpaceDE/>
      <w:autoSpaceDN/>
      <w:spacing w:before="100" w:beforeAutospacing="1" w:after="100" w:afterAutospacing="1"/>
    </w:pPr>
    <w:rPr>
      <w:sz w:val="20"/>
      <w:szCs w:val="20"/>
      <w:lang w:val="en-US" w:bidi="ar-SA"/>
    </w:rPr>
  </w:style>
  <w:style w:type="paragraph" w:customStyle="1" w:styleId="2512">
    <w:name w:val="样式 表头 + 左侧:  0.99 字符"/>
    <w:basedOn w:val="102"/>
    <w:uiPriority w:val="0"/>
    <w:pPr>
      <w:autoSpaceDE/>
      <w:autoSpaceDN/>
      <w:adjustRightInd w:val="0"/>
      <w:snapToGrid w:val="0"/>
      <w:spacing w:beforeLines="0" w:afterLines="0"/>
      <w:ind w:left="277" w:leftChars="350" w:firstLine="480"/>
      <w:jc w:val="left"/>
    </w:pPr>
    <w:rPr>
      <w:rFonts w:ascii="Times New Roman" w:hAnsi="Times New Roman" w:eastAsia="宋体"/>
      <w:bCs/>
      <w:snapToGrid w:val="0"/>
      <w:kern w:val="0"/>
      <w:sz w:val="28"/>
      <w:szCs w:val="24"/>
      <w:lang w:bidi="ar-SA"/>
    </w:rPr>
  </w:style>
  <w:style w:type="paragraph" w:customStyle="1" w:styleId="2513">
    <w:name w:val="xl166"/>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514">
    <w:name w:val="xl233"/>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515">
    <w:name w:val="正文文本 25"/>
    <w:basedOn w:val="1"/>
    <w:uiPriority w:val="0"/>
    <w:pPr>
      <w:autoSpaceDE/>
      <w:autoSpaceDN/>
      <w:adjustRightInd w:val="0"/>
      <w:jc w:val="center"/>
      <w:textAlignment w:val="baseline"/>
    </w:pPr>
    <w:rPr>
      <w:rFonts w:ascii="Arial" w:hAnsi="Arial" w:eastAsia="Arial" w:cs="Times New Roman"/>
      <w:kern w:val="2"/>
      <w:sz w:val="21"/>
      <w:szCs w:val="20"/>
      <w:lang w:val="en-US" w:bidi="ar-SA"/>
    </w:rPr>
  </w:style>
  <w:style w:type="paragraph" w:customStyle="1" w:styleId="2516">
    <w:name w:val="xl122"/>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color w:val="000000"/>
      <w:sz w:val="21"/>
      <w:szCs w:val="21"/>
      <w:lang w:val="en-US" w:bidi="ar-SA"/>
    </w:rPr>
  </w:style>
  <w:style w:type="paragraph" w:customStyle="1" w:styleId="2517">
    <w:name w:val="xl193"/>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right"/>
    </w:pPr>
    <w:rPr>
      <w:sz w:val="20"/>
      <w:szCs w:val="20"/>
      <w:lang w:val="en-US" w:bidi="ar-SA"/>
    </w:rPr>
  </w:style>
  <w:style w:type="paragraph" w:customStyle="1" w:styleId="2518">
    <w:name w:val="xl265"/>
    <w:basedOn w:val="1"/>
    <w:uiPriority w:val="0"/>
    <w:pPr>
      <w:widowControl/>
      <w:pBdr>
        <w:top w:val="single" w:color="auto" w:sz="4" w:space="0"/>
        <w:left w:val="single" w:color="auto" w:sz="4" w:space="0"/>
        <w:bottom w:val="single" w:color="auto" w:sz="4" w:space="0"/>
        <w:right w:val="single" w:color="auto" w:sz="4" w:space="0"/>
      </w:pBdr>
      <w:shd w:val="clear" w:color="auto" w:fill="FF8080"/>
      <w:autoSpaceDE/>
      <w:autoSpaceDN/>
      <w:spacing w:before="100" w:beforeAutospacing="1" w:after="100" w:afterAutospacing="1"/>
    </w:pPr>
    <w:rPr>
      <w:sz w:val="20"/>
      <w:szCs w:val="20"/>
      <w:lang w:val="en-US" w:bidi="ar-SA"/>
    </w:rPr>
  </w:style>
  <w:style w:type="paragraph" w:customStyle="1" w:styleId="2519">
    <w:name w:val="xl116"/>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b/>
      <w:bCs/>
      <w:color w:val="FF0000"/>
      <w:sz w:val="21"/>
      <w:szCs w:val="21"/>
      <w:lang w:val="en-US" w:bidi="ar-SA"/>
    </w:rPr>
  </w:style>
  <w:style w:type="paragraph" w:customStyle="1" w:styleId="2520">
    <w:name w:val="xl2143"/>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b/>
      <w:bCs/>
      <w:sz w:val="24"/>
      <w:szCs w:val="24"/>
      <w:lang w:val="en-US" w:bidi="ar-SA"/>
    </w:rPr>
  </w:style>
  <w:style w:type="paragraph" w:customStyle="1" w:styleId="2521">
    <w:name w:val="xl125"/>
    <w:basedOn w:val="1"/>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pPr>
    <w:rPr>
      <w:lang w:val="en-US" w:bidi="ar-SA"/>
    </w:rPr>
  </w:style>
  <w:style w:type="paragraph" w:customStyle="1" w:styleId="2522">
    <w:name w:val="xl203"/>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523">
    <w:name w:val="标题0"/>
    <w:basedOn w:val="1"/>
    <w:uiPriority w:val="0"/>
    <w:pPr>
      <w:autoSpaceDE/>
      <w:autoSpaceDN/>
      <w:adjustRightInd w:val="0"/>
      <w:snapToGrid w:val="0"/>
      <w:spacing w:beforeLines="50" w:afterLines="100" w:line="700" w:lineRule="exact"/>
      <w:jc w:val="center"/>
    </w:pPr>
    <w:rPr>
      <w:rFonts w:ascii="黑体" w:hAnsi="Times New Roman" w:eastAsia="黑体" w:cs="Times New Roman"/>
      <w:sz w:val="44"/>
      <w:szCs w:val="44"/>
      <w:lang w:val="en-US" w:bidi="ar-SA"/>
    </w:rPr>
  </w:style>
  <w:style w:type="paragraph" w:customStyle="1" w:styleId="2524">
    <w:name w:val="索引标题1"/>
    <w:basedOn w:val="1"/>
    <w:next w:val="2456"/>
    <w:uiPriority w:val="0"/>
    <w:pPr>
      <w:autoSpaceDE/>
      <w:autoSpaceDN/>
      <w:spacing w:line="480" w:lineRule="exact"/>
      <w:jc w:val="both"/>
    </w:pPr>
    <w:rPr>
      <w:rFonts w:ascii="Arial" w:hAnsi="Arial" w:cs="Arial"/>
      <w:b/>
      <w:bCs/>
      <w:kern w:val="2"/>
      <w:sz w:val="24"/>
      <w:szCs w:val="24"/>
      <w:lang w:val="en-US" w:bidi="ar-SA"/>
    </w:rPr>
  </w:style>
  <w:style w:type="paragraph" w:customStyle="1" w:styleId="2525">
    <w:name w:val="样式 样式5 + 段前: 0.5 行 段后: 0.3 行2"/>
    <w:basedOn w:val="1176"/>
    <w:uiPriority w:val="0"/>
    <w:pPr>
      <w:topLinePunct/>
      <w:adjustRightInd/>
      <w:snapToGrid/>
      <w:spacing w:before="200" w:after="200" w:afterLines="30" w:line="240" w:lineRule="auto"/>
      <w:ind w:firstLine="0"/>
      <w:jc w:val="center"/>
      <w:textAlignment w:val="auto"/>
    </w:pPr>
    <w:rPr>
      <w:rFonts w:hint="eastAsia" w:ascii="方正黑体简体" w:hAnsi="Arial" w:eastAsia="方正黑体简体"/>
      <w:snapToGrid w:val="0"/>
      <w:kern w:val="2"/>
      <w:szCs w:val="28"/>
    </w:rPr>
  </w:style>
  <w:style w:type="paragraph" w:customStyle="1" w:styleId="2526">
    <w:name w:val="xl163"/>
    <w:basedOn w:val="1"/>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pPr>
    <w:rPr>
      <w:color w:val="000000"/>
      <w:sz w:val="20"/>
      <w:szCs w:val="20"/>
      <w:lang w:val="en-US" w:bidi="ar-SA"/>
    </w:rPr>
  </w:style>
  <w:style w:type="paragraph" w:customStyle="1" w:styleId="2527">
    <w:name w:val="Char81"/>
    <w:basedOn w:val="1"/>
    <w:next w:val="1595"/>
    <w:uiPriority w:val="0"/>
    <w:pPr>
      <w:autoSpaceDE/>
      <w:autoSpaceDN/>
      <w:spacing w:line="360" w:lineRule="auto"/>
      <w:ind w:firstLine="480" w:firstLineChars="200"/>
      <w:jc w:val="both"/>
    </w:pPr>
    <w:rPr>
      <w:rFonts w:ascii="Times New Roman" w:hAnsi="Times New Roman" w:cs="Times New Roman"/>
      <w:sz w:val="24"/>
      <w:szCs w:val="24"/>
      <w:lang w:val="en-US" w:bidi="ar-SA"/>
    </w:rPr>
  </w:style>
  <w:style w:type="paragraph" w:customStyle="1" w:styleId="2528">
    <w:name w:val="xl252"/>
    <w:basedOn w:val="1"/>
    <w:uiPriority w:val="0"/>
    <w:pPr>
      <w:widowControl/>
      <w:pBdr>
        <w:top w:val="single" w:color="auto" w:sz="4" w:space="0"/>
        <w:left w:val="single" w:color="auto" w:sz="4" w:space="0"/>
        <w:bottom w:val="single" w:color="auto" w:sz="4" w:space="0"/>
        <w:right w:val="single" w:color="auto" w:sz="4" w:space="0"/>
      </w:pBdr>
      <w:shd w:val="clear" w:color="auto" w:fill="FF8080"/>
      <w:autoSpaceDE/>
      <w:autoSpaceDN/>
      <w:spacing w:before="100" w:beforeAutospacing="1" w:after="100" w:afterAutospacing="1"/>
    </w:pPr>
    <w:rPr>
      <w:sz w:val="20"/>
      <w:szCs w:val="20"/>
      <w:lang w:val="en-US" w:bidi="ar-SA"/>
    </w:rPr>
  </w:style>
  <w:style w:type="paragraph" w:customStyle="1" w:styleId="2529">
    <w:name w:val="xl2144"/>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lang w:val="en-US" w:bidi="ar-SA"/>
    </w:rPr>
  </w:style>
  <w:style w:type="paragraph" w:customStyle="1" w:styleId="2530">
    <w:name w:val="正文五级"/>
    <w:basedOn w:val="1"/>
    <w:uiPriority w:val="0"/>
    <w:pPr>
      <w:tabs>
        <w:tab w:val="left" w:pos="840"/>
      </w:tabs>
      <w:autoSpaceDE/>
      <w:autoSpaceDN/>
      <w:spacing w:line="480" w:lineRule="exact"/>
      <w:ind w:left="840" w:hanging="420"/>
      <w:outlineLvl w:val="4"/>
    </w:pPr>
    <w:rPr>
      <w:rFonts w:ascii="Times New Roman" w:hAnsi="Times New Roman" w:eastAsia="仿宋_GB2312" w:cs="Times New Roman"/>
      <w:b/>
      <w:kern w:val="2"/>
      <w:sz w:val="30"/>
      <w:szCs w:val="30"/>
      <w:lang w:val="en-US" w:bidi="ar-SA"/>
    </w:rPr>
  </w:style>
  <w:style w:type="paragraph" w:customStyle="1" w:styleId="2531">
    <w:name w:val="xl275"/>
    <w:basedOn w:val="1"/>
    <w:uiPriority w:val="0"/>
    <w:pPr>
      <w:widowControl/>
      <w:pBdr>
        <w:top w:val="single" w:color="auto" w:sz="4" w:space="0"/>
        <w:left w:val="single" w:color="auto" w:sz="4" w:space="0"/>
        <w:bottom w:val="single" w:color="auto" w:sz="4" w:space="0"/>
        <w:right w:val="single" w:color="auto" w:sz="4" w:space="0"/>
      </w:pBdr>
      <w:shd w:val="clear" w:color="auto" w:fill="00FFFF"/>
      <w:autoSpaceDE/>
      <w:autoSpaceDN/>
      <w:spacing w:before="100" w:beforeAutospacing="1" w:after="100" w:afterAutospacing="1"/>
    </w:pPr>
    <w:rPr>
      <w:b/>
      <w:bCs/>
      <w:sz w:val="20"/>
      <w:szCs w:val="20"/>
      <w:lang w:val="en-US" w:bidi="ar-SA"/>
    </w:rPr>
  </w:style>
  <w:style w:type="paragraph" w:customStyle="1" w:styleId="2532">
    <w:name w:val="xl292"/>
    <w:basedOn w:val="1"/>
    <w:uiPriority w:val="0"/>
    <w:pPr>
      <w:widowControl/>
      <w:pBdr>
        <w:left w:val="single" w:color="auto" w:sz="4" w:space="0"/>
        <w:right w:val="single" w:color="auto" w:sz="4" w:space="0"/>
      </w:pBdr>
      <w:shd w:val="clear" w:color="auto" w:fill="FF8080"/>
      <w:autoSpaceDE/>
      <w:autoSpaceDN/>
      <w:spacing w:before="100" w:beforeAutospacing="1" w:after="100" w:afterAutospacing="1"/>
      <w:jc w:val="center"/>
    </w:pPr>
    <w:rPr>
      <w:rFonts w:ascii="方正综艺简体" w:eastAsia="方正综艺简体"/>
      <w:color w:val="000000"/>
      <w:sz w:val="20"/>
      <w:szCs w:val="20"/>
      <w:lang w:val="en-US" w:bidi="ar-SA"/>
    </w:rPr>
  </w:style>
  <w:style w:type="paragraph" w:customStyle="1" w:styleId="2533">
    <w:name w:val="样式11"/>
    <w:basedOn w:val="3"/>
    <w:uiPriority w:val="0"/>
    <w:pPr>
      <w:keepNext/>
      <w:keepLines/>
      <w:autoSpaceDE/>
      <w:autoSpaceDN/>
      <w:spacing w:before="340" w:after="330" w:line="520" w:lineRule="exact"/>
      <w:ind w:left="0" w:firstLine="0"/>
      <w:jc w:val="both"/>
    </w:pPr>
    <w:rPr>
      <w:rFonts w:ascii="Times New Roman" w:hAnsi="Times New Roman" w:eastAsia="仿宋_GB2312" w:cs="Times New Roman"/>
      <w:bCs/>
      <w:kern w:val="44"/>
      <w:sz w:val="28"/>
      <w:szCs w:val="28"/>
      <w:lang w:val="en-US" w:bidi="ar-SA"/>
    </w:rPr>
  </w:style>
  <w:style w:type="paragraph" w:customStyle="1" w:styleId="2534">
    <w:name w:val="样式 首行缩进:  2 字符2"/>
    <w:basedOn w:val="1"/>
    <w:uiPriority w:val="0"/>
    <w:pPr>
      <w:autoSpaceDE/>
      <w:autoSpaceDN/>
      <w:adjustRightInd w:val="0"/>
      <w:snapToGrid w:val="0"/>
      <w:spacing w:line="400" w:lineRule="exact"/>
      <w:ind w:firstLine="200" w:firstLineChars="200"/>
      <w:jc w:val="both"/>
    </w:pPr>
    <w:rPr>
      <w:rFonts w:ascii="Times New Roman" w:hAnsi="Times New Roman"/>
      <w:sz w:val="24"/>
      <w:szCs w:val="28"/>
      <w:lang w:val="en-US" w:bidi="ar-SA"/>
    </w:rPr>
  </w:style>
  <w:style w:type="paragraph" w:customStyle="1" w:styleId="2535">
    <w:name w:val="xl301"/>
    <w:basedOn w:val="1"/>
    <w:uiPriority w:val="0"/>
    <w:pPr>
      <w:widowControl/>
      <w:pBdr>
        <w:bottom w:val="single" w:color="auto" w:sz="4" w:space="0"/>
      </w:pBdr>
      <w:shd w:val="clear" w:color="auto" w:fill="FF8080"/>
      <w:autoSpaceDE/>
      <w:autoSpaceDN/>
      <w:spacing w:before="100" w:beforeAutospacing="1" w:after="100" w:afterAutospacing="1"/>
      <w:jc w:val="center"/>
    </w:pPr>
    <w:rPr>
      <w:rFonts w:ascii="方正综艺简体" w:eastAsia="方正综艺简体"/>
      <w:sz w:val="20"/>
      <w:szCs w:val="20"/>
      <w:lang w:val="en-US" w:bidi="ar-SA"/>
    </w:rPr>
  </w:style>
  <w:style w:type="paragraph" w:customStyle="1" w:styleId="2536">
    <w:name w:val="xl2145"/>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lang w:val="en-US" w:bidi="ar-SA"/>
    </w:rPr>
  </w:style>
  <w:style w:type="paragraph" w:customStyle="1" w:styleId="2537">
    <w:name w:val="xl140"/>
    <w:basedOn w:val="1"/>
    <w:uiPriority w:val="0"/>
    <w:pPr>
      <w:widowControl/>
      <w:pBdr>
        <w:top w:val="single" w:color="auto" w:sz="4" w:space="0"/>
        <w:left w:val="single" w:color="auto" w:sz="4" w:space="0"/>
        <w:bottom w:val="single" w:color="auto" w:sz="4" w:space="0"/>
        <w:right w:val="single" w:color="auto" w:sz="4" w:space="0"/>
      </w:pBdr>
      <w:shd w:val="clear" w:color="auto" w:fill="FFFF00"/>
      <w:autoSpaceDE/>
      <w:autoSpaceDN/>
      <w:spacing w:before="100" w:beforeAutospacing="1" w:after="100" w:afterAutospacing="1"/>
    </w:pPr>
    <w:rPr>
      <w:b/>
      <w:bCs/>
      <w:lang w:val="en-US" w:bidi="ar-SA"/>
    </w:rPr>
  </w:style>
  <w:style w:type="paragraph" w:customStyle="1" w:styleId="2538">
    <w:name w:val="xl2155"/>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rFonts w:ascii="Calibri" w:hAnsi="Calibri"/>
      <w:color w:val="FF0000"/>
      <w:sz w:val="21"/>
      <w:szCs w:val="21"/>
      <w:lang w:val="en-US" w:bidi="ar-SA"/>
    </w:rPr>
  </w:style>
  <w:style w:type="paragraph" w:customStyle="1" w:styleId="2539">
    <w:name w:val="xl178"/>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540">
    <w:name w:val="xl172"/>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541">
    <w:name w:val="xl225"/>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sz w:val="20"/>
      <w:szCs w:val="20"/>
      <w:lang w:val="en-US" w:bidi="ar-SA"/>
    </w:rPr>
  </w:style>
  <w:style w:type="paragraph" w:customStyle="1" w:styleId="2542">
    <w:name w:val="xl211"/>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543">
    <w:name w:val="xl314"/>
    <w:basedOn w:val="1"/>
    <w:uiPriority w:val="0"/>
    <w:pPr>
      <w:widowControl/>
      <w:pBdr>
        <w:top w:val="single" w:color="auto" w:sz="4" w:space="0"/>
      </w:pBdr>
      <w:shd w:val="clear" w:color="auto" w:fill="FFCC00"/>
      <w:autoSpaceDE/>
      <w:autoSpaceDN/>
      <w:spacing w:before="100" w:beforeAutospacing="1" w:after="100" w:afterAutospacing="1"/>
      <w:jc w:val="center"/>
    </w:pPr>
    <w:rPr>
      <w:rFonts w:ascii="方正综艺简体" w:eastAsia="方正综艺简体"/>
      <w:color w:val="000000"/>
      <w:sz w:val="20"/>
      <w:szCs w:val="20"/>
      <w:lang w:val="en-US" w:bidi="ar-SA"/>
    </w:rPr>
  </w:style>
  <w:style w:type="paragraph" w:customStyle="1" w:styleId="2544">
    <w:name w:val="xl121"/>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b/>
      <w:bCs/>
      <w:color w:val="FF0000"/>
      <w:sz w:val="21"/>
      <w:szCs w:val="21"/>
      <w:lang w:val="en-US" w:bidi="ar-SA"/>
    </w:rPr>
  </w:style>
  <w:style w:type="paragraph" w:customStyle="1" w:styleId="2545">
    <w:name w:val="Char Char Char Char Char Char Char11"/>
    <w:basedOn w:val="1"/>
    <w:uiPriority w:val="0"/>
    <w:pPr>
      <w:widowControl/>
      <w:autoSpaceDE/>
      <w:autoSpaceDN/>
      <w:spacing w:after="160" w:line="240" w:lineRule="exact"/>
    </w:pPr>
    <w:rPr>
      <w:rFonts w:ascii="Verdana" w:hAnsi="Verdana" w:cs="Times New Roman"/>
      <w:sz w:val="20"/>
      <w:szCs w:val="20"/>
      <w:lang w:val="en-US" w:eastAsia="en-US" w:bidi="ar-SA"/>
    </w:rPr>
  </w:style>
  <w:style w:type="paragraph" w:customStyle="1" w:styleId="2546">
    <w:name w:val="样式 黑体 小二 居中 段前: 140 磅 行距: 固定值 35 磅"/>
    <w:basedOn w:val="1"/>
    <w:uiPriority w:val="0"/>
    <w:pPr>
      <w:autoSpaceDE/>
      <w:autoSpaceDN/>
      <w:adjustRightInd w:val="0"/>
      <w:snapToGrid w:val="0"/>
      <w:spacing w:before="2000" w:line="700" w:lineRule="exact"/>
      <w:jc w:val="center"/>
    </w:pPr>
    <w:rPr>
      <w:rFonts w:ascii="黑体" w:hAnsi="Times New Roman" w:eastAsia="黑体"/>
      <w:sz w:val="36"/>
      <w:szCs w:val="20"/>
      <w:lang w:val="en-US" w:bidi="ar-SA"/>
    </w:rPr>
  </w:style>
  <w:style w:type="paragraph" w:customStyle="1" w:styleId="2547">
    <w:name w:val="xl224"/>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548">
    <w:name w:val="xl229"/>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549">
    <w:name w:val="xl2146"/>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b/>
      <w:bCs/>
      <w:sz w:val="24"/>
      <w:szCs w:val="24"/>
      <w:lang w:val="en-US" w:bidi="ar-SA"/>
    </w:rPr>
  </w:style>
  <w:style w:type="paragraph" w:customStyle="1" w:styleId="2550">
    <w:name w:val="正文首行缩进 211"/>
    <w:basedOn w:val="1"/>
    <w:uiPriority w:val="0"/>
    <w:pPr>
      <w:autoSpaceDE/>
      <w:autoSpaceDN/>
      <w:spacing w:after="120"/>
      <w:ind w:left="420" w:firstLine="420"/>
      <w:jc w:val="both"/>
    </w:pPr>
    <w:rPr>
      <w:rFonts w:ascii="Times New Roman" w:hAnsi="Times New Roman" w:cs="Times New Roman"/>
      <w:kern w:val="2"/>
      <w:sz w:val="24"/>
      <w:szCs w:val="20"/>
      <w:lang w:val="en-US" w:bidi="ar-SA"/>
    </w:rPr>
  </w:style>
  <w:style w:type="paragraph" w:customStyle="1" w:styleId="2551">
    <w:name w:val="Знак Знак11"/>
    <w:basedOn w:val="1"/>
    <w:uiPriority w:val="0"/>
    <w:pPr>
      <w:autoSpaceDE/>
      <w:autoSpaceDN/>
      <w:jc w:val="both"/>
    </w:pPr>
    <w:rPr>
      <w:rFonts w:ascii="Times New Roman" w:hAnsi="Times New Roman" w:cs="Times New Roman"/>
      <w:kern w:val="2"/>
      <w:sz w:val="21"/>
      <w:szCs w:val="24"/>
      <w:lang w:val="en-US" w:bidi="ar-SA"/>
    </w:rPr>
  </w:style>
  <w:style w:type="paragraph" w:customStyle="1" w:styleId="2552">
    <w:name w:val="xl204"/>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553">
    <w:name w:val="xl220"/>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554">
    <w:name w:val="xl210"/>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555">
    <w:name w:val="xl132"/>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rFonts w:ascii="Calibri" w:hAnsi="Calibri"/>
      <w:b/>
      <w:bCs/>
      <w:sz w:val="21"/>
      <w:szCs w:val="21"/>
      <w:lang w:val="en-US" w:bidi="ar-SA"/>
    </w:rPr>
  </w:style>
  <w:style w:type="paragraph" w:customStyle="1" w:styleId="2556">
    <w:name w:val="样式 宋体 10 磅 左 行距: 单倍行距"/>
    <w:basedOn w:val="1"/>
    <w:uiPriority w:val="0"/>
    <w:pPr>
      <w:autoSpaceDE/>
      <w:autoSpaceDN/>
      <w:adjustRightInd w:val="0"/>
      <w:snapToGrid w:val="0"/>
      <w:jc w:val="center"/>
    </w:pPr>
    <w:rPr>
      <w:rFonts w:hAnsi="Times New Roman"/>
      <w:sz w:val="20"/>
      <w:szCs w:val="20"/>
      <w:lang w:val="en-US" w:bidi="ar-SA"/>
    </w:rPr>
  </w:style>
  <w:style w:type="paragraph" w:customStyle="1" w:styleId="2557">
    <w:name w:val="日期3"/>
    <w:basedOn w:val="1"/>
    <w:next w:val="1"/>
    <w:uiPriority w:val="0"/>
    <w:pPr>
      <w:autoSpaceDE/>
      <w:autoSpaceDN/>
      <w:jc w:val="both"/>
    </w:pPr>
    <w:rPr>
      <w:rFonts w:hAnsi="Times New Roman" w:cs="Times New Roman"/>
      <w:kern w:val="2"/>
      <w:sz w:val="28"/>
      <w:szCs w:val="20"/>
      <w:lang w:val="en-US" w:bidi="ar-SA"/>
    </w:rPr>
  </w:style>
  <w:style w:type="paragraph" w:customStyle="1" w:styleId="2558">
    <w:name w:val="zw"/>
    <w:basedOn w:val="1"/>
    <w:uiPriority w:val="0"/>
    <w:pPr>
      <w:autoSpaceDE/>
      <w:autoSpaceDN/>
      <w:snapToGrid w:val="0"/>
      <w:spacing w:line="400" w:lineRule="exact"/>
      <w:jc w:val="both"/>
      <w:outlineLvl w:val="0"/>
    </w:pPr>
    <w:rPr>
      <w:rFonts w:ascii="Times New Roman" w:hAnsi="Times New Roman" w:eastAsia="楷体_GB2312" w:cs="Times New Roman"/>
      <w:kern w:val="2"/>
      <w:sz w:val="28"/>
      <w:szCs w:val="20"/>
      <w:lang w:val="en-US" w:bidi="ar-SA"/>
    </w:rPr>
  </w:style>
  <w:style w:type="paragraph" w:customStyle="1" w:styleId="2559">
    <w:name w:val="普通(网站)21"/>
    <w:basedOn w:val="1"/>
    <w:uiPriority w:val="0"/>
    <w:pPr>
      <w:widowControl/>
      <w:autoSpaceDE/>
      <w:autoSpaceDN/>
      <w:spacing w:before="100" w:beforeAutospacing="1" w:after="100" w:afterAutospacing="1"/>
    </w:pPr>
    <w:rPr>
      <w:sz w:val="24"/>
      <w:szCs w:val="24"/>
      <w:lang w:val="en-US" w:bidi="ar-SA"/>
    </w:rPr>
  </w:style>
  <w:style w:type="paragraph" w:customStyle="1" w:styleId="2560">
    <w:name w:val="标题 5 + 首行缩进:  2 字符"/>
    <w:basedOn w:val="7"/>
    <w:next w:val="1"/>
    <w:uiPriority w:val="0"/>
    <w:pPr>
      <w:tabs>
        <w:tab w:val="left" w:pos="1260"/>
      </w:tabs>
      <w:topLinePunct w:val="0"/>
      <w:spacing w:before="0" w:after="0" w:line="440" w:lineRule="exact"/>
      <w:ind w:firstLine="562"/>
      <w:jc w:val="both"/>
    </w:pPr>
    <w:rPr>
      <w:rFonts w:ascii="Times New Roman" w:eastAsia="宋体" w:cs="宋体"/>
      <w:kern w:val="2"/>
      <w:szCs w:val="20"/>
    </w:rPr>
  </w:style>
  <w:style w:type="paragraph" w:customStyle="1" w:styleId="2561">
    <w:name w:val="xl139"/>
    <w:basedOn w:val="1"/>
    <w:uiPriority w:val="0"/>
    <w:pPr>
      <w:widowControl/>
      <w:pBdr>
        <w:top w:val="single" w:color="auto" w:sz="4" w:space="0"/>
        <w:left w:val="single" w:color="auto" w:sz="4" w:space="0"/>
        <w:bottom w:val="single" w:color="auto" w:sz="4" w:space="0"/>
        <w:right w:val="single" w:color="auto" w:sz="4" w:space="0"/>
      </w:pBdr>
      <w:shd w:val="clear" w:color="auto" w:fill="FFFF00"/>
      <w:autoSpaceDE/>
      <w:autoSpaceDN/>
      <w:spacing w:before="100" w:beforeAutospacing="1" w:after="100" w:afterAutospacing="1"/>
    </w:pPr>
    <w:rPr>
      <w:b/>
      <w:bCs/>
      <w:sz w:val="24"/>
      <w:szCs w:val="24"/>
      <w:lang w:val="en-US" w:bidi="ar-SA"/>
    </w:rPr>
  </w:style>
  <w:style w:type="paragraph" w:customStyle="1" w:styleId="2562">
    <w:name w:val="Char Char2 Char Char Char Char Char Char Char Char Char Char Char Char Char Char"/>
    <w:basedOn w:val="1"/>
    <w:uiPriority w:val="0"/>
    <w:pPr>
      <w:autoSpaceDE/>
      <w:autoSpaceDN/>
      <w:spacing w:beforeLines="20" w:afterLines="20" w:line="300" w:lineRule="auto"/>
      <w:jc w:val="both"/>
    </w:pPr>
    <w:rPr>
      <w:rFonts w:ascii="Times New Roman" w:hAnsi="Times New Roman" w:cs="Times New Roman"/>
      <w:kern w:val="2"/>
      <w:sz w:val="28"/>
      <w:szCs w:val="24"/>
      <w:lang w:val="en-US" w:bidi="ar-SA"/>
    </w:rPr>
  </w:style>
  <w:style w:type="paragraph" w:customStyle="1" w:styleId="2563">
    <w:name w:val="目录一级标题"/>
    <w:basedOn w:val="2262"/>
    <w:uiPriority w:val="0"/>
    <w:pPr>
      <w:jc w:val="left"/>
    </w:pPr>
    <w:rPr>
      <w:rFonts w:eastAsia="宋体"/>
      <w:sz w:val="28"/>
    </w:rPr>
  </w:style>
  <w:style w:type="paragraph" w:customStyle="1" w:styleId="2564">
    <w:name w:val="xl171"/>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565">
    <w:name w:val="xl251"/>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566">
    <w:name w:val="正文二级"/>
    <w:basedOn w:val="1"/>
    <w:uiPriority w:val="0"/>
    <w:pPr>
      <w:tabs>
        <w:tab w:val="left" w:pos="0"/>
      </w:tabs>
      <w:autoSpaceDE/>
      <w:autoSpaceDN/>
      <w:spacing w:before="240" w:after="120"/>
      <w:jc w:val="both"/>
      <w:outlineLvl w:val="1"/>
    </w:pPr>
    <w:rPr>
      <w:rFonts w:ascii="Times New Roman" w:hAnsi="Times New Roman" w:eastAsia="黑体" w:cs="Times New Roman"/>
      <w:bCs/>
      <w:kern w:val="44"/>
      <w:sz w:val="32"/>
      <w:szCs w:val="36"/>
      <w:lang w:val="en-US" w:bidi="ar-SA"/>
    </w:rPr>
  </w:style>
  <w:style w:type="paragraph" w:customStyle="1" w:styleId="2567">
    <w:name w:val="样式 表头 + 左侧:  0.99 字符 首行缩进:  3.19 厘米"/>
    <w:basedOn w:val="102"/>
    <w:uiPriority w:val="0"/>
    <w:pPr>
      <w:autoSpaceDE/>
      <w:autoSpaceDN/>
      <w:adjustRightInd w:val="0"/>
      <w:snapToGrid w:val="0"/>
      <w:spacing w:beforeLines="0" w:afterLines="0"/>
      <w:ind w:left="1120" w:leftChars="400" w:firstLine="480"/>
      <w:jc w:val="left"/>
    </w:pPr>
    <w:rPr>
      <w:rFonts w:ascii="Times New Roman" w:hAnsi="Times New Roman" w:eastAsia="宋体"/>
      <w:bCs/>
      <w:snapToGrid w:val="0"/>
      <w:kern w:val="0"/>
      <w:sz w:val="28"/>
      <w:szCs w:val="24"/>
      <w:lang w:bidi="ar-SA"/>
    </w:rPr>
  </w:style>
  <w:style w:type="paragraph" w:customStyle="1" w:styleId="2568">
    <w:name w:val="批注主题12"/>
    <w:basedOn w:val="26"/>
    <w:next w:val="26"/>
    <w:uiPriority w:val="0"/>
    <w:pPr>
      <w:autoSpaceDE/>
      <w:autoSpaceDN/>
      <w:adjustRightInd w:val="0"/>
      <w:snapToGrid w:val="0"/>
      <w:spacing w:line="480" w:lineRule="exact"/>
    </w:pPr>
    <w:rPr>
      <w:rFonts w:ascii="Times New Roman" w:hAnsi="Times New Roman" w:cs="Times New Roman"/>
      <w:b/>
      <w:bCs/>
      <w:kern w:val="2"/>
      <w:sz w:val="24"/>
      <w:szCs w:val="24"/>
      <w:lang w:val="en-US" w:bidi="ar-SA"/>
    </w:rPr>
  </w:style>
  <w:style w:type="paragraph" w:customStyle="1" w:styleId="2569">
    <w:name w:val="xl316"/>
    <w:basedOn w:val="1"/>
    <w:uiPriority w:val="0"/>
    <w:pPr>
      <w:widowControl/>
      <w:pBdr>
        <w:top w:val="single" w:color="auto" w:sz="4" w:space="0"/>
        <w:right w:val="single" w:color="auto" w:sz="4" w:space="0"/>
      </w:pBdr>
      <w:shd w:val="clear" w:color="auto" w:fill="FFCC00"/>
      <w:autoSpaceDE/>
      <w:autoSpaceDN/>
      <w:spacing w:before="100" w:beforeAutospacing="1" w:after="100" w:afterAutospacing="1"/>
      <w:jc w:val="center"/>
    </w:pPr>
    <w:rPr>
      <w:rFonts w:ascii="方正综艺简体" w:eastAsia="方正综艺简体"/>
      <w:color w:val="000000"/>
      <w:sz w:val="20"/>
      <w:szCs w:val="20"/>
      <w:lang w:val="en-US" w:bidi="ar-SA"/>
    </w:rPr>
  </w:style>
  <w:style w:type="paragraph" w:customStyle="1" w:styleId="2570">
    <w:name w:val="xl134"/>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b/>
      <w:bCs/>
      <w:sz w:val="21"/>
      <w:szCs w:val="21"/>
      <w:lang w:val="en-US" w:bidi="ar-SA"/>
    </w:rPr>
  </w:style>
  <w:style w:type="paragraph" w:customStyle="1" w:styleId="2571">
    <w:name w:val="xl236"/>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572">
    <w:name w:val="样式 标题 2节标题 + 小三 加粗 段前: 6 磅 行距: 1.5 倍行距"/>
    <w:basedOn w:val="4"/>
    <w:uiPriority w:val="0"/>
    <w:pPr>
      <w:keepNext/>
      <w:keepLines/>
      <w:autoSpaceDE/>
      <w:autoSpaceDN/>
      <w:adjustRightInd w:val="0"/>
      <w:snapToGrid w:val="0"/>
      <w:spacing w:before="240" w:after="240"/>
      <w:ind w:left="0" w:firstLine="0"/>
      <w:jc w:val="center"/>
    </w:pPr>
    <w:rPr>
      <w:rFonts w:ascii="Times New Roman" w:hAnsi="Times New Roman" w:eastAsia="黑体"/>
      <w:b/>
      <w:bCs/>
      <w:kern w:val="2"/>
      <w:szCs w:val="20"/>
      <w:lang w:val="en-US" w:bidi="ar-SA"/>
    </w:rPr>
  </w:style>
  <w:style w:type="paragraph" w:customStyle="1" w:styleId="2573">
    <w:name w:val="样式 标题3 + 黑体 行距: 固定值 23 磅"/>
    <w:basedOn w:val="1"/>
    <w:uiPriority w:val="0"/>
    <w:pPr>
      <w:keepNext/>
      <w:keepLines/>
      <w:topLinePunct/>
      <w:autoSpaceDE/>
      <w:autoSpaceDN/>
      <w:adjustRightInd w:val="0"/>
      <w:spacing w:line="460" w:lineRule="exact"/>
      <w:jc w:val="both"/>
      <w:outlineLvl w:val="2"/>
    </w:pPr>
    <w:rPr>
      <w:rFonts w:ascii="Times New Roman" w:hAnsi="Times New Roman" w:eastAsia="楷体_GB2312"/>
      <w:b/>
      <w:color w:val="000000"/>
      <w:sz w:val="28"/>
      <w:szCs w:val="20"/>
      <w:lang w:val="en-US" w:bidi="ar-SA"/>
    </w:rPr>
  </w:style>
  <w:style w:type="paragraph" w:customStyle="1" w:styleId="2574">
    <w:name w:val="xl201"/>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575">
    <w:name w:val="xl280"/>
    <w:basedOn w:val="1"/>
    <w:uiPriority w:val="0"/>
    <w:pPr>
      <w:widowControl/>
      <w:pBdr>
        <w:left w:val="single" w:color="auto" w:sz="4" w:space="0"/>
        <w:bottom w:val="single" w:color="auto" w:sz="4" w:space="0"/>
        <w:right w:val="single" w:color="auto" w:sz="4" w:space="0"/>
      </w:pBdr>
      <w:shd w:val="clear" w:color="auto" w:fill="FF8080"/>
      <w:autoSpaceDE/>
      <w:autoSpaceDN/>
      <w:spacing w:before="100" w:beforeAutospacing="1" w:after="100" w:afterAutospacing="1"/>
      <w:jc w:val="center"/>
    </w:pPr>
    <w:rPr>
      <w:rFonts w:ascii="方正综艺简体" w:eastAsia="方正综艺简体"/>
      <w:sz w:val="20"/>
      <w:szCs w:val="20"/>
      <w:lang w:val="en-US" w:bidi="ar-SA"/>
    </w:rPr>
  </w:style>
  <w:style w:type="paragraph" w:customStyle="1" w:styleId="2576">
    <w:name w:val="正文居中"/>
    <w:basedOn w:val="1"/>
    <w:uiPriority w:val="0"/>
    <w:pPr>
      <w:autoSpaceDE/>
      <w:autoSpaceDN/>
      <w:jc w:val="center"/>
    </w:pPr>
    <w:rPr>
      <w:rFonts w:ascii="Times New Roman" w:hAnsi="Times New Roman" w:cs="Times New Roman"/>
      <w:kern w:val="2"/>
      <w:sz w:val="21"/>
      <w:szCs w:val="20"/>
      <w:lang w:val="en-US" w:bidi="ar-SA"/>
    </w:rPr>
  </w:style>
  <w:style w:type="paragraph" w:customStyle="1" w:styleId="2577">
    <w:name w:val="正文文本 311"/>
    <w:basedOn w:val="1"/>
    <w:uiPriority w:val="0"/>
    <w:pPr>
      <w:autoSpaceDE/>
      <w:autoSpaceDN/>
      <w:spacing w:line="240" w:lineRule="exact"/>
      <w:jc w:val="both"/>
    </w:pPr>
    <w:rPr>
      <w:rFonts w:ascii="Times New Roman" w:hAnsi="Times New Roman" w:cs="Times New Roman"/>
      <w:kern w:val="2"/>
      <w:sz w:val="18"/>
      <w:szCs w:val="20"/>
      <w:lang w:val="en-US" w:bidi="ar-SA"/>
    </w:rPr>
  </w:style>
  <w:style w:type="paragraph" w:customStyle="1" w:styleId="2578">
    <w:name w:val="索引 12"/>
    <w:basedOn w:val="1"/>
    <w:next w:val="1"/>
    <w:uiPriority w:val="0"/>
    <w:pPr>
      <w:autoSpaceDE/>
      <w:autoSpaceDN/>
      <w:spacing w:line="360" w:lineRule="exact"/>
      <w:jc w:val="center"/>
    </w:pPr>
    <w:rPr>
      <w:rFonts w:cs="Times New Roman"/>
      <w:kern w:val="2"/>
      <w:sz w:val="21"/>
      <w:szCs w:val="24"/>
      <w:lang w:val="en-US" w:bidi="ar-SA"/>
    </w:rPr>
  </w:style>
  <w:style w:type="paragraph" w:customStyle="1" w:styleId="2579">
    <w:name w:val="121"/>
    <w:basedOn w:val="1"/>
    <w:uiPriority w:val="0"/>
    <w:pPr>
      <w:autoSpaceDE/>
      <w:autoSpaceDN/>
      <w:adjustRightInd w:val="0"/>
      <w:spacing w:before="120" w:line="460" w:lineRule="exact"/>
      <w:jc w:val="center"/>
      <w:outlineLvl w:val="3"/>
    </w:pPr>
    <w:rPr>
      <w:rFonts w:ascii="Times New Roman" w:hAnsi="Times New Roman" w:eastAsia="黑体" w:cs="Times New Roman"/>
      <w:sz w:val="24"/>
      <w:szCs w:val="24"/>
      <w:lang w:val="en-US" w:bidi="ar-SA"/>
    </w:rPr>
  </w:style>
  <w:style w:type="paragraph" w:customStyle="1" w:styleId="2580">
    <w:name w:val="xl177"/>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581">
    <w:name w:val="日期21"/>
    <w:basedOn w:val="1"/>
    <w:next w:val="1"/>
    <w:uiPriority w:val="0"/>
    <w:pPr>
      <w:autoSpaceDE/>
      <w:autoSpaceDN/>
      <w:jc w:val="both"/>
    </w:pPr>
    <w:rPr>
      <w:rFonts w:hAnsi="Times New Roman" w:cs="Times New Roman"/>
      <w:kern w:val="2"/>
      <w:sz w:val="28"/>
      <w:szCs w:val="20"/>
      <w:lang w:val="en-US" w:bidi="ar-SA"/>
    </w:rPr>
  </w:style>
  <w:style w:type="paragraph" w:customStyle="1" w:styleId="2582">
    <w:name w:val="xl2133"/>
    <w:basedOn w:val="1"/>
    <w:uiPriority w:val="0"/>
    <w:pPr>
      <w:widowControl/>
      <w:pBdr>
        <w:top w:val="single" w:color="auto" w:sz="4" w:space="0"/>
        <w:left w:val="single" w:color="auto" w:sz="4" w:space="0"/>
        <w:bottom w:val="single" w:color="auto" w:sz="4" w:space="0"/>
        <w:right w:val="single" w:color="auto" w:sz="4" w:space="0"/>
      </w:pBdr>
      <w:shd w:val="clear" w:color="auto" w:fill="FFFF00"/>
      <w:autoSpaceDE/>
      <w:autoSpaceDN/>
      <w:spacing w:before="100" w:beforeAutospacing="1" w:after="100" w:afterAutospacing="1"/>
    </w:pPr>
    <w:rPr>
      <w:rFonts w:ascii="Times New Roman" w:hAnsi="Times New Roman" w:cs="Times New Roman"/>
      <w:b/>
      <w:bCs/>
      <w:sz w:val="21"/>
      <w:szCs w:val="21"/>
      <w:lang w:val="en-US" w:bidi="ar-SA"/>
    </w:rPr>
  </w:style>
  <w:style w:type="paragraph" w:customStyle="1" w:styleId="2583">
    <w:name w:val="xl310"/>
    <w:basedOn w:val="1"/>
    <w:uiPriority w:val="0"/>
    <w:pPr>
      <w:widowControl/>
      <w:pBdr>
        <w:bottom w:val="single" w:color="auto" w:sz="4" w:space="0"/>
      </w:pBdr>
      <w:shd w:val="clear" w:color="auto" w:fill="FF8080"/>
      <w:autoSpaceDE/>
      <w:autoSpaceDN/>
      <w:spacing w:before="100" w:beforeAutospacing="1" w:after="100" w:afterAutospacing="1"/>
      <w:jc w:val="center"/>
    </w:pPr>
    <w:rPr>
      <w:rFonts w:ascii="方正综艺简体" w:eastAsia="方正综艺简体"/>
      <w:sz w:val="20"/>
      <w:szCs w:val="20"/>
      <w:lang w:val="en-US" w:bidi="ar-SA"/>
    </w:rPr>
  </w:style>
  <w:style w:type="paragraph" w:customStyle="1" w:styleId="2584">
    <w:name w:val="xl2142"/>
    <w:basedOn w:val="1"/>
    <w:uiPriority w:val="0"/>
    <w:pPr>
      <w:widowControl/>
      <w:pBdr>
        <w:top w:val="single" w:color="auto" w:sz="4" w:space="0"/>
        <w:left w:val="single" w:color="auto" w:sz="4" w:space="0"/>
        <w:bottom w:val="single" w:color="auto" w:sz="4" w:space="0"/>
        <w:right w:val="single" w:color="auto" w:sz="4" w:space="0"/>
      </w:pBdr>
      <w:shd w:val="clear" w:color="auto" w:fill="FFFF00"/>
      <w:autoSpaceDE/>
      <w:autoSpaceDN/>
      <w:spacing w:before="100" w:beforeAutospacing="1" w:after="100" w:afterAutospacing="1"/>
      <w:jc w:val="center"/>
    </w:pPr>
    <w:rPr>
      <w:b/>
      <w:bCs/>
      <w:sz w:val="24"/>
      <w:szCs w:val="24"/>
      <w:lang w:val="en-US" w:bidi="ar-SA"/>
    </w:rPr>
  </w:style>
  <w:style w:type="paragraph" w:customStyle="1" w:styleId="2585">
    <w:name w:val="xl239"/>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586">
    <w:name w:val="Char Char Char Char Char Char Char Char Char Char11"/>
    <w:basedOn w:val="1"/>
    <w:uiPriority w:val="0"/>
    <w:pPr>
      <w:autoSpaceDE/>
      <w:autoSpaceDN/>
      <w:jc w:val="both"/>
    </w:pPr>
    <w:rPr>
      <w:rFonts w:ascii="Times New Roman" w:hAnsi="Times New Roman" w:cs="Times New Roman"/>
      <w:kern w:val="2"/>
      <w:sz w:val="21"/>
      <w:szCs w:val="24"/>
      <w:lang w:val="en-US" w:bidi="ar-SA"/>
    </w:rPr>
  </w:style>
  <w:style w:type="paragraph" w:customStyle="1" w:styleId="2587">
    <w:name w:val="xl298"/>
    <w:basedOn w:val="1"/>
    <w:uiPriority w:val="0"/>
    <w:pPr>
      <w:widowControl/>
      <w:pBdr>
        <w:left w:val="single" w:color="auto" w:sz="4" w:space="0"/>
      </w:pBdr>
      <w:shd w:val="clear" w:color="auto" w:fill="FF8080"/>
      <w:autoSpaceDE/>
      <w:autoSpaceDN/>
      <w:spacing w:before="100" w:beforeAutospacing="1" w:after="100" w:afterAutospacing="1"/>
      <w:jc w:val="center"/>
    </w:pPr>
    <w:rPr>
      <w:rFonts w:ascii="方正综艺简体" w:eastAsia="方正综艺简体"/>
      <w:sz w:val="20"/>
      <w:szCs w:val="20"/>
      <w:lang w:val="en-US" w:bidi="ar-SA"/>
    </w:rPr>
  </w:style>
  <w:style w:type="paragraph" w:customStyle="1" w:styleId="2588">
    <w:name w:val="正文四级标题"/>
    <w:basedOn w:val="1"/>
    <w:uiPriority w:val="0"/>
    <w:pPr>
      <w:autoSpaceDE/>
      <w:autoSpaceDN/>
      <w:adjustRightInd w:val="0"/>
      <w:snapToGrid w:val="0"/>
      <w:spacing w:line="480" w:lineRule="exact"/>
      <w:ind w:firstLine="560" w:firstLineChars="200"/>
      <w:jc w:val="both"/>
    </w:pPr>
    <w:rPr>
      <w:rFonts w:cs="Times New Roman"/>
      <w:bCs/>
      <w:sz w:val="28"/>
      <w:szCs w:val="28"/>
      <w:lang w:val="en-US" w:bidi="ar-SA"/>
    </w:rPr>
  </w:style>
  <w:style w:type="paragraph" w:customStyle="1" w:styleId="2589">
    <w:name w:val="xl2135"/>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b/>
      <w:bCs/>
      <w:color w:val="FF0000"/>
      <w:sz w:val="21"/>
      <w:szCs w:val="21"/>
      <w:lang w:val="en-US" w:bidi="ar-SA"/>
    </w:rPr>
  </w:style>
  <w:style w:type="paragraph" w:customStyle="1" w:styleId="2590">
    <w:name w:val="索引 61"/>
    <w:basedOn w:val="1"/>
    <w:next w:val="1"/>
    <w:uiPriority w:val="0"/>
    <w:pPr>
      <w:autoSpaceDE/>
      <w:autoSpaceDN/>
      <w:spacing w:line="480" w:lineRule="exact"/>
      <w:ind w:left="1000" w:leftChars="1000"/>
      <w:jc w:val="both"/>
    </w:pPr>
    <w:rPr>
      <w:rFonts w:ascii="Times New Roman" w:hAnsi="Times New Roman" w:cs="Times New Roman"/>
      <w:kern w:val="2"/>
      <w:sz w:val="24"/>
      <w:szCs w:val="24"/>
      <w:lang w:val="en-US" w:bidi="ar-SA"/>
    </w:rPr>
  </w:style>
  <w:style w:type="paragraph" w:customStyle="1" w:styleId="2591">
    <w:name w:val="xl244"/>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sz w:val="20"/>
      <w:szCs w:val="20"/>
      <w:lang w:val="en-US" w:bidi="ar-SA"/>
    </w:rPr>
  </w:style>
  <w:style w:type="paragraph" w:customStyle="1" w:styleId="2592">
    <w:name w:val="xl242"/>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593">
    <w:name w:val="xl250"/>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594">
    <w:name w:val="普通(网站)3"/>
    <w:basedOn w:val="1"/>
    <w:uiPriority w:val="0"/>
    <w:pPr>
      <w:widowControl/>
      <w:autoSpaceDE/>
      <w:autoSpaceDN/>
      <w:spacing w:before="100" w:beforeAutospacing="1" w:after="100" w:afterAutospacing="1"/>
    </w:pPr>
    <w:rPr>
      <w:sz w:val="24"/>
      <w:szCs w:val="24"/>
      <w:lang w:val="en-US" w:bidi="ar-SA"/>
    </w:rPr>
  </w:style>
  <w:style w:type="paragraph" w:customStyle="1" w:styleId="2595">
    <w:name w:val="xl181"/>
    <w:basedOn w:val="1"/>
    <w:uiPriority w:val="0"/>
    <w:pPr>
      <w:widowControl/>
      <w:pBdr>
        <w:top w:val="single" w:color="auto" w:sz="4" w:space="0"/>
        <w:left w:val="single" w:color="auto" w:sz="4" w:space="0"/>
        <w:bottom w:val="single" w:color="auto" w:sz="4" w:space="0"/>
        <w:right w:val="single" w:color="auto" w:sz="4" w:space="0"/>
      </w:pBdr>
      <w:shd w:val="clear" w:color="auto" w:fill="FFFF00"/>
      <w:autoSpaceDE/>
      <w:autoSpaceDN/>
      <w:spacing w:before="100" w:beforeAutospacing="1" w:after="100" w:afterAutospacing="1"/>
    </w:pPr>
    <w:rPr>
      <w:color w:val="000000"/>
      <w:sz w:val="20"/>
      <w:szCs w:val="20"/>
      <w:lang w:val="en-US" w:bidi="ar-SA"/>
    </w:rPr>
  </w:style>
  <w:style w:type="paragraph" w:customStyle="1" w:styleId="2596">
    <w:name w:val="四级"/>
    <w:basedOn w:val="1595"/>
    <w:uiPriority w:val="0"/>
    <w:pPr>
      <w:adjustRightInd/>
      <w:snapToGrid w:val="0"/>
      <w:ind w:firstLine="0"/>
      <w:textAlignment w:val="auto"/>
    </w:pPr>
    <w:rPr>
      <w:rFonts w:ascii="Times New Roman" w:hAnsi="Times New Roman" w:eastAsia="楷体_GB2312"/>
    </w:rPr>
  </w:style>
  <w:style w:type="paragraph" w:customStyle="1" w:styleId="2597">
    <w:name w:val="正文缩进11"/>
    <w:basedOn w:val="1"/>
    <w:uiPriority w:val="0"/>
    <w:pPr>
      <w:autoSpaceDE/>
      <w:autoSpaceDN/>
      <w:adjustRightInd w:val="0"/>
      <w:snapToGrid w:val="0"/>
      <w:spacing w:line="480" w:lineRule="exact"/>
      <w:ind w:firstLine="200" w:firstLineChars="200"/>
      <w:jc w:val="both"/>
    </w:pPr>
    <w:rPr>
      <w:rFonts w:ascii="Times New Roman" w:hAnsi="Times New Roman" w:eastAsia="方正仿宋简体" w:cs="Times New Roman"/>
      <w:kern w:val="2"/>
      <w:sz w:val="28"/>
      <w:szCs w:val="24"/>
      <w:lang w:val="en-US" w:bidi="ar-SA"/>
    </w:rPr>
  </w:style>
  <w:style w:type="paragraph" w:customStyle="1" w:styleId="2598">
    <w:name w:val="xl187"/>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599">
    <w:name w:val="xl2151"/>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right"/>
    </w:pPr>
    <w:rPr>
      <w:sz w:val="24"/>
      <w:szCs w:val="24"/>
      <w:lang w:val="en-US" w:bidi="ar-SA"/>
    </w:rPr>
  </w:style>
  <w:style w:type="paragraph" w:customStyle="1" w:styleId="2600">
    <w:name w:val="xl241"/>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601">
    <w:name w:val="xl288"/>
    <w:basedOn w:val="1"/>
    <w:uiPriority w:val="0"/>
    <w:pPr>
      <w:widowControl/>
      <w:pBdr>
        <w:top w:val="single" w:color="auto" w:sz="4" w:space="0"/>
        <w:left w:val="single" w:color="auto" w:sz="4" w:space="0"/>
        <w:right w:val="single" w:color="auto" w:sz="4" w:space="0"/>
      </w:pBdr>
      <w:autoSpaceDE/>
      <w:autoSpaceDN/>
      <w:spacing w:before="100" w:beforeAutospacing="1" w:after="100" w:afterAutospacing="1"/>
    </w:pPr>
    <w:rPr>
      <w:color w:val="0000FF"/>
      <w:sz w:val="20"/>
      <w:szCs w:val="20"/>
      <w:lang w:val="en-US" w:bidi="ar-SA"/>
    </w:rPr>
  </w:style>
  <w:style w:type="paragraph" w:customStyle="1" w:styleId="2602">
    <w:name w:val="xl168"/>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603">
    <w:name w:val="列表 311"/>
    <w:basedOn w:val="1"/>
    <w:uiPriority w:val="0"/>
    <w:pPr>
      <w:autoSpaceDE/>
      <w:autoSpaceDN/>
      <w:ind w:left="1260" w:hanging="420"/>
      <w:jc w:val="both"/>
    </w:pPr>
    <w:rPr>
      <w:rFonts w:ascii="Times New Roman" w:hAnsi="Times New Roman" w:cs="Times New Roman"/>
      <w:kern w:val="2"/>
      <w:sz w:val="21"/>
      <w:szCs w:val="24"/>
      <w:lang w:val="en-US" w:bidi="ar-SA"/>
    </w:rPr>
  </w:style>
  <w:style w:type="paragraph" w:customStyle="1" w:styleId="2604">
    <w:name w:val="样式 样式 标题 3 + 首行缩进:  2 字符 + 首行缩进:  2 字符"/>
    <w:basedOn w:val="1"/>
    <w:uiPriority w:val="0"/>
    <w:pPr>
      <w:keepNext/>
      <w:keepLines/>
      <w:tabs>
        <w:tab w:val="left" w:pos="3900"/>
      </w:tabs>
      <w:autoSpaceDE/>
      <w:autoSpaceDN/>
      <w:adjustRightInd w:val="0"/>
      <w:snapToGrid w:val="0"/>
      <w:spacing w:beforeLines="50" w:line="480" w:lineRule="exact"/>
      <w:ind w:firstLine="620" w:firstLineChars="200"/>
      <w:jc w:val="both"/>
      <w:outlineLvl w:val="2"/>
    </w:pPr>
    <w:rPr>
      <w:rFonts w:ascii="Times New Roman" w:hAnsi="Times New Roman" w:eastAsia="黑体"/>
      <w:bCs/>
      <w:color w:val="000000"/>
      <w:sz w:val="24"/>
      <w:szCs w:val="20"/>
      <w:lang w:val="en-US" w:bidi="ar-SA"/>
    </w:rPr>
  </w:style>
  <w:style w:type="paragraph" w:customStyle="1" w:styleId="2605">
    <w:name w:val="xl294"/>
    <w:basedOn w:val="1"/>
    <w:uiPriority w:val="0"/>
    <w:pPr>
      <w:widowControl/>
      <w:pBdr>
        <w:top w:val="single" w:color="auto" w:sz="4" w:space="0"/>
        <w:left w:val="single" w:color="auto" w:sz="4" w:space="0"/>
      </w:pBdr>
      <w:shd w:val="clear" w:color="auto" w:fill="FF8080"/>
      <w:autoSpaceDE/>
      <w:autoSpaceDN/>
      <w:spacing w:before="100" w:beforeAutospacing="1" w:after="100" w:afterAutospacing="1"/>
      <w:jc w:val="center"/>
    </w:pPr>
    <w:rPr>
      <w:rFonts w:ascii="方正综艺简体" w:eastAsia="方正综艺简体"/>
      <w:sz w:val="20"/>
      <w:szCs w:val="20"/>
      <w:lang w:val="en-US" w:bidi="ar-SA"/>
    </w:rPr>
  </w:style>
  <w:style w:type="paragraph" w:customStyle="1" w:styleId="2606">
    <w:name w:val="文本块3"/>
    <w:basedOn w:val="1"/>
    <w:uiPriority w:val="0"/>
    <w:pPr>
      <w:autoSpaceDE/>
      <w:autoSpaceDN/>
      <w:spacing w:line="480" w:lineRule="exact"/>
      <w:ind w:left="-143" w:leftChars="-68" w:right="-120" w:rightChars="-57"/>
      <w:jc w:val="center"/>
    </w:pPr>
    <w:rPr>
      <w:rFonts w:cs="Times New Roman"/>
      <w:color w:val="000000"/>
      <w:kern w:val="2"/>
      <w:sz w:val="24"/>
      <w:szCs w:val="24"/>
      <w:lang w:val="en-US" w:bidi="ar-SA"/>
    </w:rPr>
  </w:style>
  <w:style w:type="paragraph" w:customStyle="1" w:styleId="2607">
    <w:name w:val="索引 71"/>
    <w:basedOn w:val="1"/>
    <w:next w:val="1"/>
    <w:uiPriority w:val="0"/>
    <w:pPr>
      <w:autoSpaceDE/>
      <w:autoSpaceDN/>
      <w:spacing w:line="480" w:lineRule="exact"/>
      <w:ind w:left="1200" w:leftChars="1200"/>
      <w:jc w:val="both"/>
    </w:pPr>
    <w:rPr>
      <w:rFonts w:ascii="Times New Roman" w:hAnsi="Times New Roman" w:cs="Times New Roman"/>
      <w:kern w:val="2"/>
      <w:sz w:val="24"/>
      <w:szCs w:val="24"/>
      <w:lang w:val="en-US" w:bidi="ar-SA"/>
    </w:rPr>
  </w:style>
  <w:style w:type="paragraph" w:customStyle="1" w:styleId="2608">
    <w:name w:val="封面副标题"/>
    <w:basedOn w:val="2175"/>
    <w:uiPriority w:val="0"/>
    <w:pPr>
      <w:spacing w:line="1100" w:lineRule="exact"/>
    </w:pPr>
    <w:rPr>
      <w:sz w:val="44"/>
    </w:rPr>
  </w:style>
  <w:style w:type="paragraph" w:customStyle="1" w:styleId="2609">
    <w:name w:val="xl197"/>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610">
    <w:name w:val="文档结构图22"/>
    <w:basedOn w:val="1"/>
    <w:uiPriority w:val="0"/>
    <w:pPr>
      <w:shd w:val="clear" w:color="auto" w:fill="000080"/>
      <w:autoSpaceDE/>
      <w:autoSpaceDN/>
      <w:adjustRightInd w:val="0"/>
      <w:snapToGrid w:val="0"/>
      <w:spacing w:line="480" w:lineRule="exact"/>
      <w:ind w:firstLine="560" w:firstLineChars="200"/>
      <w:jc w:val="both"/>
    </w:pPr>
    <w:rPr>
      <w:rFonts w:ascii="Times New Roman" w:hAnsi="Times New Roman" w:cs="Times New Roman"/>
      <w:sz w:val="28"/>
      <w:szCs w:val="24"/>
      <w:lang w:val="en-US" w:bidi="ar-SA"/>
    </w:rPr>
  </w:style>
  <w:style w:type="paragraph" w:customStyle="1" w:styleId="2611">
    <w:name w:val="样式 正文缩进 + 仿宋_GB2312 行距: 固定值 20 磅"/>
    <w:basedOn w:val="20"/>
    <w:uiPriority w:val="0"/>
    <w:pPr>
      <w:topLinePunct/>
      <w:autoSpaceDE/>
      <w:autoSpaceDN/>
      <w:adjustRightInd w:val="0"/>
      <w:spacing w:line="400" w:lineRule="exact"/>
      <w:ind w:firstLine="560" w:firstLineChars="200"/>
      <w:jc w:val="both"/>
    </w:pPr>
    <w:rPr>
      <w:rFonts w:ascii="仿宋_GB2312" w:hAnsi="Times New Roman" w:eastAsia="仿宋_GB2312"/>
      <w:kern w:val="2"/>
      <w:sz w:val="24"/>
      <w:szCs w:val="20"/>
      <w:lang w:val="en-US" w:bidi="ar-SA"/>
    </w:rPr>
  </w:style>
  <w:style w:type="paragraph" w:customStyle="1" w:styleId="2612">
    <w:name w:val="xl180"/>
    <w:basedOn w:val="1"/>
    <w:uiPriority w:val="0"/>
    <w:pPr>
      <w:widowControl/>
      <w:pBdr>
        <w:top w:val="single" w:color="auto" w:sz="4" w:space="0"/>
        <w:left w:val="single" w:color="auto" w:sz="4" w:space="0"/>
        <w:bottom w:val="single" w:color="auto" w:sz="4" w:space="0"/>
        <w:right w:val="single" w:color="auto" w:sz="4" w:space="0"/>
      </w:pBdr>
      <w:shd w:val="clear" w:color="auto" w:fill="99CCFF"/>
      <w:autoSpaceDE/>
      <w:autoSpaceDN/>
      <w:spacing w:before="100" w:beforeAutospacing="1" w:after="100" w:afterAutospacing="1"/>
      <w:jc w:val="center"/>
    </w:pPr>
    <w:rPr>
      <w:rFonts w:ascii="方正综艺简体" w:eastAsia="方正综艺简体"/>
      <w:color w:val="000000"/>
      <w:sz w:val="20"/>
      <w:szCs w:val="20"/>
      <w:lang w:val="en-US" w:bidi="ar-SA"/>
    </w:rPr>
  </w:style>
  <w:style w:type="paragraph" w:customStyle="1" w:styleId="2613">
    <w:name w:val="样式 标题 4图标题1.1.1.1标题 4 Char + 首行缩进:  2 字符"/>
    <w:basedOn w:val="6"/>
    <w:uiPriority w:val="0"/>
    <w:pPr>
      <w:keepNext w:val="0"/>
      <w:keepLines w:val="0"/>
      <w:adjustRightInd w:val="0"/>
      <w:snapToGrid w:val="0"/>
      <w:spacing w:before="0" w:after="0" w:line="460" w:lineRule="exact"/>
      <w:ind w:firstLine="602" w:firstLineChars="200"/>
    </w:pPr>
    <w:rPr>
      <w:rFonts w:ascii="Times New Roman" w:hAnsi="Times New Roman" w:eastAsia="楷体_GB2312" w:cs="宋体"/>
      <w:kern w:val="0"/>
      <w:sz w:val="30"/>
      <w:szCs w:val="20"/>
    </w:rPr>
  </w:style>
  <w:style w:type="paragraph" w:customStyle="1" w:styleId="2614">
    <w:name w:val="xl248"/>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color w:val="0000FF"/>
      <w:sz w:val="20"/>
      <w:szCs w:val="20"/>
      <w:lang w:val="en-US" w:bidi="ar-SA"/>
    </w:rPr>
  </w:style>
  <w:style w:type="paragraph" w:customStyle="1" w:styleId="2615">
    <w:name w:val="xl2138"/>
    <w:basedOn w:val="1"/>
    <w:uiPriority w:val="0"/>
    <w:pPr>
      <w:widowControl/>
      <w:pBdr>
        <w:top w:val="single" w:color="auto" w:sz="4" w:space="0"/>
        <w:left w:val="single" w:color="auto" w:sz="4" w:space="0"/>
        <w:bottom w:val="single" w:color="auto" w:sz="4" w:space="0"/>
        <w:right w:val="single" w:color="auto" w:sz="4" w:space="0"/>
      </w:pBdr>
      <w:shd w:val="clear" w:color="auto" w:fill="FFFF00"/>
      <w:autoSpaceDE/>
      <w:autoSpaceDN/>
      <w:spacing w:before="100" w:beforeAutospacing="1" w:after="100" w:afterAutospacing="1"/>
      <w:jc w:val="center"/>
    </w:pPr>
    <w:rPr>
      <w:b/>
      <w:bCs/>
      <w:lang w:val="en-US" w:bidi="ar-SA"/>
    </w:rPr>
  </w:style>
  <w:style w:type="paragraph" w:customStyle="1" w:styleId="2616">
    <w:name w:val="正文一级标题"/>
    <w:basedOn w:val="1"/>
    <w:uiPriority w:val="0"/>
    <w:pPr>
      <w:autoSpaceDE/>
      <w:autoSpaceDN/>
      <w:spacing w:before="360" w:after="240"/>
      <w:jc w:val="center"/>
      <w:outlineLvl w:val="0"/>
    </w:pPr>
    <w:rPr>
      <w:rFonts w:ascii="Times New Roman" w:hAnsi="Times New Roman" w:eastAsia="楷体_GB2312" w:cs="Times New Roman"/>
      <w:kern w:val="2"/>
      <w:sz w:val="36"/>
      <w:szCs w:val="24"/>
      <w:lang w:val="en-US" w:bidi="ar-SA"/>
    </w:rPr>
  </w:style>
  <w:style w:type="paragraph" w:customStyle="1" w:styleId="2617">
    <w:name w:val="xl2136"/>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b/>
      <w:bCs/>
      <w:color w:val="FF0000"/>
      <w:sz w:val="21"/>
      <w:szCs w:val="21"/>
      <w:lang w:val="en-US" w:bidi="ar-SA"/>
    </w:rPr>
  </w:style>
  <w:style w:type="paragraph" w:customStyle="1" w:styleId="2618">
    <w:name w:val="Char9"/>
    <w:basedOn w:val="1"/>
    <w:uiPriority w:val="0"/>
    <w:pPr>
      <w:autoSpaceDE/>
      <w:autoSpaceDN/>
      <w:jc w:val="both"/>
    </w:pPr>
    <w:rPr>
      <w:rFonts w:ascii="Times New Roman" w:hAnsi="Times New Roman" w:cs="Times New Roman"/>
      <w:kern w:val="2"/>
      <w:sz w:val="21"/>
      <w:szCs w:val="24"/>
      <w:lang w:val="en-US" w:bidi="ar-SA"/>
    </w:rPr>
  </w:style>
  <w:style w:type="paragraph" w:customStyle="1" w:styleId="2619">
    <w:name w:val="xl162"/>
    <w:basedOn w:val="1"/>
    <w:uiPriority w:val="0"/>
    <w:pPr>
      <w:widowControl/>
      <w:pBdr>
        <w:top w:val="single" w:color="auto" w:sz="4" w:space="0"/>
        <w:left w:val="single" w:color="auto" w:sz="4" w:space="0"/>
        <w:bottom w:val="single" w:color="auto" w:sz="4" w:space="0"/>
        <w:right w:val="single" w:color="auto" w:sz="4" w:space="0"/>
      </w:pBdr>
      <w:shd w:val="clear" w:color="auto" w:fill="FFFF00"/>
      <w:autoSpaceDE/>
      <w:autoSpaceDN/>
      <w:spacing w:before="100" w:beforeAutospacing="1" w:after="100" w:afterAutospacing="1"/>
    </w:pPr>
    <w:rPr>
      <w:color w:val="000000"/>
      <w:sz w:val="20"/>
      <w:szCs w:val="20"/>
      <w:lang w:val="en-US" w:bidi="ar-SA"/>
    </w:rPr>
  </w:style>
  <w:style w:type="paragraph" w:customStyle="1" w:styleId="2620">
    <w:name w:val="xl133"/>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b/>
      <w:bCs/>
      <w:sz w:val="21"/>
      <w:szCs w:val="21"/>
      <w:lang w:val="en-US" w:bidi="ar-SA"/>
    </w:rPr>
  </w:style>
  <w:style w:type="paragraph" w:customStyle="1" w:styleId="2621">
    <w:name w:val="xl196"/>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622">
    <w:name w:val="xl237"/>
    <w:basedOn w:val="1"/>
    <w:uiPriority w:val="0"/>
    <w:pPr>
      <w:widowControl/>
      <w:pBdr>
        <w:top w:val="single" w:color="auto" w:sz="4" w:space="0"/>
        <w:left w:val="single" w:color="auto" w:sz="4" w:space="0"/>
        <w:bottom w:val="single" w:color="auto" w:sz="4" w:space="0"/>
        <w:right w:val="single" w:color="auto" w:sz="4" w:space="0"/>
      </w:pBdr>
      <w:shd w:val="clear" w:color="auto" w:fill="FFFF00"/>
      <w:autoSpaceDE/>
      <w:autoSpaceDN/>
      <w:spacing w:before="100" w:beforeAutospacing="1" w:after="100" w:afterAutospacing="1"/>
    </w:pPr>
    <w:rPr>
      <w:color w:val="000000"/>
      <w:sz w:val="20"/>
      <w:szCs w:val="20"/>
      <w:lang w:val="en-US" w:bidi="ar-SA"/>
    </w:rPr>
  </w:style>
  <w:style w:type="paragraph" w:customStyle="1" w:styleId="2623">
    <w:name w:val="xl2153"/>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color w:val="FF0000"/>
      <w:sz w:val="21"/>
      <w:szCs w:val="21"/>
      <w:lang w:val="en-US" w:bidi="ar-SA"/>
    </w:rPr>
  </w:style>
  <w:style w:type="paragraph" w:customStyle="1" w:styleId="2624">
    <w:name w:val="xl2156"/>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right"/>
    </w:pPr>
    <w:rPr>
      <w:color w:val="FF0000"/>
      <w:sz w:val="24"/>
      <w:szCs w:val="24"/>
      <w:lang w:val="en-US" w:bidi="ar-SA"/>
    </w:rPr>
  </w:style>
  <w:style w:type="paragraph" w:customStyle="1" w:styleId="2625">
    <w:name w:val="xl2128"/>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sz w:val="24"/>
      <w:szCs w:val="24"/>
      <w:lang w:val="en-US" w:bidi="ar-SA"/>
    </w:rPr>
  </w:style>
  <w:style w:type="paragraph" w:customStyle="1" w:styleId="2626">
    <w:name w:val="xl268"/>
    <w:basedOn w:val="1"/>
    <w:uiPriority w:val="0"/>
    <w:pPr>
      <w:widowControl/>
      <w:pBdr>
        <w:top w:val="single" w:color="auto" w:sz="4" w:space="0"/>
        <w:left w:val="single" w:color="auto" w:sz="4" w:space="0"/>
        <w:bottom w:val="single" w:color="auto" w:sz="4" w:space="0"/>
        <w:right w:val="single" w:color="auto" w:sz="4" w:space="0"/>
      </w:pBdr>
      <w:shd w:val="clear" w:color="auto" w:fill="FF8080"/>
      <w:autoSpaceDE/>
      <w:autoSpaceDN/>
      <w:spacing w:before="100" w:beforeAutospacing="1" w:after="100" w:afterAutospacing="1"/>
    </w:pPr>
    <w:rPr>
      <w:sz w:val="20"/>
      <w:szCs w:val="20"/>
      <w:lang w:val="en-US" w:bidi="ar-SA"/>
    </w:rPr>
  </w:style>
  <w:style w:type="paragraph" w:customStyle="1" w:styleId="2627">
    <w:name w:val="xl127"/>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Calibri" w:hAnsi="Calibri"/>
      <w:sz w:val="21"/>
      <w:szCs w:val="21"/>
      <w:lang w:val="en-US" w:bidi="ar-SA"/>
    </w:rPr>
  </w:style>
  <w:style w:type="paragraph" w:customStyle="1" w:styleId="2628">
    <w:name w:val="xl221"/>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629">
    <w:name w:val="xl274"/>
    <w:basedOn w:val="1"/>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jc w:val="center"/>
    </w:pPr>
    <w:rPr>
      <w:color w:val="000000"/>
      <w:sz w:val="20"/>
      <w:szCs w:val="20"/>
      <w:lang w:val="en-US" w:bidi="ar-SA"/>
    </w:rPr>
  </w:style>
  <w:style w:type="paragraph" w:customStyle="1" w:styleId="2630">
    <w:name w:val="xl230"/>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631">
    <w:name w:val="样式19"/>
    <w:basedOn w:val="2632"/>
    <w:uiPriority w:val="0"/>
    <w:pPr>
      <w:spacing w:afterLines="50"/>
    </w:pPr>
  </w:style>
  <w:style w:type="paragraph" w:customStyle="1" w:styleId="2632">
    <w:name w:val="样式18"/>
    <w:basedOn w:val="1"/>
    <w:uiPriority w:val="0"/>
    <w:pPr>
      <w:autoSpaceDE/>
      <w:autoSpaceDN/>
      <w:snapToGrid w:val="0"/>
      <w:spacing w:line="480" w:lineRule="exact"/>
      <w:jc w:val="center"/>
    </w:pPr>
    <w:rPr>
      <w:rFonts w:ascii="Times New Roman" w:hAnsi="Times New Roman"/>
      <w:sz w:val="24"/>
      <w:szCs w:val="21"/>
      <w:lang w:val="en-US" w:bidi="ar-SA"/>
    </w:rPr>
  </w:style>
  <w:style w:type="paragraph" w:customStyle="1" w:styleId="2633">
    <w:name w:val="签署"/>
    <w:basedOn w:val="1"/>
    <w:uiPriority w:val="0"/>
    <w:pPr>
      <w:autoSpaceDE/>
      <w:autoSpaceDN/>
      <w:adjustRightInd w:val="0"/>
      <w:snapToGrid w:val="0"/>
      <w:spacing w:line="900" w:lineRule="exact"/>
      <w:ind w:firstLine="1280" w:firstLineChars="400"/>
    </w:pPr>
    <w:rPr>
      <w:rFonts w:ascii="Times New Roman" w:hAnsi="Times New Roman" w:eastAsia="黑体"/>
      <w:kern w:val="2"/>
      <w:sz w:val="32"/>
      <w:szCs w:val="20"/>
      <w:lang w:val="en-US" w:bidi="ar-SA"/>
    </w:rPr>
  </w:style>
  <w:style w:type="paragraph" w:customStyle="1" w:styleId="2634">
    <w:name w:val="xl176"/>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635">
    <w:name w:val="Char Char1 Char Char Char Char Char Char Char Char"/>
    <w:basedOn w:val="1"/>
    <w:next w:val="46"/>
    <w:uiPriority w:val="0"/>
    <w:pPr>
      <w:autoSpaceDE/>
      <w:autoSpaceDN/>
      <w:spacing w:line="360" w:lineRule="auto"/>
      <w:ind w:firstLine="480" w:firstLineChars="200"/>
      <w:jc w:val="both"/>
    </w:pPr>
    <w:rPr>
      <w:rFonts w:ascii="Times New Roman" w:hAnsi="Times New Roman" w:cs="Times New Roman"/>
      <w:sz w:val="24"/>
      <w:szCs w:val="24"/>
      <w:lang w:val="en-US" w:bidi="ar-SA"/>
    </w:rPr>
  </w:style>
  <w:style w:type="paragraph" w:customStyle="1" w:styleId="2636">
    <w:name w:val="修订21"/>
    <w:uiPriority w:val="0"/>
    <w:rPr>
      <w:rFonts w:ascii="Times New Roman" w:hAnsi="Times New Roman" w:eastAsia="宋体" w:cs="Times New Roman"/>
      <w:kern w:val="2"/>
      <w:sz w:val="21"/>
      <w:szCs w:val="24"/>
      <w:lang w:val="en-US" w:eastAsia="zh-CN" w:bidi="ar-SA"/>
    </w:rPr>
  </w:style>
  <w:style w:type="paragraph" w:customStyle="1" w:styleId="2637">
    <w:name w:val="正文缩进2字符"/>
    <w:basedOn w:val="1"/>
    <w:next w:val="1"/>
    <w:uiPriority w:val="0"/>
    <w:pPr>
      <w:widowControl/>
      <w:autoSpaceDE/>
      <w:autoSpaceDN/>
      <w:adjustRightInd w:val="0"/>
      <w:snapToGrid w:val="0"/>
      <w:spacing w:line="288" w:lineRule="auto"/>
      <w:ind w:firstLine="200" w:firstLineChars="200"/>
    </w:pPr>
    <w:rPr>
      <w:rFonts w:cs="Times New Roman"/>
      <w:kern w:val="2"/>
      <w:sz w:val="24"/>
      <w:szCs w:val="24"/>
      <w:lang w:val="en-US" w:bidi="ar-SA"/>
    </w:rPr>
  </w:style>
  <w:style w:type="paragraph" w:customStyle="1" w:styleId="2638">
    <w:name w:val="xl192"/>
    <w:basedOn w:val="1"/>
    <w:uiPriority w:val="0"/>
    <w:pPr>
      <w:widowControl/>
      <w:autoSpaceDE/>
      <w:autoSpaceDN/>
      <w:spacing w:before="100" w:beforeAutospacing="1" w:after="100" w:afterAutospacing="1"/>
    </w:pPr>
    <w:rPr>
      <w:color w:val="000000"/>
      <w:sz w:val="20"/>
      <w:szCs w:val="20"/>
      <w:lang w:val="en-US" w:bidi="ar-SA"/>
    </w:rPr>
  </w:style>
  <w:style w:type="paragraph" w:customStyle="1" w:styleId="2639">
    <w:name w:val="样式 首行缩进:  2 字符 右侧:  -0.27 厘米"/>
    <w:basedOn w:val="1"/>
    <w:uiPriority w:val="0"/>
    <w:pPr>
      <w:autoSpaceDE/>
      <w:autoSpaceDN/>
      <w:adjustRightInd w:val="0"/>
      <w:snapToGrid w:val="0"/>
      <w:spacing w:line="460" w:lineRule="exact"/>
      <w:ind w:right="-155" w:firstLine="560" w:firstLineChars="200"/>
      <w:jc w:val="both"/>
    </w:pPr>
    <w:rPr>
      <w:rFonts w:ascii="Times New Roman" w:hAnsi="Times New Roman"/>
      <w:sz w:val="28"/>
      <w:szCs w:val="28"/>
      <w:lang w:val="en-US" w:bidi="ar-SA"/>
    </w:rPr>
  </w:style>
  <w:style w:type="paragraph" w:customStyle="1" w:styleId="2640">
    <w:name w:val="xl279"/>
    <w:basedOn w:val="1"/>
    <w:uiPriority w:val="0"/>
    <w:pPr>
      <w:widowControl/>
      <w:pBdr>
        <w:top w:val="single" w:color="auto" w:sz="4" w:space="0"/>
        <w:left w:val="single" w:color="auto" w:sz="4" w:space="0"/>
        <w:right w:val="single" w:color="auto" w:sz="4" w:space="0"/>
      </w:pBdr>
      <w:shd w:val="clear" w:color="auto" w:fill="FF8080"/>
      <w:autoSpaceDE/>
      <w:autoSpaceDN/>
      <w:spacing w:before="100" w:beforeAutospacing="1" w:after="100" w:afterAutospacing="1"/>
      <w:jc w:val="center"/>
    </w:pPr>
    <w:rPr>
      <w:rFonts w:ascii="方正综艺简体" w:eastAsia="方正综艺简体"/>
      <w:sz w:val="20"/>
      <w:szCs w:val="20"/>
      <w:lang w:val="en-US" w:bidi="ar-SA"/>
    </w:rPr>
  </w:style>
  <w:style w:type="paragraph" w:customStyle="1" w:styleId="2641">
    <w:name w:val="索引 81"/>
    <w:basedOn w:val="1"/>
    <w:next w:val="1"/>
    <w:uiPriority w:val="0"/>
    <w:pPr>
      <w:autoSpaceDE/>
      <w:autoSpaceDN/>
      <w:spacing w:line="480" w:lineRule="exact"/>
      <w:ind w:left="1400" w:leftChars="1400"/>
      <w:jc w:val="both"/>
    </w:pPr>
    <w:rPr>
      <w:rFonts w:ascii="Times New Roman" w:hAnsi="Times New Roman" w:cs="Times New Roman"/>
      <w:kern w:val="2"/>
      <w:sz w:val="24"/>
      <w:szCs w:val="24"/>
      <w:lang w:val="en-US" w:bidi="ar-SA"/>
    </w:rPr>
  </w:style>
  <w:style w:type="paragraph" w:customStyle="1" w:styleId="2642">
    <w:name w:val="Char Char Char Char4"/>
    <w:basedOn w:val="1"/>
    <w:uiPriority w:val="0"/>
    <w:pPr>
      <w:autoSpaceDE/>
      <w:autoSpaceDN/>
      <w:jc w:val="both"/>
    </w:pPr>
    <w:rPr>
      <w:rFonts w:ascii="Times New Roman" w:hAnsi="Times New Roman" w:cs="Times New Roman"/>
      <w:kern w:val="2"/>
      <w:sz w:val="21"/>
      <w:szCs w:val="24"/>
      <w:lang w:val="en-US" w:bidi="ar-SA"/>
    </w:rPr>
  </w:style>
  <w:style w:type="paragraph" w:customStyle="1" w:styleId="2643">
    <w:name w:val="xl282"/>
    <w:basedOn w:val="1"/>
    <w:uiPriority w:val="0"/>
    <w:pPr>
      <w:widowControl/>
      <w:pBdr>
        <w:top w:val="single" w:color="auto" w:sz="4" w:space="0"/>
        <w:left w:val="single" w:color="auto" w:sz="4" w:space="0"/>
        <w:bottom w:val="single" w:color="auto" w:sz="4" w:space="0"/>
        <w:right w:val="single" w:color="auto" w:sz="4" w:space="0"/>
      </w:pBdr>
      <w:shd w:val="clear" w:color="auto" w:fill="FF8080"/>
      <w:autoSpaceDE/>
      <w:autoSpaceDN/>
      <w:spacing w:before="100" w:beforeAutospacing="1" w:after="100" w:afterAutospacing="1"/>
      <w:jc w:val="center"/>
    </w:pPr>
    <w:rPr>
      <w:rFonts w:ascii="方正综艺简体" w:eastAsia="方正综艺简体"/>
      <w:color w:val="000000"/>
      <w:sz w:val="20"/>
      <w:szCs w:val="20"/>
      <w:lang w:val="en-US" w:bidi="ar-SA"/>
    </w:rPr>
  </w:style>
  <w:style w:type="paragraph" w:customStyle="1" w:styleId="2644">
    <w:name w:val="d"/>
    <w:basedOn w:val="1595"/>
    <w:uiPriority w:val="0"/>
    <w:pPr>
      <w:adjustRightInd/>
      <w:spacing w:line="420" w:lineRule="exact"/>
      <w:ind w:firstLine="480"/>
      <w:textAlignment w:val="auto"/>
    </w:pPr>
    <w:rPr>
      <w:rFonts w:ascii="Times New Roman" w:hAnsi="Times New Roman"/>
      <w:sz w:val="24"/>
    </w:rPr>
  </w:style>
  <w:style w:type="paragraph" w:customStyle="1" w:styleId="2645">
    <w:name w:val="xl315"/>
    <w:basedOn w:val="1"/>
    <w:uiPriority w:val="0"/>
    <w:pPr>
      <w:widowControl/>
      <w:pBdr>
        <w:bottom w:val="single" w:color="auto" w:sz="4" w:space="0"/>
      </w:pBdr>
      <w:shd w:val="clear" w:color="auto" w:fill="FFCC00"/>
      <w:autoSpaceDE/>
      <w:autoSpaceDN/>
      <w:spacing w:before="100" w:beforeAutospacing="1" w:after="100" w:afterAutospacing="1"/>
      <w:jc w:val="center"/>
    </w:pPr>
    <w:rPr>
      <w:rFonts w:ascii="方正综艺简体" w:eastAsia="方正综艺简体"/>
      <w:color w:val="000000"/>
      <w:sz w:val="20"/>
      <w:szCs w:val="20"/>
      <w:lang w:val="en-US" w:bidi="ar-SA"/>
    </w:rPr>
  </w:style>
  <w:style w:type="paragraph" w:customStyle="1" w:styleId="2646">
    <w:name w:val="xl175"/>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647">
    <w:name w:val="xl160"/>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color w:val="000000"/>
      <w:sz w:val="20"/>
      <w:szCs w:val="20"/>
      <w:lang w:val="en-US" w:bidi="ar-SA"/>
    </w:rPr>
  </w:style>
  <w:style w:type="paragraph" w:customStyle="1" w:styleId="2648">
    <w:name w:val="xl227"/>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649">
    <w:name w:val="正文文本 321"/>
    <w:basedOn w:val="1"/>
    <w:uiPriority w:val="0"/>
    <w:pPr>
      <w:autoSpaceDE/>
      <w:autoSpaceDN/>
      <w:adjustRightInd w:val="0"/>
      <w:snapToGrid w:val="0"/>
      <w:spacing w:after="120" w:line="480" w:lineRule="exact"/>
      <w:ind w:firstLine="200" w:firstLineChars="200"/>
      <w:jc w:val="both"/>
    </w:pPr>
    <w:rPr>
      <w:rFonts w:ascii="Times New Roman" w:hAnsi="Times New Roman" w:cs="Times New Roman"/>
      <w:sz w:val="16"/>
      <w:szCs w:val="16"/>
      <w:lang w:val="en-US" w:bidi="ar-SA"/>
    </w:rPr>
  </w:style>
  <w:style w:type="paragraph" w:customStyle="1" w:styleId="2650">
    <w:name w:val="封面－报告名称"/>
    <w:basedOn w:val="1"/>
    <w:next w:val="1"/>
    <w:uiPriority w:val="0"/>
    <w:pPr>
      <w:autoSpaceDE/>
      <w:autoSpaceDN/>
      <w:adjustRightInd w:val="0"/>
      <w:snapToGrid w:val="0"/>
      <w:spacing w:before="240" w:after="240" w:line="480" w:lineRule="exact"/>
      <w:ind w:firstLine="560" w:firstLineChars="200"/>
      <w:jc w:val="center"/>
    </w:pPr>
    <w:rPr>
      <w:rFonts w:ascii="Times New Roman" w:hAnsi="Times New Roman" w:eastAsia="黑体" w:cs="Times New Roman"/>
      <w:sz w:val="44"/>
      <w:szCs w:val="20"/>
      <w:lang w:val="en-US" w:bidi="ar-SA"/>
    </w:rPr>
  </w:style>
  <w:style w:type="paragraph" w:customStyle="1" w:styleId="2651">
    <w:name w:val="正文文本缩进12"/>
    <w:basedOn w:val="1"/>
    <w:uiPriority w:val="0"/>
    <w:pPr>
      <w:autoSpaceDE/>
      <w:autoSpaceDN/>
      <w:adjustRightInd w:val="0"/>
      <w:spacing w:line="360" w:lineRule="atLeast"/>
      <w:ind w:left="280" w:firstLine="560"/>
    </w:pPr>
    <w:rPr>
      <w:rFonts w:ascii="Times New Roman" w:hAnsi="Times New Roman" w:cs="Times New Roman"/>
      <w:sz w:val="24"/>
      <w:szCs w:val="24"/>
      <w:lang w:val="en-US" w:bidi="ar-SA"/>
    </w:rPr>
  </w:style>
  <w:style w:type="paragraph" w:customStyle="1" w:styleId="2652">
    <w:name w:val="样式 标题 7 + 首行缩进:  2 字符"/>
    <w:basedOn w:val="9"/>
    <w:uiPriority w:val="0"/>
    <w:pPr>
      <w:keepLines/>
      <w:tabs>
        <w:tab w:val="left" w:pos="425"/>
        <w:tab w:val="clear" w:pos="360"/>
      </w:tabs>
      <w:snapToGrid w:val="0"/>
      <w:spacing w:before="40" w:after="64" w:line="360" w:lineRule="auto"/>
      <w:ind w:left="0" w:firstLine="200" w:firstLineChars="200"/>
    </w:pPr>
    <w:rPr>
      <w:rFonts w:ascii="宋体" w:hAnsi="宋体" w:cs="宋体"/>
      <w:color w:val="000000"/>
      <w:kern w:val="0"/>
      <w:szCs w:val="20"/>
    </w:rPr>
  </w:style>
  <w:style w:type="paragraph" w:customStyle="1" w:styleId="2653">
    <w:name w:val="表格标注"/>
    <w:basedOn w:val="2347"/>
    <w:uiPriority w:val="0"/>
    <w:pPr>
      <w:ind w:firstLine="200" w:firstLineChars="200"/>
      <w:jc w:val="both"/>
    </w:pPr>
  </w:style>
  <w:style w:type="paragraph" w:customStyle="1" w:styleId="2654">
    <w:name w:val="xl293"/>
    <w:basedOn w:val="1"/>
    <w:uiPriority w:val="0"/>
    <w:pPr>
      <w:widowControl/>
      <w:pBdr>
        <w:left w:val="single" w:color="auto" w:sz="4" w:space="0"/>
        <w:bottom w:val="single" w:color="auto" w:sz="4" w:space="0"/>
        <w:right w:val="single" w:color="auto" w:sz="4" w:space="0"/>
      </w:pBdr>
      <w:shd w:val="clear" w:color="auto" w:fill="FF8080"/>
      <w:autoSpaceDE/>
      <w:autoSpaceDN/>
      <w:spacing w:before="100" w:beforeAutospacing="1" w:after="100" w:afterAutospacing="1"/>
      <w:jc w:val="center"/>
    </w:pPr>
    <w:rPr>
      <w:rFonts w:ascii="方正综艺简体" w:eastAsia="方正综艺简体"/>
      <w:color w:val="000000"/>
      <w:sz w:val="20"/>
      <w:szCs w:val="20"/>
      <w:lang w:val="en-US" w:bidi="ar-SA"/>
    </w:rPr>
  </w:style>
  <w:style w:type="paragraph" w:customStyle="1" w:styleId="2655">
    <w:name w:val="xl2148"/>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b/>
      <w:bCs/>
      <w:color w:val="FF0000"/>
      <w:sz w:val="24"/>
      <w:szCs w:val="24"/>
      <w:lang w:val="en-US" w:bidi="ar-SA"/>
    </w:rPr>
  </w:style>
  <w:style w:type="paragraph" w:customStyle="1" w:styleId="2656">
    <w:name w:val="xl208"/>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657">
    <w:name w:val="Char8"/>
    <w:basedOn w:val="1"/>
    <w:next w:val="1595"/>
    <w:uiPriority w:val="0"/>
    <w:pPr>
      <w:autoSpaceDE/>
      <w:autoSpaceDN/>
      <w:spacing w:line="360" w:lineRule="auto"/>
      <w:ind w:firstLine="480" w:firstLineChars="200"/>
      <w:jc w:val="both"/>
    </w:pPr>
    <w:rPr>
      <w:rFonts w:ascii="Times New Roman" w:hAnsi="Times New Roman" w:cs="Times New Roman"/>
      <w:sz w:val="24"/>
      <w:szCs w:val="24"/>
      <w:lang w:val="en-US" w:bidi="ar-SA"/>
    </w:rPr>
  </w:style>
  <w:style w:type="paragraph" w:customStyle="1" w:styleId="2658">
    <w:name w:val="xl117"/>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rFonts w:ascii="Calibri" w:hAnsi="Calibri"/>
      <w:b/>
      <w:bCs/>
      <w:color w:val="FF0000"/>
      <w:sz w:val="21"/>
      <w:szCs w:val="21"/>
      <w:lang w:val="en-US" w:bidi="ar-SA"/>
    </w:rPr>
  </w:style>
  <w:style w:type="paragraph" w:customStyle="1" w:styleId="2659">
    <w:name w:val="列表11"/>
    <w:basedOn w:val="1"/>
    <w:uiPriority w:val="0"/>
    <w:pPr>
      <w:autoSpaceDE/>
      <w:autoSpaceDN/>
      <w:jc w:val="center"/>
    </w:pPr>
    <w:rPr>
      <w:rFonts w:ascii="Times New Roman" w:hAnsi="Times New Roman" w:cs="Times New Roman"/>
      <w:sz w:val="21"/>
      <w:szCs w:val="20"/>
      <w:lang w:val="en-US" w:bidi="ar-SA"/>
    </w:rPr>
  </w:style>
  <w:style w:type="paragraph" w:customStyle="1" w:styleId="2660">
    <w:name w:val="xl219"/>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661">
    <w:name w:val="xl209"/>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662">
    <w:name w:val="xl276"/>
    <w:basedOn w:val="1"/>
    <w:uiPriority w:val="0"/>
    <w:pPr>
      <w:widowControl/>
      <w:pBdr>
        <w:top w:val="single" w:color="auto" w:sz="4" w:space="0"/>
        <w:left w:val="single" w:color="auto" w:sz="4" w:space="0"/>
        <w:bottom w:val="single" w:color="auto" w:sz="4" w:space="0"/>
        <w:right w:val="single" w:color="auto" w:sz="4" w:space="0"/>
      </w:pBdr>
      <w:shd w:val="clear" w:color="auto" w:fill="00FFFF"/>
      <w:autoSpaceDE/>
      <w:autoSpaceDN/>
      <w:spacing w:before="100" w:beforeAutospacing="1" w:after="100" w:afterAutospacing="1"/>
    </w:pPr>
    <w:rPr>
      <w:sz w:val="20"/>
      <w:szCs w:val="20"/>
      <w:lang w:val="en-US" w:bidi="ar-SA"/>
    </w:rPr>
  </w:style>
  <w:style w:type="paragraph" w:customStyle="1" w:styleId="2663">
    <w:name w:val="xl2137"/>
    <w:basedOn w:val="1"/>
    <w:uiPriority w:val="0"/>
    <w:pPr>
      <w:widowControl/>
      <w:pBdr>
        <w:top w:val="single" w:color="auto" w:sz="4" w:space="0"/>
        <w:left w:val="single" w:color="auto" w:sz="4" w:space="0"/>
        <w:bottom w:val="single" w:color="auto" w:sz="4" w:space="0"/>
        <w:right w:val="single" w:color="auto" w:sz="4" w:space="0"/>
      </w:pBdr>
      <w:shd w:val="clear" w:color="auto" w:fill="FFFF00"/>
      <w:autoSpaceDE/>
      <w:autoSpaceDN/>
      <w:spacing w:before="100" w:beforeAutospacing="1" w:after="100" w:afterAutospacing="1"/>
    </w:pPr>
    <w:rPr>
      <w:b/>
      <w:bCs/>
      <w:sz w:val="21"/>
      <w:szCs w:val="21"/>
      <w:lang w:val="en-US" w:bidi="ar-SA"/>
    </w:rPr>
  </w:style>
  <w:style w:type="paragraph" w:customStyle="1" w:styleId="2664">
    <w:name w:val="xl240"/>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665">
    <w:name w:val="样式 样式 首行缩进:  2 字符3 + 行距: 固定值 24 磅"/>
    <w:basedOn w:val="2666"/>
    <w:uiPriority w:val="0"/>
    <w:pPr>
      <w:ind w:firstLine="560"/>
    </w:pPr>
  </w:style>
  <w:style w:type="paragraph" w:customStyle="1" w:styleId="2666">
    <w:name w:val="样式 首行缩进:  2 字符3"/>
    <w:basedOn w:val="1"/>
    <w:uiPriority w:val="0"/>
    <w:pPr>
      <w:autoSpaceDE/>
      <w:autoSpaceDN/>
      <w:adjustRightInd w:val="0"/>
      <w:snapToGrid w:val="0"/>
      <w:spacing w:line="500" w:lineRule="exact"/>
      <w:ind w:firstLine="200" w:firstLineChars="200"/>
      <w:jc w:val="both"/>
    </w:pPr>
    <w:rPr>
      <w:rFonts w:ascii="Times New Roman" w:hAnsi="Times New Roman"/>
      <w:sz w:val="28"/>
      <w:szCs w:val="20"/>
      <w:lang w:val="en-US" w:bidi="ar-SA"/>
    </w:rPr>
  </w:style>
  <w:style w:type="paragraph" w:customStyle="1" w:styleId="2667">
    <w:name w:val="Char Char Char1 Char4"/>
    <w:basedOn w:val="1"/>
    <w:uiPriority w:val="0"/>
    <w:pPr>
      <w:autoSpaceDE/>
      <w:autoSpaceDN/>
      <w:adjustRightInd w:val="0"/>
      <w:spacing w:line="360" w:lineRule="auto"/>
      <w:jc w:val="both"/>
      <w:textAlignment w:val="baseline"/>
    </w:pPr>
    <w:rPr>
      <w:rFonts w:ascii="Times New Roman" w:hAnsi="Times New Roman" w:cs="Times New Roman"/>
      <w:sz w:val="24"/>
      <w:szCs w:val="24"/>
      <w:lang w:val="en-US" w:bidi="ar-SA"/>
    </w:rPr>
  </w:style>
  <w:style w:type="paragraph" w:customStyle="1" w:styleId="2668">
    <w:name w:val="索引 92"/>
    <w:basedOn w:val="1"/>
    <w:next w:val="1"/>
    <w:uiPriority w:val="0"/>
    <w:pPr>
      <w:autoSpaceDE/>
      <w:autoSpaceDN/>
      <w:ind w:left="1600" w:leftChars="1600"/>
      <w:jc w:val="both"/>
    </w:pPr>
    <w:rPr>
      <w:rFonts w:ascii="Times New Roman" w:hAnsi="Times New Roman" w:cs="Times New Roman"/>
      <w:kern w:val="2"/>
      <w:sz w:val="21"/>
      <w:szCs w:val="24"/>
      <w:lang w:val="en-US" w:bidi="ar-SA"/>
    </w:rPr>
  </w:style>
  <w:style w:type="paragraph" w:customStyle="1" w:styleId="2669">
    <w:name w:val="bb"/>
    <w:basedOn w:val="1"/>
    <w:uiPriority w:val="0"/>
    <w:pPr>
      <w:autoSpaceDE/>
      <w:autoSpaceDN/>
      <w:adjustRightInd w:val="0"/>
      <w:spacing w:line="300" w:lineRule="auto"/>
      <w:jc w:val="both"/>
    </w:pPr>
    <w:rPr>
      <w:rFonts w:ascii="Times New Roman" w:hAnsi="Times New Roman" w:cs="Times New Roman"/>
      <w:kern w:val="2"/>
      <w:sz w:val="21"/>
      <w:szCs w:val="24"/>
      <w:lang w:val="en-US" w:bidi="ar-SA"/>
    </w:rPr>
  </w:style>
  <w:style w:type="paragraph" w:customStyle="1" w:styleId="2670">
    <w:name w:val="xl185"/>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671">
    <w:name w:val="xl295"/>
    <w:basedOn w:val="1"/>
    <w:uiPriority w:val="0"/>
    <w:pPr>
      <w:widowControl/>
      <w:pBdr>
        <w:left w:val="single" w:color="auto" w:sz="4" w:space="0"/>
        <w:bottom w:val="single" w:color="auto" w:sz="4" w:space="0"/>
      </w:pBdr>
      <w:shd w:val="clear" w:color="auto" w:fill="FF8080"/>
      <w:autoSpaceDE/>
      <w:autoSpaceDN/>
      <w:spacing w:before="100" w:beforeAutospacing="1" w:after="100" w:afterAutospacing="1"/>
      <w:jc w:val="center"/>
    </w:pPr>
    <w:rPr>
      <w:rFonts w:ascii="方正综艺简体" w:eastAsia="方正综艺简体"/>
      <w:sz w:val="20"/>
      <w:szCs w:val="20"/>
      <w:lang w:val="en-US" w:bidi="ar-SA"/>
    </w:rPr>
  </w:style>
  <w:style w:type="paragraph" w:customStyle="1" w:styleId="2672">
    <w:name w:val="xl272"/>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673">
    <w:name w:val="xl214"/>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674">
    <w:name w:val="xl266"/>
    <w:basedOn w:val="1"/>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pPr>
    <w:rPr>
      <w:sz w:val="20"/>
      <w:szCs w:val="20"/>
      <w:lang w:val="en-US" w:bidi="ar-SA"/>
    </w:rPr>
  </w:style>
  <w:style w:type="paragraph" w:customStyle="1" w:styleId="2675">
    <w:name w:val="xl206"/>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676">
    <w:name w:val="表内文字（两端对齐）"/>
    <w:basedOn w:val="1"/>
    <w:next w:val="41"/>
    <w:uiPriority w:val="0"/>
    <w:pPr>
      <w:autoSpaceDE/>
      <w:autoSpaceDN/>
      <w:adjustRightInd w:val="0"/>
      <w:snapToGrid w:val="0"/>
      <w:jc w:val="both"/>
    </w:pPr>
    <w:rPr>
      <w:rFonts w:ascii="Times New Roman" w:hAnsi="Times New Roman" w:cs="Times New Roman"/>
      <w:sz w:val="21"/>
      <w:szCs w:val="24"/>
      <w:lang w:val="en-US" w:bidi="ar-SA"/>
    </w:rPr>
  </w:style>
  <w:style w:type="paragraph" w:customStyle="1" w:styleId="2677">
    <w:name w:val="样式16"/>
    <w:basedOn w:val="506"/>
    <w:uiPriority w:val="0"/>
    <w:pPr>
      <w:topLinePunct/>
      <w:adjustRightInd/>
      <w:spacing w:beforeLines="50" w:afterLines="30" w:line="240" w:lineRule="auto"/>
      <w:ind w:firstLine="0"/>
      <w:jc w:val="both"/>
      <w:textAlignment w:val="auto"/>
    </w:pPr>
    <w:rPr>
      <w:rFonts w:hint="eastAsia" w:hAnsi="黑体" w:eastAsia="方正楷体简体"/>
      <w:b/>
      <w:color w:val="000000"/>
      <w:kern w:val="2"/>
      <w:sz w:val="21"/>
      <w:szCs w:val="28"/>
    </w:rPr>
  </w:style>
  <w:style w:type="paragraph" w:customStyle="1" w:styleId="2678">
    <w:name w:val="msonormal"/>
    <w:basedOn w:val="1"/>
    <w:uiPriority w:val="0"/>
    <w:pPr>
      <w:widowControl/>
      <w:autoSpaceDE/>
      <w:autoSpaceDN/>
      <w:spacing w:before="100" w:beforeAutospacing="1" w:after="100" w:afterAutospacing="1"/>
    </w:pPr>
    <w:rPr>
      <w:sz w:val="24"/>
      <w:szCs w:val="24"/>
      <w:lang w:val="en-US" w:bidi="ar-SA"/>
    </w:rPr>
  </w:style>
  <w:style w:type="paragraph" w:customStyle="1" w:styleId="2679">
    <w:name w:val="文档结构图21"/>
    <w:basedOn w:val="1"/>
    <w:uiPriority w:val="0"/>
    <w:pPr>
      <w:shd w:val="clear" w:color="auto" w:fill="000080"/>
      <w:autoSpaceDE/>
      <w:autoSpaceDN/>
      <w:adjustRightInd w:val="0"/>
      <w:snapToGrid w:val="0"/>
      <w:spacing w:line="480" w:lineRule="exact"/>
      <w:ind w:firstLine="560" w:firstLineChars="200"/>
      <w:jc w:val="both"/>
    </w:pPr>
    <w:rPr>
      <w:rFonts w:ascii="Times New Roman" w:hAnsi="Times New Roman" w:cs="Times New Roman"/>
      <w:sz w:val="28"/>
      <w:szCs w:val="24"/>
      <w:lang w:val="en-US" w:bidi="ar-SA"/>
    </w:rPr>
  </w:style>
  <w:style w:type="paragraph" w:customStyle="1" w:styleId="2680">
    <w:name w:val="标题4  1）"/>
    <w:basedOn w:val="41"/>
    <w:uiPriority w:val="0"/>
    <w:pPr>
      <w:autoSpaceDE/>
      <w:autoSpaceDN/>
      <w:spacing w:line="360" w:lineRule="auto"/>
      <w:jc w:val="both"/>
    </w:pPr>
    <w:rPr>
      <w:rFonts w:eastAsia="楷体_GB2312" w:cs="Times New Roman"/>
      <w:kern w:val="2"/>
      <w:sz w:val="24"/>
      <w:szCs w:val="20"/>
      <w:lang w:val="en-US" w:bidi="ar-SA"/>
    </w:rPr>
  </w:style>
  <w:style w:type="paragraph" w:customStyle="1" w:styleId="2681">
    <w:name w:val="列表21"/>
    <w:basedOn w:val="1"/>
    <w:qFormat/>
    <w:uiPriority w:val="0"/>
    <w:pPr>
      <w:autoSpaceDE/>
      <w:autoSpaceDN/>
      <w:spacing w:beforeLines="50"/>
      <w:jc w:val="right"/>
    </w:pPr>
    <w:rPr>
      <w:rFonts w:ascii="Times New Roman" w:hAnsi="Times New Roman" w:eastAsia="黑体" w:cs="Times New Roman"/>
      <w:kern w:val="2"/>
      <w:sz w:val="24"/>
      <w:szCs w:val="24"/>
      <w:lang w:val="en-US" w:bidi="ar-SA"/>
    </w:rPr>
  </w:style>
  <w:style w:type="paragraph" w:customStyle="1" w:styleId="2682">
    <w:name w:val="xl200"/>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683">
    <w:name w:val="xl188"/>
    <w:basedOn w:val="1"/>
    <w:uiPriority w:val="0"/>
    <w:pPr>
      <w:widowControl/>
      <w:pBdr>
        <w:top w:val="single" w:color="auto" w:sz="4" w:space="0"/>
        <w:left w:val="single" w:color="auto" w:sz="4" w:space="0"/>
        <w:bottom w:val="single" w:color="auto" w:sz="4" w:space="0"/>
        <w:right w:val="single" w:color="auto" w:sz="4" w:space="0"/>
      </w:pBdr>
      <w:shd w:val="clear" w:color="auto" w:fill="FFFF00"/>
      <w:autoSpaceDE/>
      <w:autoSpaceDN/>
      <w:spacing w:before="100" w:beforeAutospacing="1" w:after="100" w:afterAutospacing="1"/>
    </w:pPr>
    <w:rPr>
      <w:sz w:val="20"/>
      <w:szCs w:val="20"/>
      <w:lang w:val="en-US" w:bidi="ar-SA"/>
    </w:rPr>
  </w:style>
  <w:style w:type="paragraph" w:customStyle="1" w:styleId="2684">
    <w:name w:val="索引 611"/>
    <w:basedOn w:val="1"/>
    <w:next w:val="1"/>
    <w:uiPriority w:val="0"/>
    <w:pPr>
      <w:autoSpaceDE/>
      <w:autoSpaceDN/>
      <w:spacing w:line="480" w:lineRule="exact"/>
      <w:ind w:left="1000" w:leftChars="1000"/>
      <w:jc w:val="both"/>
    </w:pPr>
    <w:rPr>
      <w:rFonts w:ascii="Times New Roman" w:hAnsi="Times New Roman" w:cs="Times New Roman"/>
      <w:kern w:val="2"/>
      <w:sz w:val="24"/>
      <w:szCs w:val="24"/>
      <w:lang w:val="en-US" w:bidi="ar-SA"/>
    </w:rPr>
  </w:style>
  <w:style w:type="paragraph" w:customStyle="1" w:styleId="2685">
    <w:name w:val="索引 811"/>
    <w:basedOn w:val="1"/>
    <w:next w:val="1"/>
    <w:uiPriority w:val="0"/>
    <w:pPr>
      <w:autoSpaceDE/>
      <w:autoSpaceDN/>
      <w:spacing w:line="480" w:lineRule="exact"/>
      <w:ind w:left="1400" w:leftChars="1400"/>
      <w:jc w:val="both"/>
    </w:pPr>
    <w:rPr>
      <w:rFonts w:ascii="Times New Roman" w:hAnsi="Times New Roman" w:cs="Times New Roman"/>
      <w:kern w:val="2"/>
      <w:sz w:val="24"/>
      <w:szCs w:val="24"/>
      <w:lang w:val="en-US" w:bidi="ar-SA"/>
    </w:rPr>
  </w:style>
  <w:style w:type="paragraph" w:customStyle="1" w:styleId="2686">
    <w:name w:val="xl317"/>
    <w:basedOn w:val="1"/>
    <w:uiPriority w:val="0"/>
    <w:pPr>
      <w:widowControl/>
      <w:pBdr>
        <w:bottom w:val="single" w:color="auto" w:sz="4" w:space="0"/>
        <w:right w:val="single" w:color="auto" w:sz="4" w:space="0"/>
      </w:pBdr>
      <w:shd w:val="clear" w:color="auto" w:fill="FFCC00"/>
      <w:autoSpaceDE/>
      <w:autoSpaceDN/>
      <w:spacing w:before="100" w:beforeAutospacing="1" w:after="100" w:afterAutospacing="1"/>
      <w:jc w:val="center"/>
    </w:pPr>
    <w:rPr>
      <w:rFonts w:ascii="方正综艺简体" w:eastAsia="方正综艺简体"/>
      <w:color w:val="000000"/>
      <w:sz w:val="20"/>
      <w:szCs w:val="20"/>
      <w:lang w:val="en-US" w:bidi="ar-SA"/>
    </w:rPr>
  </w:style>
  <w:style w:type="paragraph" w:customStyle="1" w:styleId="2687">
    <w:name w:val="xl202"/>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688">
    <w:name w:val="xl297"/>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color w:val="0000CC"/>
      <w:sz w:val="20"/>
      <w:szCs w:val="20"/>
      <w:lang w:val="en-US" w:bidi="ar-SA"/>
    </w:rPr>
  </w:style>
  <w:style w:type="paragraph" w:customStyle="1" w:styleId="2689">
    <w:name w:val="样式 标题 5 + 首行缩进:  2 字符1"/>
    <w:basedOn w:val="7"/>
    <w:uiPriority w:val="0"/>
    <w:pPr>
      <w:keepNext w:val="0"/>
      <w:keepLines w:val="0"/>
      <w:tabs>
        <w:tab w:val="left" w:pos="1260"/>
      </w:tabs>
      <w:topLinePunct w:val="0"/>
      <w:adjustRightInd w:val="0"/>
      <w:snapToGrid w:val="0"/>
      <w:spacing w:before="0" w:after="0" w:line="480" w:lineRule="exact"/>
      <w:ind w:firstLine="562"/>
      <w:jc w:val="both"/>
    </w:pPr>
    <w:rPr>
      <w:rFonts w:ascii="Times New Roman" w:cs="宋体"/>
      <w:color w:val="000000"/>
      <w:szCs w:val="20"/>
    </w:rPr>
  </w:style>
  <w:style w:type="paragraph" w:customStyle="1" w:styleId="2690">
    <w:name w:val="xl256"/>
    <w:basedOn w:val="1"/>
    <w:uiPriority w:val="0"/>
    <w:pPr>
      <w:widowControl/>
      <w:pBdr>
        <w:top w:val="single" w:color="auto" w:sz="4" w:space="0"/>
        <w:left w:val="single" w:color="auto" w:sz="4" w:space="0"/>
        <w:bottom w:val="single" w:color="auto" w:sz="4" w:space="0"/>
        <w:right w:val="single" w:color="auto" w:sz="4" w:space="0"/>
      </w:pBdr>
      <w:shd w:val="clear" w:color="auto" w:fill="FF8080"/>
      <w:autoSpaceDE/>
      <w:autoSpaceDN/>
      <w:spacing w:before="100" w:beforeAutospacing="1" w:after="100" w:afterAutospacing="1"/>
    </w:pPr>
    <w:rPr>
      <w:sz w:val="20"/>
      <w:szCs w:val="20"/>
      <w:lang w:val="en-US" w:bidi="ar-SA"/>
    </w:rPr>
  </w:style>
  <w:style w:type="paragraph" w:customStyle="1" w:styleId="2691">
    <w:name w:val="xl243"/>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692">
    <w:name w:val="xl269"/>
    <w:basedOn w:val="1"/>
    <w:uiPriority w:val="0"/>
    <w:pPr>
      <w:widowControl/>
      <w:pBdr>
        <w:top w:val="single" w:color="auto" w:sz="4" w:space="0"/>
        <w:left w:val="single" w:color="auto" w:sz="4" w:space="0"/>
        <w:bottom w:val="single" w:color="auto" w:sz="4" w:space="0"/>
        <w:right w:val="single" w:color="auto" w:sz="4" w:space="0"/>
      </w:pBdr>
      <w:shd w:val="clear" w:color="auto" w:fill="FFFFFF"/>
      <w:autoSpaceDE/>
      <w:autoSpaceDN/>
      <w:spacing w:before="100" w:beforeAutospacing="1" w:after="100" w:afterAutospacing="1"/>
    </w:pPr>
    <w:rPr>
      <w:sz w:val="20"/>
      <w:szCs w:val="20"/>
      <w:lang w:val="en-US" w:bidi="ar-SA"/>
    </w:rPr>
  </w:style>
  <w:style w:type="paragraph" w:customStyle="1" w:styleId="2693">
    <w:name w:val="xl231"/>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694">
    <w:name w:val="xl234"/>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val="en-US" w:bidi="ar-SA"/>
    </w:rPr>
  </w:style>
  <w:style w:type="paragraph" w:customStyle="1" w:styleId="2695">
    <w:name w:val="样式 非加粗 首行缩进:  1.01 厘米"/>
    <w:basedOn w:val="1"/>
    <w:uiPriority w:val="0"/>
    <w:pPr>
      <w:autoSpaceDE/>
      <w:autoSpaceDN/>
      <w:spacing w:line="440" w:lineRule="exact"/>
      <w:ind w:firstLine="560" w:firstLineChars="200"/>
      <w:jc w:val="center"/>
    </w:pPr>
    <w:rPr>
      <w:color w:val="000000"/>
      <w:kern w:val="2"/>
      <w:sz w:val="28"/>
      <w:szCs w:val="20"/>
      <w:lang w:val="en-US" w:bidi="ar-SA"/>
    </w:rPr>
  </w:style>
  <w:style w:type="paragraph" w:customStyle="1" w:styleId="2696">
    <w:name w:val="xl299"/>
    <w:basedOn w:val="1"/>
    <w:qFormat/>
    <w:uiPriority w:val="0"/>
    <w:pPr>
      <w:widowControl/>
      <w:pBdr>
        <w:left w:val="single" w:color="auto" w:sz="4" w:space="0"/>
        <w:bottom w:val="single" w:color="auto" w:sz="4" w:space="0"/>
      </w:pBdr>
      <w:shd w:val="clear" w:color="auto" w:fill="FF8080"/>
      <w:autoSpaceDE/>
      <w:autoSpaceDN/>
      <w:spacing w:before="100" w:beforeAutospacing="1" w:after="100" w:afterAutospacing="1"/>
      <w:jc w:val="center"/>
    </w:pPr>
    <w:rPr>
      <w:rFonts w:ascii="方正综艺简体" w:eastAsia="方正综艺简体"/>
      <w:sz w:val="20"/>
      <w:szCs w:val="20"/>
      <w:lang w:val="en-US" w:bidi="ar-SA"/>
    </w:rPr>
  </w:style>
  <w:style w:type="paragraph" w:customStyle="1" w:styleId="2697">
    <w:name w:val="xl300"/>
    <w:basedOn w:val="1"/>
    <w:uiPriority w:val="0"/>
    <w:pPr>
      <w:widowControl/>
      <w:shd w:val="clear" w:color="auto" w:fill="FF8080"/>
      <w:autoSpaceDE/>
      <w:autoSpaceDN/>
      <w:spacing w:before="100" w:beforeAutospacing="1" w:after="100" w:afterAutospacing="1"/>
      <w:jc w:val="center"/>
    </w:pPr>
    <w:rPr>
      <w:rFonts w:ascii="方正综艺简体" w:eastAsia="方正综艺简体"/>
      <w:sz w:val="20"/>
      <w:szCs w:val="20"/>
      <w:lang w:val="en-US" w:bidi="ar-SA"/>
    </w:rPr>
  </w:style>
  <w:style w:type="paragraph" w:customStyle="1" w:styleId="2698">
    <w:name w:val="列表 211"/>
    <w:basedOn w:val="1"/>
    <w:uiPriority w:val="0"/>
    <w:pPr>
      <w:autoSpaceDE/>
      <w:autoSpaceDN/>
      <w:spacing w:line="480" w:lineRule="exact"/>
      <w:ind w:left="840" w:hanging="420"/>
      <w:jc w:val="both"/>
    </w:pPr>
    <w:rPr>
      <w:rFonts w:ascii="Times New Roman" w:hAnsi="Times New Roman" w:cs="Times New Roman"/>
      <w:kern w:val="2"/>
      <w:sz w:val="24"/>
      <w:szCs w:val="20"/>
      <w:lang w:val="en-US" w:bidi="ar-SA"/>
    </w:rPr>
  </w:style>
  <w:style w:type="paragraph" w:customStyle="1" w:styleId="2699">
    <w:name w:val="xl287"/>
    <w:basedOn w:val="1"/>
    <w:uiPriority w:val="0"/>
    <w:pPr>
      <w:widowControl/>
      <w:pBdr>
        <w:top w:val="single" w:color="auto" w:sz="4" w:space="0"/>
        <w:left w:val="single" w:color="auto" w:sz="4" w:space="0"/>
        <w:bottom w:val="single" w:color="auto" w:sz="4" w:space="0"/>
        <w:right w:val="single" w:color="auto" w:sz="4" w:space="0"/>
      </w:pBdr>
      <w:shd w:val="clear" w:color="auto" w:fill="FFCC00"/>
      <w:autoSpaceDE/>
      <w:autoSpaceDN/>
      <w:spacing w:before="100" w:beforeAutospacing="1" w:after="100" w:afterAutospacing="1"/>
      <w:jc w:val="center"/>
    </w:pPr>
    <w:rPr>
      <w:rFonts w:ascii="方正综艺简体" w:eastAsia="方正综艺简体"/>
      <w:color w:val="000000"/>
      <w:sz w:val="20"/>
      <w:szCs w:val="20"/>
      <w:lang w:val="en-US" w:bidi="ar-SA"/>
    </w:rPr>
  </w:style>
  <w:style w:type="paragraph" w:customStyle="1" w:styleId="2700">
    <w:name w:val="索引 411"/>
    <w:basedOn w:val="1"/>
    <w:next w:val="1"/>
    <w:uiPriority w:val="0"/>
    <w:pPr>
      <w:autoSpaceDE/>
      <w:autoSpaceDN/>
      <w:spacing w:line="480" w:lineRule="exact"/>
      <w:ind w:left="600" w:leftChars="600"/>
      <w:jc w:val="both"/>
    </w:pPr>
    <w:rPr>
      <w:rFonts w:ascii="Times New Roman" w:hAnsi="Times New Roman" w:cs="Times New Roman"/>
      <w:kern w:val="2"/>
      <w:sz w:val="24"/>
      <w:szCs w:val="24"/>
      <w:lang w:val="en-US" w:bidi="ar-SA"/>
    </w:rPr>
  </w:style>
  <w:style w:type="paragraph" w:customStyle="1" w:styleId="2701">
    <w:name w:val="xl302"/>
    <w:basedOn w:val="1"/>
    <w:uiPriority w:val="0"/>
    <w:pPr>
      <w:widowControl/>
      <w:pBdr>
        <w:top w:val="single" w:color="auto" w:sz="4" w:space="0"/>
        <w:right w:val="single" w:color="auto" w:sz="4" w:space="0"/>
      </w:pBdr>
      <w:shd w:val="clear" w:color="auto" w:fill="FF8080"/>
      <w:autoSpaceDE/>
      <w:autoSpaceDN/>
      <w:spacing w:before="100" w:beforeAutospacing="1" w:after="100" w:afterAutospacing="1"/>
      <w:jc w:val="center"/>
    </w:pPr>
    <w:rPr>
      <w:rFonts w:ascii="方正综艺简体" w:eastAsia="方正综艺简体"/>
      <w:sz w:val="20"/>
      <w:szCs w:val="20"/>
      <w:lang w:val="en-US" w:bidi="ar-SA"/>
    </w:rPr>
  </w:style>
  <w:style w:type="paragraph" w:customStyle="1" w:styleId="2702">
    <w:name w:val="xl289"/>
    <w:basedOn w:val="1"/>
    <w:uiPriority w:val="0"/>
    <w:pPr>
      <w:widowControl/>
      <w:pBdr>
        <w:left w:val="single" w:color="auto" w:sz="4" w:space="0"/>
        <w:bottom w:val="single" w:color="auto" w:sz="4" w:space="0"/>
        <w:right w:val="single" w:color="auto" w:sz="4" w:space="0"/>
      </w:pBdr>
      <w:autoSpaceDE/>
      <w:autoSpaceDN/>
      <w:spacing w:before="100" w:beforeAutospacing="1" w:after="100" w:afterAutospacing="1"/>
    </w:pPr>
    <w:rPr>
      <w:color w:val="0000FF"/>
      <w:sz w:val="20"/>
      <w:szCs w:val="20"/>
      <w:lang w:val="en-US" w:bidi="ar-SA"/>
    </w:rPr>
  </w:style>
  <w:style w:type="paragraph" w:customStyle="1" w:styleId="2703">
    <w:name w:val="xl290"/>
    <w:basedOn w:val="1"/>
    <w:uiPriority w:val="0"/>
    <w:pPr>
      <w:widowControl/>
      <w:pBdr>
        <w:top w:val="single" w:color="auto" w:sz="4" w:space="0"/>
        <w:left w:val="single" w:color="auto" w:sz="4" w:space="0"/>
        <w:bottom w:val="single" w:color="auto" w:sz="4" w:space="0"/>
        <w:right w:val="single" w:color="auto" w:sz="4" w:space="0"/>
      </w:pBdr>
      <w:shd w:val="clear" w:color="auto" w:fill="FF8080"/>
      <w:autoSpaceDE/>
      <w:autoSpaceDN/>
      <w:spacing w:before="100" w:beforeAutospacing="1" w:after="100" w:afterAutospacing="1"/>
      <w:jc w:val="center"/>
    </w:pPr>
    <w:rPr>
      <w:rFonts w:ascii="方正综艺简体" w:eastAsia="方正综艺简体"/>
      <w:sz w:val="20"/>
      <w:szCs w:val="20"/>
      <w:lang w:val="en-US" w:bidi="ar-SA"/>
    </w:rPr>
  </w:style>
  <w:style w:type="paragraph" w:customStyle="1" w:styleId="2704">
    <w:name w:val="xl307"/>
    <w:basedOn w:val="1"/>
    <w:uiPriority w:val="0"/>
    <w:pPr>
      <w:widowControl/>
      <w:pBdr>
        <w:top w:val="single" w:color="auto" w:sz="4" w:space="0"/>
      </w:pBdr>
      <w:shd w:val="clear" w:color="auto" w:fill="FF8080"/>
      <w:autoSpaceDE/>
      <w:autoSpaceDN/>
      <w:spacing w:before="100" w:beforeAutospacing="1" w:after="100" w:afterAutospacing="1"/>
      <w:jc w:val="center"/>
    </w:pPr>
    <w:rPr>
      <w:rFonts w:ascii="方正综艺简体" w:eastAsia="方正综艺简体"/>
      <w:sz w:val="20"/>
      <w:szCs w:val="20"/>
      <w:lang w:val="en-US" w:bidi="ar-SA"/>
    </w:rPr>
  </w:style>
  <w:style w:type="paragraph" w:customStyle="1" w:styleId="2705">
    <w:name w:val="封面项目名称"/>
    <w:basedOn w:val="1"/>
    <w:next w:val="1"/>
    <w:uiPriority w:val="0"/>
    <w:pPr>
      <w:autoSpaceDE/>
      <w:autoSpaceDN/>
      <w:adjustRightInd w:val="0"/>
      <w:snapToGrid w:val="0"/>
      <w:spacing w:line="360" w:lineRule="auto"/>
      <w:jc w:val="center"/>
    </w:pPr>
    <w:rPr>
      <w:rFonts w:ascii="Times New Roman" w:hAnsi="Times New Roman" w:eastAsia="黑体" w:cs="Times New Roman"/>
      <w:kern w:val="2"/>
      <w:sz w:val="36"/>
      <w:szCs w:val="20"/>
      <w:lang w:val="en-US" w:bidi="ar-SA"/>
    </w:rPr>
  </w:style>
  <w:style w:type="paragraph" w:customStyle="1" w:styleId="2706">
    <w:name w:val="公司名称及日期"/>
    <w:basedOn w:val="1"/>
    <w:next w:val="1"/>
    <w:uiPriority w:val="0"/>
    <w:pPr>
      <w:autoSpaceDE/>
      <w:autoSpaceDN/>
      <w:adjustRightInd w:val="0"/>
      <w:snapToGrid w:val="0"/>
      <w:spacing w:line="360" w:lineRule="auto"/>
      <w:ind w:left="567"/>
      <w:jc w:val="center"/>
    </w:pPr>
    <w:rPr>
      <w:rFonts w:ascii="Times New Roman" w:hAnsi="Times New Roman" w:eastAsia="楷体_GB2312" w:cs="Times New Roman"/>
      <w:kern w:val="2"/>
      <w:sz w:val="32"/>
      <w:szCs w:val="20"/>
      <w:lang w:val="en-US" w:bidi="ar-SA"/>
    </w:rPr>
  </w:style>
  <w:style w:type="paragraph" w:customStyle="1" w:styleId="2707">
    <w:name w:val="Char Char2 Char Char Char Char Char Char Char Char Char Char Char Char Char Char Char Char Char Char Char Char Char Char Char Char Char Char Char"/>
    <w:basedOn w:val="1"/>
    <w:uiPriority w:val="0"/>
    <w:pPr>
      <w:autoSpaceDE/>
      <w:autoSpaceDN/>
      <w:jc w:val="both"/>
    </w:pPr>
    <w:rPr>
      <w:rFonts w:ascii="Times New Roman" w:hAnsi="Times New Roman" w:cs="Times New Roman"/>
      <w:kern w:val="2"/>
      <w:sz w:val="24"/>
      <w:szCs w:val="24"/>
      <w:lang w:val="en-US" w:bidi="ar-SA"/>
    </w:rPr>
  </w:style>
  <w:style w:type="paragraph" w:customStyle="1" w:styleId="2708">
    <w:name w:val="Char Char2 Char Char Char Char Char Char Char Char Char Char Char Char Char Char Char Char Char Char Char Char Char Char Char Char Char Char Char1"/>
    <w:basedOn w:val="1"/>
    <w:uiPriority w:val="0"/>
    <w:pPr>
      <w:autoSpaceDE/>
      <w:autoSpaceDN/>
      <w:jc w:val="both"/>
    </w:pPr>
    <w:rPr>
      <w:rFonts w:ascii="Times New Roman" w:hAnsi="Times New Roman" w:eastAsia="Arial" w:cs="Times New Roman"/>
      <w:kern w:val="2"/>
      <w:sz w:val="21"/>
      <w:szCs w:val="24"/>
      <w:lang w:val="en-US" w:bidi="ar-SA"/>
    </w:rPr>
  </w:style>
  <w:style w:type="paragraph" w:customStyle="1" w:styleId="2709">
    <w:name w:val="Char1 Char Char Char4"/>
    <w:basedOn w:val="1"/>
    <w:uiPriority w:val="0"/>
    <w:pPr>
      <w:autoSpaceDE/>
      <w:autoSpaceDN/>
      <w:jc w:val="both"/>
    </w:pPr>
    <w:rPr>
      <w:rFonts w:ascii="Times New Roman" w:hAnsi="Times New Roman" w:cs="Times New Roman"/>
      <w:kern w:val="2"/>
      <w:sz w:val="21"/>
      <w:szCs w:val="24"/>
      <w:lang w:val="en-US" w:bidi="ar-SA"/>
    </w:rPr>
  </w:style>
  <w:style w:type="paragraph" w:customStyle="1" w:styleId="2710">
    <w:name w:val="正文六级"/>
    <w:basedOn w:val="1"/>
    <w:uiPriority w:val="0"/>
    <w:pPr>
      <w:tabs>
        <w:tab w:val="left" w:pos="620"/>
      </w:tabs>
      <w:autoSpaceDE/>
      <w:autoSpaceDN/>
      <w:spacing w:line="480" w:lineRule="exact"/>
      <w:ind w:left="620" w:hanging="420"/>
      <w:outlineLvl w:val="5"/>
    </w:pPr>
    <w:rPr>
      <w:rFonts w:ascii="Times New Roman" w:hAnsi="Times New Roman" w:cs="Times New Roman"/>
      <w:b/>
      <w:kern w:val="2"/>
      <w:sz w:val="28"/>
      <w:szCs w:val="28"/>
      <w:lang w:val="en-US" w:bidi="ar-SA"/>
    </w:rPr>
  </w:style>
  <w:style w:type="paragraph" w:customStyle="1" w:styleId="2711">
    <w:name w:val="样式 样式 首行缩进:  2 字符3 + 首行缩进:  2 字符"/>
    <w:basedOn w:val="1"/>
    <w:uiPriority w:val="0"/>
    <w:pPr>
      <w:widowControl/>
      <w:autoSpaceDE/>
      <w:autoSpaceDN/>
      <w:adjustRightInd w:val="0"/>
      <w:snapToGrid w:val="0"/>
      <w:spacing w:line="480" w:lineRule="exact"/>
      <w:ind w:firstLine="560" w:firstLineChars="200"/>
      <w:jc w:val="both"/>
    </w:pPr>
    <w:rPr>
      <w:rFonts w:ascii="Times New Roman" w:hAnsi="Times New Roman" w:cs="Times New Roman"/>
      <w:sz w:val="28"/>
      <w:szCs w:val="20"/>
      <w:lang w:val="en-US" w:bidi="ar-SA"/>
    </w:rPr>
  </w:style>
  <w:style w:type="paragraph" w:customStyle="1" w:styleId="2712">
    <w:name w:val="0表内字"/>
    <w:basedOn w:val="1"/>
    <w:uiPriority w:val="0"/>
    <w:pPr>
      <w:autoSpaceDE/>
      <w:autoSpaceDN/>
      <w:adjustRightInd w:val="0"/>
      <w:snapToGrid w:val="0"/>
    </w:pPr>
    <w:rPr>
      <w:kern w:val="2"/>
      <w:sz w:val="21"/>
      <w:szCs w:val="24"/>
      <w:lang w:val="en-US" w:bidi="ar-SA"/>
    </w:rPr>
  </w:style>
  <w:style w:type="paragraph" w:customStyle="1" w:styleId="2713">
    <w:name w:val="样式 Times 四号 行距: 固定值 22 磅"/>
    <w:basedOn w:val="1"/>
    <w:uiPriority w:val="0"/>
    <w:pPr>
      <w:autoSpaceDE/>
      <w:autoSpaceDN/>
      <w:spacing w:line="520" w:lineRule="exact"/>
      <w:ind w:firstLine="538" w:firstLineChars="192"/>
      <w:jc w:val="both"/>
    </w:pPr>
    <w:rPr>
      <w:rFonts w:ascii="Times" w:hAnsi="Times" w:cs="Times New Roman"/>
      <w:color w:val="000000"/>
      <w:kern w:val="2"/>
      <w:sz w:val="28"/>
      <w:szCs w:val="28"/>
      <w:lang w:val="en-US" w:bidi="ar-SA"/>
    </w:rPr>
  </w:style>
  <w:style w:type="paragraph" w:customStyle="1" w:styleId="2714">
    <w:name w:val="Char6"/>
    <w:basedOn w:val="1"/>
    <w:next w:val="1595"/>
    <w:uiPriority w:val="0"/>
    <w:pPr>
      <w:autoSpaceDE/>
      <w:autoSpaceDN/>
      <w:spacing w:line="360" w:lineRule="auto"/>
      <w:ind w:firstLine="480" w:firstLineChars="200"/>
      <w:jc w:val="both"/>
    </w:pPr>
    <w:rPr>
      <w:rFonts w:ascii="Times New Roman" w:hAnsi="Times New Roman" w:cs="Times New Roman"/>
      <w:sz w:val="24"/>
      <w:szCs w:val="24"/>
      <w:lang w:val="en-US" w:bidi="ar-SA"/>
    </w:rPr>
  </w:style>
  <w:style w:type="paragraph" w:customStyle="1" w:styleId="2715">
    <w:name w:val="样式 标题 3 + 首行缩进:  2 字符"/>
    <w:basedOn w:val="5"/>
    <w:uiPriority w:val="0"/>
    <w:pPr>
      <w:keepNext/>
      <w:keepLines/>
      <w:autoSpaceDE/>
      <w:autoSpaceDN/>
      <w:spacing w:before="260" w:after="260"/>
      <w:ind w:left="358" w:leftChars="75" w:hanging="178" w:hangingChars="74"/>
    </w:pPr>
    <w:rPr>
      <w:rFonts w:ascii="Times New Roman" w:hAnsi="Times New Roman"/>
      <w:kern w:val="2"/>
      <w:szCs w:val="20"/>
      <w:lang w:val="en-US" w:bidi="ar-SA"/>
    </w:rPr>
  </w:style>
  <w:style w:type="paragraph" w:customStyle="1" w:styleId="2716">
    <w:name w:val="b"/>
    <w:basedOn w:val="1"/>
    <w:uiPriority w:val="0"/>
    <w:pPr>
      <w:autoSpaceDE/>
      <w:autoSpaceDN/>
      <w:spacing w:line="360" w:lineRule="auto"/>
      <w:jc w:val="center"/>
      <w:outlineLvl w:val="0"/>
    </w:pPr>
    <w:rPr>
      <w:rFonts w:ascii="Times New Roman" w:hAnsi="Times New Roman" w:eastAsia="黑体" w:cs="Times New Roman"/>
      <w:kern w:val="10"/>
      <w:sz w:val="24"/>
      <w:szCs w:val="20"/>
      <w:lang w:val="en-US" w:bidi="ar-SA"/>
    </w:rPr>
  </w:style>
  <w:style w:type="paragraph" w:customStyle="1" w:styleId="2717">
    <w:name w:val="索引 72"/>
    <w:basedOn w:val="1"/>
    <w:next w:val="1"/>
    <w:uiPriority w:val="0"/>
    <w:pPr>
      <w:autoSpaceDE/>
      <w:autoSpaceDN/>
      <w:spacing w:line="480" w:lineRule="exact"/>
      <w:ind w:left="1200" w:leftChars="1200"/>
      <w:jc w:val="both"/>
    </w:pPr>
    <w:rPr>
      <w:rFonts w:ascii="Times New Roman" w:hAnsi="Times New Roman" w:cs="Times New Roman"/>
      <w:kern w:val="2"/>
      <w:sz w:val="24"/>
      <w:szCs w:val="24"/>
      <w:lang w:val="en-US" w:bidi="ar-SA"/>
    </w:rPr>
  </w:style>
  <w:style w:type="paragraph" w:customStyle="1" w:styleId="2718">
    <w:name w:val="索引标题2"/>
    <w:basedOn w:val="1"/>
    <w:next w:val="2578"/>
    <w:uiPriority w:val="0"/>
    <w:pPr>
      <w:autoSpaceDE/>
      <w:autoSpaceDN/>
      <w:spacing w:line="480" w:lineRule="exact"/>
      <w:jc w:val="both"/>
    </w:pPr>
    <w:rPr>
      <w:rFonts w:ascii="Arial" w:hAnsi="Arial" w:cs="Arial"/>
      <w:b/>
      <w:bCs/>
      <w:kern w:val="2"/>
      <w:sz w:val="24"/>
      <w:szCs w:val="24"/>
      <w:lang w:val="en-US" w:bidi="ar-SA"/>
    </w:rPr>
  </w:style>
  <w:style w:type="paragraph" w:customStyle="1" w:styleId="2719">
    <w:name w:val="引文目录2"/>
    <w:basedOn w:val="1"/>
    <w:next w:val="1"/>
    <w:uiPriority w:val="0"/>
    <w:pPr>
      <w:autoSpaceDE/>
      <w:autoSpaceDN/>
      <w:spacing w:line="480" w:lineRule="exact"/>
      <w:ind w:left="420" w:leftChars="200"/>
      <w:jc w:val="both"/>
    </w:pPr>
    <w:rPr>
      <w:rFonts w:ascii="Times New Roman" w:hAnsi="Times New Roman" w:cs="Times New Roman"/>
      <w:kern w:val="2"/>
      <w:sz w:val="24"/>
      <w:szCs w:val="24"/>
      <w:lang w:val="en-US" w:bidi="ar-SA"/>
    </w:rPr>
  </w:style>
  <w:style w:type="paragraph" w:customStyle="1" w:styleId="2720">
    <w:name w:val="样式 样式 表头 + 左侧:  0.99 字符 + 首行缩进:  3.19 厘米"/>
    <w:basedOn w:val="2512"/>
    <w:uiPriority w:val="0"/>
    <w:pPr>
      <w:ind w:left="200" w:leftChars="200"/>
    </w:pPr>
    <w:rPr>
      <w:szCs w:val="20"/>
    </w:rPr>
  </w:style>
  <w:style w:type="paragraph" w:customStyle="1" w:styleId="2721">
    <w:name w:val="xl126"/>
    <w:basedOn w:val="1"/>
    <w:uiPriority w:val="0"/>
    <w:pPr>
      <w:widowControl/>
      <w:autoSpaceDE/>
      <w:autoSpaceDN/>
      <w:spacing w:before="100" w:beforeAutospacing="1" w:after="100" w:afterAutospacing="1"/>
    </w:pPr>
    <w:rPr>
      <w:sz w:val="24"/>
      <w:szCs w:val="24"/>
      <w:lang w:val="en-US" w:bidi="ar-SA"/>
    </w:rPr>
  </w:style>
  <w:style w:type="paragraph" w:customStyle="1" w:styleId="2722">
    <w:name w:val="xl131"/>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b/>
      <w:bCs/>
      <w:color w:val="000000"/>
      <w:sz w:val="21"/>
      <w:szCs w:val="21"/>
      <w:lang w:val="en-US" w:bidi="ar-SA"/>
    </w:rPr>
  </w:style>
  <w:style w:type="paragraph" w:customStyle="1" w:styleId="2723">
    <w:name w:val="xl138"/>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b/>
      <w:bCs/>
      <w:lang w:val="en-US" w:bidi="ar-SA"/>
    </w:rPr>
  </w:style>
  <w:style w:type="paragraph" w:customStyle="1" w:styleId="2724">
    <w:name w:val="xl2127"/>
    <w:basedOn w:val="1"/>
    <w:uiPriority w:val="0"/>
    <w:pPr>
      <w:widowControl/>
      <w:autoSpaceDE/>
      <w:autoSpaceDN/>
      <w:spacing w:before="100" w:beforeAutospacing="1" w:after="100" w:afterAutospacing="1"/>
      <w:jc w:val="center"/>
    </w:pPr>
    <w:rPr>
      <w:sz w:val="24"/>
      <w:szCs w:val="24"/>
      <w:lang w:val="en-US" w:bidi="ar-SA"/>
    </w:rPr>
  </w:style>
  <w:style w:type="paragraph" w:customStyle="1" w:styleId="2725">
    <w:name w:val="xl2150"/>
    <w:basedOn w:val="1"/>
    <w:uiPriority w:val="0"/>
    <w:pPr>
      <w:widowControl/>
      <w:pBdr>
        <w:top w:val="single" w:color="auto" w:sz="4" w:space="0"/>
        <w:left w:val="single" w:color="auto" w:sz="4" w:space="0"/>
        <w:bottom w:val="single" w:color="auto" w:sz="4" w:space="0"/>
        <w:right w:val="single" w:color="auto" w:sz="4" w:space="0"/>
      </w:pBdr>
      <w:shd w:val="clear" w:color="auto" w:fill="FFFF00"/>
      <w:autoSpaceDE/>
      <w:autoSpaceDN/>
      <w:spacing w:before="100" w:beforeAutospacing="1" w:after="100" w:afterAutospacing="1"/>
    </w:pPr>
    <w:rPr>
      <w:b/>
      <w:bCs/>
      <w:sz w:val="24"/>
      <w:szCs w:val="24"/>
      <w:lang w:val="en-US" w:bidi="ar-SA"/>
    </w:rPr>
  </w:style>
  <w:style w:type="paragraph" w:customStyle="1" w:styleId="2726">
    <w:name w:val="正文-表头"/>
    <w:basedOn w:val="1"/>
    <w:uiPriority w:val="0"/>
    <w:pPr>
      <w:autoSpaceDE/>
      <w:autoSpaceDN/>
      <w:adjustRightInd w:val="0"/>
      <w:snapToGrid w:val="0"/>
      <w:spacing w:beforeLines="50" w:afterLines="50"/>
      <w:jc w:val="center"/>
    </w:pPr>
    <w:rPr>
      <w:rFonts w:ascii="黑体" w:hAnsi="Times New Roman" w:eastAsia="黑体" w:cs="Times New Roman"/>
      <w:kern w:val="2"/>
      <w:sz w:val="21"/>
      <w:szCs w:val="24"/>
      <w:lang w:val="en-US" w:bidi="ar-SA"/>
    </w:rPr>
  </w:style>
  <w:style w:type="paragraph" w:customStyle="1" w:styleId="2727">
    <w:name w:val="xl2149"/>
    <w:basedOn w:val="1"/>
    <w:uiPriority w:val="0"/>
    <w:pPr>
      <w:widowControl/>
      <w:pBdr>
        <w:top w:val="single" w:color="auto" w:sz="4" w:space="0"/>
        <w:left w:val="single" w:color="auto" w:sz="4" w:space="0"/>
        <w:bottom w:val="single" w:color="auto" w:sz="4" w:space="0"/>
        <w:right w:val="single" w:color="auto" w:sz="4" w:space="0"/>
      </w:pBdr>
      <w:shd w:val="clear" w:color="auto" w:fill="FFFF00"/>
      <w:autoSpaceDE/>
      <w:autoSpaceDN/>
      <w:spacing w:before="100" w:beforeAutospacing="1" w:after="100" w:afterAutospacing="1"/>
      <w:jc w:val="right"/>
    </w:pPr>
    <w:rPr>
      <w:sz w:val="24"/>
      <w:szCs w:val="24"/>
      <w:lang w:val="en-US" w:bidi="ar-SA"/>
    </w:rPr>
  </w:style>
  <w:style w:type="paragraph" w:customStyle="1" w:styleId="2728">
    <w:name w:val="xl2152"/>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Calibri" w:hAnsi="Calibri"/>
      <w:sz w:val="21"/>
      <w:szCs w:val="21"/>
      <w:lang w:val="en-US" w:bidi="ar-SA"/>
    </w:rPr>
  </w:style>
  <w:style w:type="paragraph" w:customStyle="1" w:styleId="2729">
    <w:name w:val="xl2154"/>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Times New Roman" w:hAnsi="Times New Roman" w:cs="Times New Roman"/>
      <w:color w:val="FF0000"/>
      <w:sz w:val="21"/>
      <w:szCs w:val="21"/>
      <w:lang w:val="en-US" w:bidi="ar-SA"/>
    </w:rPr>
  </w:style>
  <w:style w:type="paragraph" w:customStyle="1" w:styleId="2730">
    <w:name w:val="样式 标题 5 + 首行缩进:  2 字符"/>
    <w:basedOn w:val="7"/>
    <w:uiPriority w:val="0"/>
    <w:pPr>
      <w:keepNext w:val="0"/>
      <w:keepLines w:val="0"/>
      <w:tabs>
        <w:tab w:val="left" w:pos="1260"/>
      </w:tabs>
      <w:topLinePunct w:val="0"/>
      <w:adjustRightInd w:val="0"/>
      <w:snapToGrid w:val="0"/>
      <w:spacing w:before="0" w:after="0" w:line="480" w:lineRule="exact"/>
      <w:ind w:firstLine="560"/>
      <w:jc w:val="both"/>
      <w:outlineLvl w:val="9"/>
    </w:pPr>
    <w:rPr>
      <w:rFonts w:ascii="宋体" w:hAnsi="宋体" w:eastAsia="宋体" w:cs="宋体"/>
      <w:b w:val="0"/>
    </w:rPr>
  </w:style>
  <w:style w:type="paragraph" w:customStyle="1" w:styleId="2731">
    <w:name w:val="图片，环保"/>
    <w:basedOn w:val="1"/>
    <w:uiPriority w:val="0"/>
    <w:pPr>
      <w:autoSpaceDE/>
      <w:autoSpaceDN/>
      <w:jc w:val="center"/>
    </w:pPr>
    <w:rPr>
      <w:rFonts w:cs="Times New Roman"/>
      <w:sz w:val="24"/>
      <w:szCs w:val="20"/>
      <w:lang w:val="en-US" w:bidi="ar-SA"/>
    </w:rPr>
  </w:style>
  <w:style w:type="paragraph" w:customStyle="1" w:styleId="2732">
    <w:name w:val="图名，环保"/>
    <w:basedOn w:val="1"/>
    <w:next w:val="1"/>
    <w:uiPriority w:val="0"/>
    <w:pPr>
      <w:autoSpaceDE/>
      <w:autoSpaceDN/>
      <w:spacing w:line="300" w:lineRule="auto"/>
      <w:jc w:val="center"/>
    </w:pPr>
    <w:rPr>
      <w:rFonts w:cs="Times New Roman"/>
      <w:b/>
      <w:sz w:val="24"/>
      <w:szCs w:val="20"/>
      <w:lang w:val="en-US" w:bidi="ar-SA"/>
    </w:rPr>
  </w:style>
  <w:style w:type="paragraph" w:customStyle="1" w:styleId="2733">
    <w:name w:val="Char Char Char Char Char Char Char Char1"/>
    <w:basedOn w:val="1"/>
    <w:uiPriority w:val="0"/>
    <w:pPr>
      <w:widowControl/>
      <w:autoSpaceDE/>
      <w:autoSpaceDN/>
      <w:spacing w:after="160" w:line="240" w:lineRule="exact"/>
    </w:pPr>
    <w:rPr>
      <w:rFonts w:ascii="Verdana" w:hAnsi="Verdana" w:cs="Times New Roman"/>
      <w:sz w:val="20"/>
      <w:szCs w:val="20"/>
      <w:lang w:val="en-US" w:eastAsia="en-US" w:bidi="ar-SA"/>
    </w:rPr>
  </w:style>
  <w:style w:type="paragraph" w:customStyle="1" w:styleId="2734">
    <w:name w:val="纯文本11"/>
    <w:basedOn w:val="1"/>
    <w:uiPriority w:val="0"/>
    <w:pPr>
      <w:autoSpaceDE/>
      <w:autoSpaceDN/>
      <w:jc w:val="both"/>
    </w:pPr>
    <w:rPr>
      <w:rFonts w:hAnsi="Courier New" w:cs="Times New Roman"/>
      <w:kern w:val="2"/>
      <w:sz w:val="21"/>
      <w:szCs w:val="20"/>
      <w:lang w:val="en-US" w:bidi="ar-SA"/>
    </w:rPr>
  </w:style>
  <w:style w:type="paragraph" w:customStyle="1" w:styleId="2735">
    <w:name w:val="WW-纯文本"/>
    <w:basedOn w:val="1"/>
    <w:qFormat/>
    <w:uiPriority w:val="0"/>
    <w:pPr>
      <w:suppressAutoHyphens/>
      <w:autoSpaceDE/>
      <w:autoSpaceDN/>
      <w:spacing w:line="312" w:lineRule="atLeast"/>
      <w:jc w:val="both"/>
      <w:textAlignment w:val="baseline"/>
    </w:pPr>
    <w:rPr>
      <w:rFonts w:eastAsia="楷体_GB2312" w:cs="Courier New"/>
      <w:kern w:val="2"/>
      <w:sz w:val="21"/>
      <w:szCs w:val="21"/>
      <w:lang w:val="en-US" w:bidi="ar-SA"/>
    </w:rPr>
  </w:style>
  <w:style w:type="character" w:customStyle="1" w:styleId="2736">
    <w:name w:val="批注文字 Char3"/>
    <w:qFormat/>
    <w:uiPriority w:val="99"/>
    <w:rPr>
      <w:kern w:val="2"/>
      <w:sz w:val="21"/>
      <w:szCs w:val="24"/>
    </w:rPr>
  </w:style>
  <w:style w:type="character" w:customStyle="1" w:styleId="2737">
    <w:name w:val="正文文本首行缩进 2 字符"/>
    <w:uiPriority w:val="0"/>
    <w:rPr>
      <w:rFonts w:ascii="宋体" w:hAnsi="Arial"/>
      <w:snapToGrid/>
      <w:kern w:val="2"/>
      <w:sz w:val="28"/>
      <w:szCs w:val="24"/>
    </w:rPr>
  </w:style>
  <w:style w:type="character" w:customStyle="1" w:styleId="2738">
    <w:name w:val="正文文本首行缩进 字符1"/>
    <w:uiPriority w:val="0"/>
    <w:rPr>
      <w:kern w:val="2"/>
      <w:sz w:val="21"/>
      <w:szCs w:val="24"/>
    </w:rPr>
  </w:style>
  <w:style w:type="paragraph" w:customStyle="1" w:styleId="2739">
    <w:name w:val="正文文本 26"/>
    <w:basedOn w:val="1"/>
    <w:uiPriority w:val="0"/>
    <w:pPr>
      <w:autoSpaceDE/>
      <w:autoSpaceDN/>
      <w:adjustRightInd w:val="0"/>
      <w:jc w:val="center"/>
      <w:textAlignment w:val="baseline"/>
    </w:pPr>
    <w:rPr>
      <w:rFonts w:ascii="Arial" w:hAnsi="Arial" w:eastAsia="Arial" w:cs="Times New Roman"/>
      <w:kern w:val="2"/>
      <w:sz w:val="21"/>
      <w:szCs w:val="20"/>
      <w:lang w:val="en-US" w:bidi="ar-SA"/>
    </w:rPr>
  </w:style>
  <w:style w:type="character" w:customStyle="1" w:styleId="2740">
    <w:name w:val="环保表内字（五号） Char"/>
    <w:qFormat/>
    <w:uiPriority w:val="0"/>
    <w:rPr>
      <w:rFonts w:hint="default" w:ascii="Times New Roman" w:hAnsi="Times New Roman" w:cs="Times New Roman"/>
      <w:snapToGrid/>
      <w:sz w:val="21"/>
    </w:rPr>
  </w:style>
  <w:style w:type="paragraph" w:customStyle="1" w:styleId="2741">
    <w:name w:val="Char Char Char3"/>
    <w:basedOn w:val="1"/>
    <w:uiPriority w:val="0"/>
    <w:pPr>
      <w:autoSpaceDE/>
      <w:autoSpaceDN/>
      <w:jc w:val="both"/>
    </w:pPr>
    <w:rPr>
      <w:rFonts w:ascii="Tahoma" w:hAnsi="Tahoma" w:eastAsia="黑体" w:cs="Times New Roman"/>
      <w:kern w:val="2"/>
      <w:sz w:val="28"/>
      <w:szCs w:val="28"/>
      <w:lang w:val="en-US" w:bidi="ar-SA"/>
    </w:rPr>
  </w:style>
  <w:style w:type="paragraph" w:customStyle="1" w:styleId="2742">
    <w:name w:val="正文文本 27"/>
    <w:basedOn w:val="1"/>
    <w:uiPriority w:val="0"/>
    <w:pPr>
      <w:autoSpaceDE/>
      <w:autoSpaceDN/>
      <w:adjustRightInd w:val="0"/>
      <w:jc w:val="center"/>
      <w:textAlignment w:val="baseline"/>
    </w:pPr>
    <w:rPr>
      <w:rFonts w:ascii="Arial" w:hAnsi="Arial" w:eastAsia="Arial" w:cs="Times New Roman"/>
      <w:kern w:val="2"/>
      <w:sz w:val="21"/>
      <w:szCs w:val="20"/>
      <w:lang w:val="en-US" w:bidi="ar-SA"/>
    </w:rPr>
  </w:style>
  <w:style w:type="character" w:customStyle="1" w:styleId="2743">
    <w:name w:val="环保表头 Char"/>
    <w:link w:val="1735"/>
    <w:qFormat/>
    <w:uiPriority w:val="0"/>
    <w:rPr>
      <w:rFonts w:ascii="宋体" w:hAnsi="宋体" w:eastAsia="黑体"/>
      <w:sz w:val="24"/>
    </w:rPr>
  </w:style>
  <w:style w:type="table" w:customStyle="1" w:styleId="2744">
    <w:name w:val="Table Normal2"/>
    <w:unhideWhenUsed/>
    <w:qFormat/>
    <w:uiPriority w:val="0"/>
    <w:pPr>
      <w:widowControl w:val="0"/>
    </w:pPr>
    <w:rPr>
      <w:sz w:val="22"/>
      <w:szCs w:val="22"/>
      <w:lang w:eastAsia="en-US"/>
    </w:rPr>
    <w:tblPr>
      <w:tblCellMar>
        <w:top w:w="0" w:type="dxa"/>
        <w:left w:w="0" w:type="dxa"/>
        <w:bottom w:w="0" w:type="dxa"/>
        <w:right w:w="0" w:type="dxa"/>
      </w:tblCellMar>
    </w:tblPr>
  </w:style>
  <w:style w:type="table" w:customStyle="1" w:styleId="2745">
    <w:name w:val="网格型12"/>
    <w:basedOn w:val="8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746">
    <w:name w:val="TOC Heading"/>
    <w:basedOn w:val="3"/>
    <w:next w:val="1"/>
    <w:unhideWhenUsed/>
    <w:qFormat/>
    <w:uiPriority w:val="39"/>
    <w:pPr>
      <w:keepNext/>
      <w:keepLines/>
      <w:widowControl/>
      <w:autoSpaceDE/>
      <w:autoSpaceDN/>
      <w:spacing w:before="240" w:line="259" w:lineRule="auto"/>
      <w:ind w:left="0" w:firstLine="0"/>
      <w:outlineLvl w:val="9"/>
    </w:pPr>
    <w:rPr>
      <w:rFonts w:asciiTheme="majorHAnsi" w:hAnsiTheme="majorHAnsi" w:eastAsiaTheme="majorEastAsia" w:cstheme="majorBidi"/>
      <w:color w:val="376092" w:themeColor="accent1" w:themeShade="BF"/>
      <w:sz w:val="32"/>
      <w:szCs w:val="32"/>
      <w:lang w:val="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0" Type="http://schemas.openxmlformats.org/officeDocument/2006/relationships/fontTable" Target="fontTable.xml"/><Relationship Id="rId7" Type="http://schemas.openxmlformats.org/officeDocument/2006/relationships/header" Target="header1.xml"/><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55.pn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jpeg"/><Relationship Id="rId6" Type="http://schemas.openxmlformats.org/officeDocument/2006/relationships/footer" Target="footer4.xml"/><Relationship Id="rId59" Type="http://schemas.openxmlformats.org/officeDocument/2006/relationships/image" Target="media/image47.jpeg"/><Relationship Id="rId58" Type="http://schemas.openxmlformats.org/officeDocument/2006/relationships/image" Target="media/image46.jpeg"/><Relationship Id="rId57" Type="http://schemas.openxmlformats.org/officeDocument/2006/relationships/image" Target="media/image45.jpeg"/><Relationship Id="rId56" Type="http://schemas.openxmlformats.org/officeDocument/2006/relationships/image" Target="media/image44.jpeg"/><Relationship Id="rId55" Type="http://schemas.openxmlformats.org/officeDocument/2006/relationships/image" Target="media/image43.jpeg"/><Relationship Id="rId54" Type="http://schemas.openxmlformats.org/officeDocument/2006/relationships/image" Target="media/image42.jpeg"/><Relationship Id="rId53" Type="http://schemas.openxmlformats.org/officeDocument/2006/relationships/image" Target="media/image41.jpeg"/><Relationship Id="rId52" Type="http://schemas.openxmlformats.org/officeDocument/2006/relationships/image" Target="media/image40.jpeg"/><Relationship Id="rId51" Type="http://schemas.openxmlformats.org/officeDocument/2006/relationships/image" Target="media/image39.jpeg"/><Relationship Id="rId50" Type="http://schemas.openxmlformats.org/officeDocument/2006/relationships/image" Target="media/image38.jpeg"/><Relationship Id="rId5" Type="http://schemas.openxmlformats.org/officeDocument/2006/relationships/footer" Target="footer3.xml"/><Relationship Id="rId49" Type="http://schemas.openxmlformats.org/officeDocument/2006/relationships/image" Target="media/image37.jpeg"/><Relationship Id="rId48" Type="http://schemas.openxmlformats.org/officeDocument/2006/relationships/image" Target="media/image36.jpeg"/><Relationship Id="rId47" Type="http://schemas.openxmlformats.org/officeDocument/2006/relationships/image" Target="media/image35.jpeg"/><Relationship Id="rId46" Type="http://schemas.openxmlformats.org/officeDocument/2006/relationships/image" Target="media/image34.png"/><Relationship Id="rId45" Type="http://schemas.openxmlformats.org/officeDocument/2006/relationships/image" Target="media/image33.jpeg"/><Relationship Id="rId44" Type="http://schemas.openxmlformats.org/officeDocument/2006/relationships/image" Target="media/image32.wmf"/><Relationship Id="rId43" Type="http://schemas.openxmlformats.org/officeDocument/2006/relationships/image" Target="media/image31.wmf"/><Relationship Id="rId42" Type="http://schemas.openxmlformats.org/officeDocument/2006/relationships/image" Target="media/image30.wmf"/><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microsoft.com/office/2007/relationships/hdphoto" Target="media/image23.wdp"/><Relationship Id="rId34" Type="http://schemas.openxmlformats.org/officeDocument/2006/relationships/image" Target="media/image22.png"/><Relationship Id="rId33" Type="http://schemas.microsoft.com/office/2007/relationships/hdphoto" Target="media/image21.wdp"/><Relationship Id="rId32" Type="http://schemas.openxmlformats.org/officeDocument/2006/relationships/image" Target="media/image20.png"/><Relationship Id="rId31" Type="http://schemas.microsoft.com/office/2007/relationships/hdphoto" Target="media/image19.wdp"/><Relationship Id="rId30" Type="http://schemas.openxmlformats.org/officeDocument/2006/relationships/image" Target="media/image18.png"/><Relationship Id="rId3" Type="http://schemas.openxmlformats.org/officeDocument/2006/relationships/footer" Target="footer1.xml"/><Relationship Id="rId29" Type="http://schemas.microsoft.com/office/2007/relationships/hdphoto" Target="media/image17.wdp"/><Relationship Id="rId28" Type="http://schemas.openxmlformats.org/officeDocument/2006/relationships/image" Target="media/image16.pn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oleObject" Target="embeddings/oleObject1.bin"/><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PC</Company>
  <Pages>192</Pages>
  <Words>5044</Words>
  <Characters>5686</Characters>
  <Lines>1239</Lines>
  <Paragraphs>348</Paragraphs>
  <TotalTime>0</TotalTime>
  <ScaleCrop>false</ScaleCrop>
  <LinksUpToDate>false</LinksUpToDate>
  <CharactersWithSpaces>6018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2021-07-08T09:09:00Z</dcterms:created>
  <dc:creator>yinxianbo</dc:creator>
  <cp:lastModifiedBy>1231323</cp:lastModifiedBy>
  <cp:lastPrinted>2022-07-07T08:45:00Z</cp:lastPrinted>
  <dcterms:modified xsi:type="dcterms:W3CDTF">2024-12-17T03:45:32Z</dcterms:modified>
  <dc:title>大庆油田有限责任公司</dc:title>
  <cp:revision>316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2020-03-31T00:00:00Z</vt:filetime>
  </property>
  <property fmtid="{D5CDD505-2E9C-101B-9397-08002B2CF9AE}" pid="3" name="Creator">
    <vt:lpwstr>Microsoft® Word 2010</vt:lpwstr>
  </property>
  <property fmtid="{D5CDD505-2E9C-101B-9397-08002B2CF9AE}" pid="4" name="LastSaved">
    <vt:filetime>2020-12-28T00:00:00Z</vt:filetime>
  </property>
  <property fmtid="{D5CDD505-2E9C-101B-9397-08002B2CF9AE}" pid="5" name="KSOProductBuildVer">
    <vt:lpwstr>2052-12.1.0.19302</vt:lpwstr>
  </property>
  <property fmtid="{D5CDD505-2E9C-101B-9397-08002B2CF9AE}" pid="6" name="ICV">
    <vt:lpwstr>6D0A7114688E4C34BFDF028DCEABEF5F_13</vt:lpwstr>
  </property>
</Properties>
</file>